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21F80BE">
      <w:pPr>
        <w:rPr>
          <w:rFonts w:ascii="仿宋_GB2312" w:hAnsi="仿宋_GB2312" w:eastAsia="仿宋_GB2312" w:cs="仿宋_GB2312"/>
          <w:color w:val="auto"/>
          <w:sz w:val="36"/>
          <w:szCs w:val="36"/>
        </w:rPr>
      </w:pPr>
    </w:p>
    <w:p w14:paraId="0CD7DED3">
      <w:pPr>
        <w:rPr>
          <w:rFonts w:ascii="仿宋_GB2312" w:hAnsi="仿宋_GB2312" w:eastAsia="仿宋_GB2312" w:cs="仿宋_GB2312"/>
          <w:color w:val="auto"/>
          <w:sz w:val="36"/>
          <w:szCs w:val="36"/>
        </w:rPr>
      </w:pPr>
    </w:p>
    <w:p w14:paraId="577536BF">
      <w:pPr>
        <w:rPr>
          <w:rFonts w:ascii="仿宋_GB2312" w:hAnsi="仿宋_GB2312" w:eastAsia="仿宋_GB2312" w:cs="仿宋_GB2312"/>
          <w:color w:val="auto"/>
          <w:sz w:val="36"/>
          <w:szCs w:val="36"/>
        </w:rPr>
      </w:pPr>
    </w:p>
    <w:p w14:paraId="6EB89BCA">
      <w:pPr>
        <w:keepNext w:val="0"/>
        <w:keepLines w:val="0"/>
        <w:pageBreakBefore w:val="0"/>
        <w:widowControl w:val="0"/>
        <w:kinsoku/>
        <w:wordWrap/>
        <w:overflowPunct/>
        <w:topLinePunct w:val="0"/>
        <w:bidi w:val="0"/>
        <w:jc w:val="right"/>
        <w:textAlignment w:val="auto"/>
        <w:outlineLvl w:val="9"/>
        <w:rPr>
          <w:rFonts w:hint="eastAsia" w:ascii="仿宋_GB2312" w:hAnsi="仿宋_GB2312" w:eastAsia="仿宋_GB2312" w:cs="仿宋_GB2312"/>
          <w:color w:val="auto"/>
          <w:sz w:val="36"/>
          <w:szCs w:val="36"/>
        </w:rPr>
      </w:pPr>
    </w:p>
    <w:p w14:paraId="324D7B85">
      <w:pPr>
        <w:keepNext w:val="0"/>
        <w:keepLines w:val="0"/>
        <w:pageBreakBefore w:val="0"/>
        <w:widowControl w:val="0"/>
        <w:kinsoku/>
        <w:wordWrap/>
        <w:overflowPunct/>
        <w:topLinePunct w:val="0"/>
        <w:bidi w:val="0"/>
        <w:adjustRightInd w:val="0"/>
        <w:snapToGrid w:val="0"/>
        <w:jc w:val="center"/>
        <w:textAlignment w:val="auto"/>
        <w:outlineLvl w:val="0"/>
        <w:rPr>
          <w:rFonts w:hint="default" w:ascii="Times New Roman" w:hAnsi="Times New Roman" w:eastAsia="宋体" w:cs="Times New Roman"/>
          <w:b/>
          <w:bCs w:val="0"/>
          <w:color w:val="auto"/>
          <w:sz w:val="72"/>
          <w:szCs w:val="72"/>
        </w:rPr>
      </w:pPr>
      <w:bookmarkStart w:id="0" w:name="_Toc1006"/>
      <w:bookmarkStart w:id="1" w:name="_Toc7309"/>
      <w:r>
        <w:rPr>
          <w:rFonts w:hint="default" w:ascii="Times New Roman" w:hAnsi="Times New Roman" w:eastAsia="宋体" w:cs="Times New Roman"/>
          <w:b/>
          <w:bCs w:val="0"/>
          <w:color w:val="auto"/>
          <w:sz w:val="72"/>
          <w:szCs w:val="72"/>
        </w:rPr>
        <w:t>建设项目环境影响报告表</w:t>
      </w:r>
      <w:bookmarkEnd w:id="0"/>
      <w:bookmarkEnd w:id="1"/>
    </w:p>
    <w:p w14:paraId="5E323A30">
      <w:pPr>
        <w:keepNext w:val="0"/>
        <w:keepLines w:val="0"/>
        <w:pageBreakBefore w:val="0"/>
        <w:widowControl w:val="0"/>
        <w:kinsoku/>
        <w:wordWrap/>
        <w:overflowPunct/>
        <w:topLinePunct w:val="0"/>
        <w:bidi w:val="0"/>
        <w:adjustRightInd w:val="0"/>
        <w:snapToGrid w:val="0"/>
        <w:spacing w:before="192" w:beforeLines="80"/>
        <w:jc w:val="center"/>
        <w:textAlignment w:val="auto"/>
        <w:outlineLvl w:val="9"/>
        <w:rPr>
          <w:rFonts w:hint="default" w:ascii="Times New Roman" w:hAnsi="Times New Roman" w:eastAsia="楷体_GB2312" w:cs="Times New Roman"/>
          <w:b/>
          <w:bCs w:val="0"/>
          <w:color w:val="auto"/>
          <w:sz w:val="48"/>
          <w:szCs w:val="48"/>
        </w:rPr>
      </w:pPr>
      <w:r>
        <w:rPr>
          <w:rFonts w:hint="default" w:ascii="Times New Roman" w:hAnsi="Times New Roman" w:eastAsia="楷体_GB2312" w:cs="Times New Roman"/>
          <w:b/>
          <w:bCs w:val="0"/>
          <w:color w:val="auto"/>
          <w:sz w:val="48"/>
          <w:szCs w:val="48"/>
        </w:rPr>
        <w:t>（污染影响类）</w:t>
      </w:r>
    </w:p>
    <w:p w14:paraId="2F59A2A4">
      <w:pPr>
        <w:keepNext w:val="0"/>
        <w:keepLines w:val="0"/>
        <w:pageBreakBefore w:val="0"/>
        <w:widowControl w:val="0"/>
        <w:kinsoku/>
        <w:wordWrap/>
        <w:overflowPunct/>
        <w:topLinePunct w:val="0"/>
        <w:bidi w:val="0"/>
        <w:adjustRightInd w:val="0"/>
        <w:snapToGrid w:val="0"/>
        <w:spacing w:line="288" w:lineRule="auto"/>
        <w:jc w:val="center"/>
        <w:textAlignment w:val="auto"/>
        <w:outlineLvl w:val="9"/>
        <w:rPr>
          <w:rFonts w:ascii="华文仿宋" w:hAnsi="华文仿宋" w:eastAsia="华文仿宋" w:cs="华文仿宋"/>
          <w:color w:val="auto"/>
          <w:kern w:val="44"/>
          <w:sz w:val="44"/>
          <w:szCs w:val="44"/>
        </w:rPr>
      </w:pPr>
    </w:p>
    <w:p w14:paraId="02EDDDE1">
      <w:pPr>
        <w:keepNext w:val="0"/>
        <w:keepLines w:val="0"/>
        <w:pageBreakBefore w:val="0"/>
        <w:widowControl w:val="0"/>
        <w:kinsoku/>
        <w:wordWrap/>
        <w:overflowPunct/>
        <w:topLinePunct w:val="0"/>
        <w:bidi w:val="0"/>
        <w:textAlignment w:val="auto"/>
        <w:outlineLvl w:val="9"/>
        <w:rPr>
          <w:rFonts w:eastAsia="仿宋"/>
          <w:color w:val="auto"/>
          <w:sz w:val="44"/>
          <w:szCs w:val="44"/>
        </w:rPr>
      </w:pPr>
    </w:p>
    <w:p w14:paraId="0C4826A4">
      <w:pPr>
        <w:keepNext w:val="0"/>
        <w:keepLines w:val="0"/>
        <w:pageBreakBefore w:val="0"/>
        <w:widowControl w:val="0"/>
        <w:kinsoku/>
        <w:wordWrap/>
        <w:overflowPunct/>
        <w:topLinePunct w:val="0"/>
        <w:bidi w:val="0"/>
        <w:ind w:firstLine="1040"/>
        <w:textAlignment w:val="auto"/>
        <w:outlineLvl w:val="9"/>
        <w:rPr>
          <w:rFonts w:hint="eastAsia" w:eastAsia="仿宋"/>
          <w:color w:val="auto"/>
          <w:sz w:val="44"/>
          <w:szCs w:val="44"/>
          <w:lang w:eastAsia="zh-CN"/>
        </w:rPr>
      </w:pPr>
    </w:p>
    <w:p w14:paraId="23A4A4AB">
      <w:pPr>
        <w:keepNext w:val="0"/>
        <w:keepLines w:val="0"/>
        <w:pageBreakBefore w:val="0"/>
        <w:widowControl w:val="0"/>
        <w:kinsoku/>
        <w:wordWrap/>
        <w:overflowPunct/>
        <w:topLinePunct w:val="0"/>
        <w:bidi w:val="0"/>
        <w:ind w:firstLine="1040"/>
        <w:textAlignment w:val="auto"/>
        <w:outlineLvl w:val="9"/>
        <w:rPr>
          <w:rFonts w:eastAsia="仿宋"/>
          <w:color w:val="auto"/>
          <w:sz w:val="44"/>
          <w:szCs w:val="44"/>
        </w:rPr>
      </w:pPr>
    </w:p>
    <w:p w14:paraId="77C83EB2">
      <w:pPr>
        <w:keepNext w:val="0"/>
        <w:keepLines w:val="0"/>
        <w:pageBreakBefore w:val="0"/>
        <w:widowControl w:val="0"/>
        <w:kinsoku/>
        <w:wordWrap/>
        <w:overflowPunct/>
        <w:topLinePunct w:val="0"/>
        <w:bidi w:val="0"/>
        <w:ind w:firstLine="1040"/>
        <w:textAlignment w:val="auto"/>
        <w:outlineLvl w:val="9"/>
        <w:rPr>
          <w:rFonts w:eastAsia="仿宋"/>
          <w:color w:val="auto"/>
          <w:sz w:val="44"/>
          <w:szCs w:val="44"/>
        </w:rPr>
      </w:pPr>
    </w:p>
    <w:p w14:paraId="5D4FD432">
      <w:pPr>
        <w:keepNext w:val="0"/>
        <w:keepLines w:val="0"/>
        <w:pageBreakBefore w:val="0"/>
        <w:widowControl w:val="0"/>
        <w:kinsoku/>
        <w:wordWrap/>
        <w:overflowPunct/>
        <w:topLinePunct w:val="0"/>
        <w:autoSpaceDE/>
        <w:autoSpaceDN/>
        <w:bidi w:val="0"/>
        <w:adjustRightInd w:val="0"/>
        <w:snapToGrid w:val="0"/>
        <w:spacing w:line="480" w:lineRule="auto"/>
        <w:ind w:firstLine="720" w:firstLineChars="200"/>
        <w:textAlignment w:val="auto"/>
        <w:outlineLvl w:val="9"/>
        <w:rPr>
          <w:rFonts w:hint="default" w:ascii="Times New Roman" w:hAnsi="Times New Roman" w:eastAsia="宋体" w:cs="Times New Roman"/>
          <w:color w:val="auto"/>
          <w:w w:val="90"/>
          <w:sz w:val="36"/>
          <w:szCs w:val="36"/>
          <w:u w:val="single"/>
          <w:lang w:eastAsia="zh-CN"/>
        </w:rPr>
      </w:pPr>
      <w:r>
        <w:rPr>
          <w:rFonts w:hint="default" w:ascii="Times New Roman" w:hAnsi="Times New Roman" w:eastAsia="宋体" w:cs="Times New Roman"/>
          <w:color w:val="auto"/>
          <w:sz w:val="36"/>
          <w:szCs w:val="36"/>
        </w:rPr>
        <w:t>项目名称</w:t>
      </w:r>
      <w:r>
        <w:rPr>
          <w:rFonts w:hint="default" w:ascii="Times New Roman" w:hAnsi="Times New Roman" w:eastAsia="宋体" w:cs="Times New Roman"/>
          <w:color w:val="auto"/>
          <w:sz w:val="36"/>
          <w:szCs w:val="36"/>
          <w:u w:val="none"/>
        </w:rPr>
        <w:t>：</w:t>
      </w:r>
      <w:r>
        <w:rPr>
          <w:rFonts w:hint="eastAsia" w:ascii="Times New Roman" w:hAnsi="Times New Roman" w:eastAsia="宋体" w:cs="Times New Roman"/>
          <w:color w:val="auto"/>
          <w:w w:val="90"/>
          <w:sz w:val="36"/>
          <w:szCs w:val="36"/>
          <w:u w:val="single"/>
          <w:lang w:eastAsia="zh-CN"/>
        </w:rPr>
        <w:t>高分子半导电胶辊生产线技改项目</w:t>
      </w:r>
      <w:r>
        <w:rPr>
          <w:rFonts w:hint="eastAsia" w:cs="Times New Roman"/>
          <w:color w:val="auto"/>
          <w:w w:val="90"/>
          <w:sz w:val="36"/>
          <w:szCs w:val="36"/>
          <w:u w:val="single"/>
          <w:lang w:val="en-US" w:eastAsia="zh-CN"/>
        </w:rPr>
        <w:t>（重新报批）</w:t>
      </w:r>
    </w:p>
    <w:p w14:paraId="55A8B11C">
      <w:pPr>
        <w:keepNext w:val="0"/>
        <w:keepLines w:val="0"/>
        <w:pageBreakBefore w:val="0"/>
        <w:widowControl w:val="0"/>
        <w:kinsoku/>
        <w:wordWrap/>
        <w:overflowPunct/>
        <w:topLinePunct w:val="0"/>
        <w:autoSpaceDE/>
        <w:autoSpaceDN/>
        <w:bidi w:val="0"/>
        <w:adjustRightInd w:val="0"/>
        <w:snapToGrid w:val="0"/>
        <w:spacing w:line="480" w:lineRule="auto"/>
        <w:ind w:firstLine="720" w:firstLineChars="200"/>
        <w:textAlignment w:val="auto"/>
        <w:outlineLvl w:val="9"/>
        <w:rPr>
          <w:rFonts w:hint="eastAsia" w:ascii="Times New Roman" w:hAnsi="Times New Roman" w:eastAsia="宋体" w:cs="Times New Roman"/>
          <w:color w:val="auto"/>
          <w:sz w:val="36"/>
          <w:szCs w:val="36"/>
          <w:u w:val="single"/>
          <w:lang w:eastAsia="zh-CN"/>
        </w:rPr>
      </w:pPr>
      <w:r>
        <w:rPr>
          <w:rFonts w:hint="default" w:ascii="Times New Roman" w:hAnsi="Times New Roman" w:eastAsia="宋体" w:cs="Times New Roman"/>
          <w:color w:val="auto"/>
          <w:sz w:val="36"/>
          <w:szCs w:val="36"/>
        </w:rPr>
        <w:t>建设单位（盖章）：</w:t>
      </w:r>
      <w:r>
        <w:rPr>
          <w:rFonts w:hint="eastAsia" w:ascii="Times New Roman" w:hAnsi="Times New Roman" w:eastAsia="宋体" w:cs="Times New Roman"/>
          <w:color w:val="auto"/>
          <w:sz w:val="36"/>
          <w:szCs w:val="36"/>
          <w:u w:val="single"/>
          <w:lang w:eastAsia="zh-CN"/>
        </w:rPr>
        <w:t>淮安欣展高分子科技有限公司</w:t>
      </w:r>
    </w:p>
    <w:p w14:paraId="69809678">
      <w:pPr>
        <w:keepNext w:val="0"/>
        <w:keepLines w:val="0"/>
        <w:pageBreakBefore w:val="0"/>
        <w:widowControl w:val="0"/>
        <w:kinsoku/>
        <w:wordWrap/>
        <w:overflowPunct/>
        <w:topLinePunct w:val="0"/>
        <w:autoSpaceDE/>
        <w:autoSpaceDN/>
        <w:bidi w:val="0"/>
        <w:adjustRightInd w:val="0"/>
        <w:snapToGrid w:val="0"/>
        <w:spacing w:line="480" w:lineRule="auto"/>
        <w:ind w:firstLine="720" w:firstLineChars="200"/>
        <w:textAlignment w:val="auto"/>
        <w:outlineLvl w:val="9"/>
        <w:rPr>
          <w:rFonts w:hint="eastAsia" w:ascii="仿宋_GB2312" w:eastAsia="仿宋_GB2312"/>
          <w:color w:val="auto"/>
          <w:sz w:val="36"/>
          <w:szCs w:val="36"/>
          <w:u w:val="single"/>
        </w:rPr>
      </w:pPr>
      <w:r>
        <w:rPr>
          <w:rFonts w:hint="default" w:ascii="Times New Roman" w:hAnsi="Times New Roman" w:eastAsia="宋体" w:cs="Times New Roman"/>
          <w:color w:val="auto"/>
          <w:sz w:val="36"/>
          <w:szCs w:val="36"/>
        </w:rPr>
        <w:t>编制日期：</w:t>
      </w:r>
      <w:r>
        <w:rPr>
          <w:rFonts w:hint="default" w:ascii="Times New Roman" w:hAnsi="Times New Roman" w:eastAsia="宋体" w:cs="Times New Roman"/>
          <w:color w:val="auto"/>
          <w:sz w:val="36"/>
          <w:szCs w:val="36"/>
          <w:u w:val="single"/>
        </w:rPr>
        <w:t xml:space="preserve">           </w:t>
      </w:r>
      <w:r>
        <w:rPr>
          <w:rFonts w:hint="default" w:ascii="Times New Roman" w:hAnsi="Times New Roman" w:eastAsia="宋体" w:cs="Times New Roman"/>
          <w:color w:val="auto"/>
          <w:sz w:val="36"/>
          <w:szCs w:val="36"/>
          <w:u w:val="single"/>
          <w:lang w:val="en-US" w:eastAsia="zh-CN"/>
        </w:rPr>
        <w:t>2025年06月</w:t>
      </w:r>
      <w:r>
        <w:rPr>
          <w:rFonts w:hint="default" w:ascii="Times New Roman" w:hAnsi="Times New Roman" w:eastAsia="宋体" w:cs="Times New Roman"/>
          <w:color w:val="auto"/>
          <w:sz w:val="36"/>
          <w:szCs w:val="36"/>
          <w:u w:val="single"/>
        </w:rPr>
        <w:t xml:space="preserve">              </w:t>
      </w:r>
      <w:r>
        <w:rPr>
          <w:rFonts w:hint="eastAsia" w:ascii="仿宋_GB2312" w:eastAsia="仿宋_GB2312"/>
          <w:color w:val="auto"/>
          <w:sz w:val="36"/>
          <w:szCs w:val="36"/>
          <w:u w:val="single"/>
        </w:rPr>
        <w:t xml:space="preserve"> </w:t>
      </w:r>
    </w:p>
    <w:p w14:paraId="48E4A96E">
      <w:pPr>
        <w:keepNext w:val="0"/>
        <w:keepLines w:val="0"/>
        <w:pageBreakBefore w:val="0"/>
        <w:widowControl w:val="0"/>
        <w:kinsoku/>
        <w:wordWrap/>
        <w:overflowPunct/>
        <w:topLinePunct w:val="0"/>
        <w:bidi w:val="0"/>
        <w:adjustRightInd w:val="0"/>
        <w:snapToGrid w:val="0"/>
        <w:spacing w:line="288" w:lineRule="auto"/>
        <w:ind w:firstLine="1040"/>
        <w:textAlignment w:val="auto"/>
        <w:outlineLvl w:val="9"/>
        <w:rPr>
          <w:rFonts w:ascii="仿宋_GB2312" w:eastAsia="仿宋_GB2312"/>
          <w:color w:val="auto"/>
          <w:sz w:val="36"/>
          <w:szCs w:val="36"/>
          <w:u w:val="single"/>
        </w:rPr>
      </w:pPr>
      <w:bookmarkStart w:id="2" w:name="_Hlk57884087"/>
    </w:p>
    <w:p w14:paraId="6A35C01E">
      <w:pPr>
        <w:keepNext w:val="0"/>
        <w:keepLines w:val="0"/>
        <w:pageBreakBefore w:val="0"/>
        <w:widowControl w:val="0"/>
        <w:kinsoku/>
        <w:wordWrap/>
        <w:overflowPunct/>
        <w:topLinePunct w:val="0"/>
        <w:bidi w:val="0"/>
        <w:adjustRightInd w:val="0"/>
        <w:snapToGrid w:val="0"/>
        <w:spacing w:line="288" w:lineRule="auto"/>
        <w:ind w:firstLine="1040"/>
        <w:textAlignment w:val="auto"/>
        <w:outlineLvl w:val="9"/>
        <w:rPr>
          <w:rFonts w:ascii="仿宋_GB2312" w:eastAsia="仿宋_GB2312"/>
          <w:color w:val="auto"/>
          <w:sz w:val="36"/>
          <w:szCs w:val="36"/>
        </w:rPr>
      </w:pPr>
    </w:p>
    <w:p w14:paraId="77C048C2">
      <w:pPr>
        <w:keepNext w:val="0"/>
        <w:keepLines w:val="0"/>
        <w:pageBreakBefore w:val="0"/>
        <w:widowControl w:val="0"/>
        <w:kinsoku/>
        <w:wordWrap/>
        <w:overflowPunct/>
        <w:topLinePunct w:val="0"/>
        <w:bidi w:val="0"/>
        <w:adjustRightInd w:val="0"/>
        <w:snapToGrid w:val="0"/>
        <w:spacing w:line="288" w:lineRule="auto"/>
        <w:ind w:firstLine="1040"/>
        <w:textAlignment w:val="auto"/>
        <w:outlineLvl w:val="9"/>
        <w:rPr>
          <w:rFonts w:ascii="仿宋_GB2312" w:eastAsia="仿宋_GB2312"/>
          <w:color w:val="auto"/>
          <w:sz w:val="36"/>
          <w:szCs w:val="36"/>
        </w:rPr>
      </w:pPr>
    </w:p>
    <w:p w14:paraId="5680F4DA">
      <w:pPr>
        <w:keepNext w:val="0"/>
        <w:keepLines w:val="0"/>
        <w:pageBreakBefore w:val="0"/>
        <w:widowControl w:val="0"/>
        <w:kinsoku/>
        <w:wordWrap/>
        <w:overflowPunct/>
        <w:topLinePunct w:val="0"/>
        <w:bidi w:val="0"/>
        <w:adjustRightInd w:val="0"/>
        <w:snapToGrid w:val="0"/>
        <w:spacing w:line="288" w:lineRule="auto"/>
        <w:ind w:firstLine="1040"/>
        <w:textAlignment w:val="auto"/>
        <w:outlineLvl w:val="9"/>
        <w:rPr>
          <w:rFonts w:hint="eastAsia" w:ascii="仿宋_GB2312" w:eastAsia="仿宋_GB2312"/>
          <w:color w:val="auto"/>
          <w:sz w:val="36"/>
          <w:szCs w:val="36"/>
        </w:rPr>
      </w:pPr>
    </w:p>
    <w:p w14:paraId="4E50A028">
      <w:pPr>
        <w:keepNext w:val="0"/>
        <w:keepLines w:val="0"/>
        <w:pageBreakBefore w:val="0"/>
        <w:widowControl w:val="0"/>
        <w:kinsoku/>
        <w:wordWrap/>
        <w:overflowPunct/>
        <w:topLinePunct w:val="0"/>
        <w:bidi w:val="0"/>
        <w:adjustRightInd w:val="0"/>
        <w:snapToGrid w:val="0"/>
        <w:spacing w:line="288" w:lineRule="auto"/>
        <w:ind w:firstLine="1040"/>
        <w:textAlignment w:val="auto"/>
        <w:outlineLvl w:val="9"/>
        <w:rPr>
          <w:rFonts w:hint="eastAsia" w:ascii="仿宋_GB2312" w:eastAsia="仿宋_GB2312"/>
          <w:color w:val="auto"/>
          <w:sz w:val="36"/>
          <w:szCs w:val="36"/>
        </w:rPr>
      </w:pPr>
    </w:p>
    <w:bookmarkEnd w:id="2"/>
    <w:p w14:paraId="7573C90C">
      <w:pPr>
        <w:keepNext w:val="0"/>
        <w:keepLines w:val="0"/>
        <w:pageBreakBefore w:val="0"/>
        <w:widowControl w:val="0"/>
        <w:kinsoku/>
        <w:wordWrap/>
        <w:overflowPunct/>
        <w:topLinePunct w:val="0"/>
        <w:bidi w:val="0"/>
        <w:adjustRightInd w:val="0"/>
        <w:snapToGrid w:val="0"/>
        <w:spacing w:line="288" w:lineRule="auto"/>
        <w:jc w:val="center"/>
        <w:textAlignment w:val="auto"/>
        <w:outlineLvl w:val="0"/>
        <w:rPr>
          <w:rFonts w:hint="eastAsia" w:ascii="楷体_GB2312" w:eastAsia="楷体_GB2312"/>
          <w:color w:val="auto"/>
          <w:sz w:val="36"/>
          <w:szCs w:val="36"/>
        </w:rPr>
      </w:pPr>
      <w:bookmarkStart w:id="3" w:name="_Toc13332"/>
      <w:bookmarkStart w:id="4" w:name="_Toc17889"/>
      <w:r>
        <w:rPr>
          <w:rFonts w:hint="eastAsia" w:ascii="楷体_GB2312" w:eastAsia="楷体_GB2312"/>
          <w:color w:val="auto"/>
          <w:sz w:val="36"/>
          <w:szCs w:val="36"/>
        </w:rPr>
        <w:t>中华人民共和国生态环境部制</w:t>
      </w:r>
      <w:bookmarkEnd w:id="3"/>
      <w:bookmarkEnd w:id="4"/>
    </w:p>
    <w:p w14:paraId="40C9E29B">
      <w:pPr>
        <w:pStyle w:val="34"/>
        <w:keepNext w:val="0"/>
        <w:keepLines w:val="0"/>
        <w:pageBreakBefore w:val="0"/>
        <w:widowControl w:val="0"/>
        <w:kinsoku/>
        <w:wordWrap/>
        <w:overflowPunct/>
        <w:topLinePunct w:val="0"/>
        <w:bidi w:val="0"/>
        <w:textAlignment w:val="auto"/>
        <w:outlineLvl w:val="9"/>
        <w:rPr>
          <w:color w:val="auto"/>
        </w:rPr>
        <w:sectPr>
          <w:footerReference r:id="rId3" w:type="default"/>
          <w:pgSz w:w="11906" w:h="16838"/>
          <w:pgMar w:top="1701" w:right="1531" w:bottom="1701" w:left="1531"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584C60B7">
      <w:pPr>
        <w:pStyle w:val="36"/>
        <w:ind w:left="0" w:leftChars="0" w:firstLine="0" w:firstLineChars="0"/>
        <w:outlineLvl w:val="9"/>
        <w:rPr>
          <w:color w:val="auto"/>
        </w:rPr>
        <w:sectPr>
          <w:pgSz w:w="11906" w:h="16838"/>
          <w:pgMar w:top="1134" w:right="1134" w:bottom="1134" w:left="1134" w:header="851" w:footer="1077" w:gutter="0"/>
          <w:pgBorders>
            <w:top w:val="none" w:sz="0" w:space="0"/>
            <w:left w:val="none" w:sz="0" w:space="0"/>
            <w:bottom w:val="none" w:sz="0" w:space="0"/>
            <w:right w:val="none" w:sz="0" w:space="0"/>
          </w:pgBorders>
          <w:pgNumType w:fmt="decimal" w:start="3"/>
          <w:cols w:space="720" w:num="1"/>
          <w:docGrid w:linePitch="312" w:charSpace="0"/>
        </w:sectPr>
      </w:pPr>
    </w:p>
    <w:sdt>
      <w:sdtPr>
        <w:rPr>
          <w:rFonts w:hint="default" w:ascii="Times New Roman" w:hAnsi="Times New Roman" w:eastAsia="宋体" w:cs="Times New Roman"/>
          <w:b/>
          <w:bCs/>
          <w:color w:val="auto"/>
          <w:kern w:val="2"/>
          <w:sz w:val="32"/>
          <w:szCs w:val="40"/>
          <w:lang w:val="en-US" w:eastAsia="zh-CN" w:bidi="ar-SA"/>
        </w:rPr>
        <w:id w:val="147473835"/>
        <w15:color w:val="DBDBDB"/>
        <w:docPartObj>
          <w:docPartGallery w:val="Table of Contents"/>
          <w:docPartUnique/>
        </w:docPartObj>
      </w:sdtPr>
      <w:sdtEndPr>
        <w:rPr>
          <w:rFonts w:hint="eastAsia" w:ascii="宋体" w:hAnsi="宋体" w:eastAsia="宋体" w:cs="Arial Unicode MS"/>
          <w:b/>
          <w:bCs/>
          <w:snapToGrid/>
          <w:color w:val="auto"/>
          <w:kern w:val="2"/>
          <w:sz w:val="18"/>
          <w:szCs w:val="18"/>
          <w:lang w:val="en-US" w:eastAsia="zh-CN" w:bidi="ar-SA"/>
        </w:rPr>
      </w:sdtEndPr>
      <w:sdtContent>
        <w:p w14:paraId="590B3105">
          <w:pPr>
            <w:keepNext w:val="0"/>
            <w:keepLines w:val="0"/>
            <w:pageBreakBefore w:val="0"/>
            <w:kinsoku/>
            <w:wordWrap/>
            <w:overflowPunct/>
            <w:topLinePunct w:val="0"/>
            <w:autoSpaceDE/>
            <w:autoSpaceDN/>
            <w:bidi w:val="0"/>
            <w:adjustRightInd/>
            <w:snapToGrid/>
            <w:spacing w:before="0" w:beforeLines="0" w:after="0" w:afterLines="0" w:line="1000" w:lineRule="exact"/>
            <w:ind w:left="0" w:leftChars="0" w:right="0" w:rightChars="0" w:firstLine="0" w:firstLineChars="0"/>
            <w:jc w:val="center"/>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b/>
              <w:bCs/>
              <w:color w:val="auto"/>
              <w:sz w:val="44"/>
              <w:szCs w:val="44"/>
            </w:rPr>
            <w:t>目</w:t>
          </w:r>
          <w:r>
            <w:rPr>
              <w:rFonts w:hint="eastAsia" w:ascii="Times New Roman" w:hAnsi="Times New Roman" w:eastAsia="宋体" w:cs="Times New Roman"/>
              <w:b/>
              <w:bCs/>
              <w:color w:val="auto"/>
              <w:sz w:val="44"/>
              <w:szCs w:val="44"/>
              <w:lang w:val="en-US" w:eastAsia="zh-CN"/>
            </w:rPr>
            <w:t xml:space="preserve"> </w:t>
          </w:r>
          <w:r>
            <w:rPr>
              <w:rFonts w:hint="default" w:ascii="Times New Roman" w:hAnsi="Times New Roman" w:eastAsia="宋体" w:cs="Times New Roman"/>
              <w:b/>
              <w:bCs/>
              <w:color w:val="auto"/>
              <w:sz w:val="44"/>
              <w:szCs w:val="44"/>
            </w:rPr>
            <w:t>录</w:t>
          </w:r>
        </w:p>
        <w:p w14:paraId="6A5D60EB">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rFonts w:hint="default" w:ascii="Times New Roman" w:hAnsi="Times New Roman" w:eastAsia="宋体" w:cs="Times New Roman"/>
              <w:b/>
              <w:bCs/>
              <w:color w:val="auto"/>
              <w:sz w:val="28"/>
              <w:szCs w:val="36"/>
            </w:rPr>
          </w:pPr>
          <w:r>
            <w:rPr>
              <w:rFonts w:hint="default" w:ascii="Times New Roman" w:hAnsi="Times New Roman" w:eastAsia="宋体" w:cs="Times New Roman"/>
              <w:color w:val="auto"/>
              <w:sz w:val="28"/>
              <w:szCs w:val="28"/>
            </w:rPr>
            <w:fldChar w:fldCharType="begin"/>
          </w:r>
          <w:r>
            <w:rPr>
              <w:rFonts w:hint="default" w:ascii="Times New Roman" w:hAnsi="Times New Roman" w:eastAsia="宋体" w:cs="Times New Roman"/>
              <w:color w:val="auto"/>
              <w:sz w:val="28"/>
              <w:szCs w:val="28"/>
            </w:rPr>
            <w:instrText xml:space="preserve">TOC \o "1-1" \h \u </w:instrText>
          </w:r>
          <w:r>
            <w:rPr>
              <w:rFonts w:hint="default" w:ascii="Times New Roman" w:hAnsi="Times New Roman" w:eastAsia="宋体" w:cs="Times New Roman"/>
              <w:color w:val="auto"/>
              <w:sz w:val="28"/>
              <w:szCs w:val="28"/>
            </w:rPr>
            <w:fldChar w:fldCharType="separate"/>
          </w: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_Toc9783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sz w:val="28"/>
              <w:szCs w:val="40"/>
            </w:rPr>
            <w:t>一、建设项目基本情况</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_Toc9783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1</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0651DACE">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rFonts w:hint="default" w:ascii="Times New Roman" w:hAnsi="Times New Roman" w:eastAsia="宋体" w:cs="Times New Roman"/>
              <w:b/>
              <w:bCs/>
              <w:color w:val="auto"/>
              <w:sz w:val="28"/>
              <w:szCs w:val="36"/>
            </w:rPr>
          </w:pP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_Toc3420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sz w:val="28"/>
              <w:szCs w:val="40"/>
            </w:rPr>
            <w:t>二、建设项目工程分析</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_Toc3420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24</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1C04BDD1">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rFonts w:hint="default" w:ascii="Times New Roman" w:hAnsi="Times New Roman" w:eastAsia="宋体" w:cs="Times New Roman"/>
              <w:b/>
              <w:bCs/>
              <w:color w:val="auto"/>
              <w:sz w:val="28"/>
              <w:szCs w:val="36"/>
            </w:rPr>
          </w:pP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_Toc10291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sz w:val="28"/>
              <w:szCs w:val="40"/>
            </w:rPr>
            <w:t>三、区域环境质量现状、环境保护目标及评价标准</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_Toc10291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46</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179583F2">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rFonts w:hint="default" w:ascii="Times New Roman" w:hAnsi="Times New Roman" w:eastAsia="宋体" w:cs="Times New Roman"/>
              <w:b/>
              <w:bCs/>
              <w:color w:val="auto"/>
              <w:sz w:val="28"/>
              <w:szCs w:val="36"/>
            </w:rPr>
          </w:pP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_Toc3079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sz w:val="28"/>
              <w:szCs w:val="40"/>
            </w:rPr>
            <w:t>四、主要环境影响和保护措施</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_Toc3079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54</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2A081D12">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rFonts w:hint="default" w:ascii="Times New Roman" w:hAnsi="Times New Roman" w:eastAsia="宋体" w:cs="Times New Roman"/>
              <w:b/>
              <w:bCs/>
              <w:color w:val="auto"/>
              <w:sz w:val="28"/>
              <w:szCs w:val="36"/>
            </w:rPr>
          </w:pP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_Toc5104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kern w:val="0"/>
              <w:sz w:val="28"/>
              <w:szCs w:val="40"/>
              <w:lang w:val="en-US" w:eastAsia="zh-CN" w:bidi="ar-SA"/>
            </w:rPr>
            <w:t>五、环境保护措施监督检查清单</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_Toc5104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87</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7185C03D">
          <w:pPr>
            <w:pStyle w:val="25"/>
            <w:keepNext w:val="0"/>
            <w:keepLines w:val="0"/>
            <w:pageBreakBefore w:val="0"/>
            <w:widowControl w:val="0"/>
            <w:tabs>
              <w:tab w:val="right" w:leader="dot" w:pos="9072"/>
            </w:tabs>
            <w:kinsoku/>
            <w:wordWrap/>
            <w:overflowPunct/>
            <w:topLinePunct w:val="0"/>
            <w:autoSpaceDE/>
            <w:autoSpaceDN/>
            <w:bidi w:val="0"/>
            <w:adjustRightInd/>
            <w:snapToGrid/>
            <w:spacing w:line="1000" w:lineRule="exact"/>
            <w:textAlignment w:val="auto"/>
            <w:rPr>
              <w:color w:val="auto"/>
            </w:rPr>
          </w:pPr>
          <w:r>
            <w:rPr>
              <w:rFonts w:hint="default" w:ascii="Times New Roman" w:hAnsi="Times New Roman" w:eastAsia="宋体" w:cs="Times New Roman"/>
              <w:b/>
              <w:bCs/>
              <w:color w:val="auto"/>
              <w:sz w:val="28"/>
              <w:szCs w:val="40"/>
            </w:rPr>
            <w:fldChar w:fldCharType="begin"/>
          </w:r>
          <w:r>
            <w:rPr>
              <w:rFonts w:hint="default" w:ascii="Times New Roman" w:hAnsi="Times New Roman" w:eastAsia="宋体" w:cs="Times New Roman"/>
              <w:b/>
              <w:bCs/>
              <w:color w:val="auto"/>
              <w:sz w:val="28"/>
              <w:szCs w:val="40"/>
            </w:rPr>
            <w:instrText xml:space="preserve"> HYPERLINK \l _Toc12474 </w:instrText>
          </w:r>
          <w:r>
            <w:rPr>
              <w:rFonts w:hint="default" w:ascii="Times New Roman" w:hAnsi="Times New Roman" w:eastAsia="宋体" w:cs="Times New Roman"/>
              <w:b/>
              <w:bCs/>
              <w:color w:val="auto"/>
              <w:sz w:val="28"/>
              <w:szCs w:val="40"/>
            </w:rPr>
            <w:fldChar w:fldCharType="separate"/>
          </w:r>
          <w:r>
            <w:rPr>
              <w:rFonts w:hint="default" w:ascii="Times New Roman" w:hAnsi="Times New Roman" w:eastAsia="宋体" w:cs="Times New Roman"/>
              <w:b/>
              <w:bCs/>
              <w:snapToGrid w:val="0"/>
              <w:color w:val="auto"/>
              <w:kern w:val="0"/>
              <w:sz w:val="28"/>
              <w:szCs w:val="40"/>
              <w:lang w:val="en-US" w:eastAsia="zh-CN" w:bidi="ar-SA"/>
            </w:rPr>
            <w:t>六、结论</w:t>
          </w:r>
          <w:r>
            <w:rPr>
              <w:rFonts w:hint="default" w:ascii="Times New Roman" w:hAnsi="Times New Roman" w:eastAsia="宋体" w:cs="Times New Roman"/>
              <w:b/>
              <w:bCs/>
              <w:color w:val="auto"/>
              <w:sz w:val="28"/>
              <w:szCs w:val="36"/>
            </w:rPr>
            <w:tab/>
          </w:r>
          <w:r>
            <w:rPr>
              <w:rFonts w:hint="default" w:ascii="Times New Roman" w:hAnsi="Times New Roman" w:eastAsia="宋体" w:cs="Times New Roman"/>
              <w:b/>
              <w:bCs/>
              <w:color w:val="auto"/>
              <w:sz w:val="28"/>
              <w:szCs w:val="36"/>
            </w:rPr>
            <w:fldChar w:fldCharType="begin"/>
          </w:r>
          <w:r>
            <w:rPr>
              <w:rFonts w:hint="default" w:ascii="Times New Roman" w:hAnsi="Times New Roman" w:eastAsia="宋体" w:cs="Times New Roman"/>
              <w:b/>
              <w:bCs/>
              <w:color w:val="auto"/>
              <w:sz w:val="28"/>
              <w:szCs w:val="36"/>
            </w:rPr>
            <w:instrText xml:space="preserve"> PAGEREF _Toc12474 \h </w:instrText>
          </w:r>
          <w:r>
            <w:rPr>
              <w:rFonts w:hint="default" w:ascii="Times New Roman" w:hAnsi="Times New Roman" w:eastAsia="宋体" w:cs="Times New Roman"/>
              <w:b/>
              <w:bCs/>
              <w:color w:val="auto"/>
              <w:sz w:val="28"/>
              <w:szCs w:val="36"/>
            </w:rPr>
            <w:fldChar w:fldCharType="separate"/>
          </w:r>
          <w:r>
            <w:rPr>
              <w:rFonts w:hint="default" w:ascii="Times New Roman" w:hAnsi="Times New Roman" w:eastAsia="宋体" w:cs="Times New Roman"/>
              <w:b/>
              <w:bCs/>
              <w:color w:val="auto"/>
              <w:sz w:val="28"/>
              <w:szCs w:val="36"/>
            </w:rPr>
            <w:t>89</w:t>
          </w:r>
          <w:r>
            <w:rPr>
              <w:rFonts w:hint="default" w:ascii="Times New Roman" w:hAnsi="Times New Roman" w:eastAsia="宋体" w:cs="Times New Roman"/>
              <w:b/>
              <w:bCs/>
              <w:color w:val="auto"/>
              <w:sz w:val="28"/>
              <w:szCs w:val="36"/>
            </w:rPr>
            <w:fldChar w:fldCharType="end"/>
          </w:r>
          <w:r>
            <w:rPr>
              <w:rFonts w:hint="default" w:ascii="Times New Roman" w:hAnsi="Times New Roman" w:eastAsia="宋体" w:cs="Times New Roman"/>
              <w:b/>
              <w:bCs/>
              <w:color w:val="auto"/>
              <w:sz w:val="28"/>
              <w:szCs w:val="40"/>
            </w:rPr>
            <w:fldChar w:fldCharType="end"/>
          </w:r>
        </w:p>
        <w:p w14:paraId="553F5B2A">
          <w:pPr>
            <w:pStyle w:val="25"/>
            <w:tabs>
              <w:tab w:val="right" w:leader="dot" w:pos="9072"/>
            </w:tabs>
            <w:rPr>
              <w:color w:val="auto"/>
            </w:rPr>
          </w:pPr>
        </w:p>
        <w:p w14:paraId="69C7A2E1">
          <w:pPr>
            <w:pStyle w:val="42"/>
            <w:keepNext w:val="0"/>
            <w:keepLines w:val="0"/>
            <w:pageBreakBefore w:val="0"/>
            <w:kinsoku/>
            <w:wordWrap/>
            <w:overflowPunct/>
            <w:topLinePunct w:val="0"/>
            <w:autoSpaceDE/>
            <w:autoSpaceDN/>
            <w:bidi w:val="0"/>
            <w:adjustRightInd/>
            <w:snapToGrid/>
            <w:spacing w:line="1000" w:lineRule="exact"/>
            <w:textAlignment w:val="auto"/>
            <w:rPr>
              <w:rFonts w:hint="eastAsia" w:ascii="宋体" w:hAnsi="宋体" w:eastAsia="宋体" w:cs="Arial Unicode MS"/>
              <w:snapToGrid/>
              <w:color w:val="auto"/>
              <w:kern w:val="2"/>
              <w:sz w:val="18"/>
              <w:szCs w:val="18"/>
              <w:lang w:val="en-US" w:eastAsia="zh-CN" w:bidi="ar-SA"/>
            </w:rPr>
          </w:pPr>
          <w:r>
            <w:rPr>
              <w:rFonts w:hint="default" w:ascii="Times New Roman" w:hAnsi="Times New Roman" w:eastAsia="宋体" w:cs="Times New Roman"/>
              <w:color w:val="auto"/>
              <w:szCs w:val="28"/>
            </w:rPr>
            <w:fldChar w:fldCharType="end"/>
          </w:r>
        </w:p>
      </w:sdtContent>
    </w:sdt>
    <w:p w14:paraId="3CC0D5BA">
      <w:pPr>
        <w:pStyle w:val="29"/>
        <w:rPr>
          <w:color w:val="auto"/>
        </w:rPr>
        <w:sectPr>
          <w:pgSz w:w="11906" w:h="16838"/>
          <w:pgMar w:top="1417" w:right="1417" w:bottom="1417" w:left="1417"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499A1958">
      <w:pPr>
        <w:pStyle w:val="6"/>
        <w:rPr>
          <w:color w:val="auto"/>
        </w:rPr>
        <w:sectPr>
          <w:pgSz w:w="11906" w:h="16838"/>
          <w:pgMar w:top="1417" w:right="1417" w:bottom="1417" w:left="1417"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71A7B42B">
      <w:pPr>
        <w:keepNext w:val="0"/>
        <w:keepLines w:val="0"/>
        <w:pageBreakBefore/>
        <w:widowControl w:val="0"/>
        <w:kinsoku/>
        <w:wordWrap/>
        <w:overflowPunct/>
        <w:topLinePunct w:val="0"/>
        <w:autoSpaceDE w:val="0"/>
        <w:autoSpaceDN w:val="0"/>
        <w:bidi w:val="0"/>
        <w:adjustRightInd w:val="0"/>
        <w:snapToGrid w:val="0"/>
        <w:spacing w:before="0" w:after="0" w:line="700" w:lineRule="exact"/>
        <w:ind w:left="0" w:leftChars="0" w:right="0" w:rightChars="0" w:firstLine="0" w:firstLineChars="0"/>
        <w:jc w:val="left"/>
        <w:textAlignment w:val="auto"/>
        <w:outlineLvl w:val="9"/>
        <w:rPr>
          <w:rFonts w:hint="default" w:ascii="Times New Roman" w:hAnsi="Times New Roman" w:eastAsia="宋体" w:cs="Times New Roman"/>
          <w:color w:val="auto"/>
          <w:kern w:val="0"/>
          <w:sz w:val="24"/>
          <w:szCs w:val="22"/>
        </w:rPr>
      </w:pPr>
      <w:r>
        <w:rPr>
          <w:rFonts w:hint="default" w:ascii="Times New Roman" w:hAnsi="Times New Roman" w:eastAsia="宋体" w:cs="Times New Roman"/>
          <w:b/>
          <w:bCs/>
          <w:color w:val="auto"/>
          <w:kern w:val="0"/>
          <w:sz w:val="28"/>
          <w:szCs w:val="24"/>
          <w:lang w:val="en-US" w:eastAsia="zh-CN"/>
        </w:rPr>
        <w:t>附件</w:t>
      </w:r>
      <w:r>
        <w:rPr>
          <w:rFonts w:hint="default" w:ascii="Times New Roman" w:hAnsi="Times New Roman" w:eastAsia="宋体" w:cs="Times New Roman"/>
          <w:color w:val="auto"/>
          <w:kern w:val="0"/>
          <w:sz w:val="24"/>
          <w:szCs w:val="22"/>
          <w:lang w:val="en-US" w:eastAsia="zh-CN"/>
        </w:rPr>
        <w:t xml:space="preserve"> </w:t>
      </w:r>
    </w:p>
    <w:p w14:paraId="3D0BA945">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r>
        <w:rPr>
          <w:rFonts w:hint="default" w:ascii="Times New Roman" w:hAnsi="Times New Roman" w:eastAsia="宋体" w:cs="Times New Roman"/>
          <w:color w:val="auto"/>
          <w:kern w:val="0"/>
          <w:sz w:val="24"/>
          <w:szCs w:val="22"/>
          <w:lang w:val="en-US" w:eastAsia="zh-CN"/>
        </w:rPr>
        <w:t>附件1  环评委托书</w:t>
      </w:r>
    </w:p>
    <w:p w14:paraId="50C51434">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bookmarkStart w:id="5" w:name="_Toc23307"/>
      <w:r>
        <w:rPr>
          <w:rFonts w:hint="default" w:ascii="Times New Roman" w:hAnsi="Times New Roman" w:eastAsia="宋体" w:cs="Times New Roman"/>
          <w:color w:val="auto"/>
          <w:kern w:val="0"/>
          <w:sz w:val="24"/>
          <w:szCs w:val="22"/>
          <w:lang w:val="en-US" w:eastAsia="zh-CN"/>
        </w:rPr>
        <w:t xml:space="preserve">附件2  </w:t>
      </w:r>
      <w:bookmarkEnd w:id="5"/>
      <w:r>
        <w:rPr>
          <w:rFonts w:hint="eastAsia" w:cs="Times New Roman"/>
          <w:color w:val="auto"/>
          <w:kern w:val="0"/>
          <w:sz w:val="24"/>
          <w:szCs w:val="22"/>
          <w:lang w:val="en-US" w:eastAsia="zh-CN"/>
        </w:rPr>
        <w:t>技改</w:t>
      </w:r>
      <w:r>
        <w:rPr>
          <w:rFonts w:hint="default" w:ascii="Times New Roman" w:hAnsi="Times New Roman" w:eastAsia="宋体" w:cs="Times New Roman"/>
          <w:color w:val="auto"/>
          <w:kern w:val="0"/>
          <w:sz w:val="24"/>
          <w:szCs w:val="22"/>
          <w:lang w:val="en-US" w:eastAsia="zh-CN"/>
        </w:rPr>
        <w:t>备案证</w:t>
      </w:r>
    </w:p>
    <w:p w14:paraId="33340168">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r>
        <w:rPr>
          <w:rFonts w:hint="default" w:ascii="Times New Roman" w:hAnsi="Times New Roman" w:eastAsia="宋体" w:cs="Times New Roman"/>
          <w:color w:val="auto"/>
          <w:kern w:val="0"/>
          <w:sz w:val="24"/>
          <w:szCs w:val="22"/>
          <w:lang w:val="en-US" w:eastAsia="zh-CN"/>
        </w:rPr>
        <w:t xml:space="preserve">附件3  营业执照 </w:t>
      </w:r>
    </w:p>
    <w:p w14:paraId="40EA0AE2">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bookmarkStart w:id="6" w:name="_Toc23809"/>
      <w:r>
        <w:rPr>
          <w:rFonts w:hint="default" w:ascii="Times New Roman" w:hAnsi="Times New Roman" w:eastAsia="宋体" w:cs="Times New Roman"/>
          <w:color w:val="auto"/>
          <w:kern w:val="0"/>
          <w:sz w:val="24"/>
          <w:szCs w:val="22"/>
          <w:lang w:val="en-US" w:eastAsia="zh-CN"/>
        </w:rPr>
        <w:t xml:space="preserve">附件4 </w:t>
      </w:r>
      <w:r>
        <w:rPr>
          <w:rFonts w:hint="eastAsia" w:ascii="Times New Roman" w:hAnsi="Times New Roman" w:eastAsia="宋体" w:cs="Times New Roman"/>
          <w:color w:val="auto"/>
          <w:kern w:val="0"/>
          <w:sz w:val="24"/>
          <w:szCs w:val="22"/>
          <w:lang w:val="en-US" w:eastAsia="zh-CN"/>
        </w:rPr>
        <w:t xml:space="preserve"> </w:t>
      </w:r>
      <w:bookmarkEnd w:id="6"/>
      <w:r>
        <w:rPr>
          <w:rFonts w:hint="eastAsia" w:ascii="Times New Roman" w:hAnsi="Times New Roman" w:eastAsia="宋体" w:cs="Times New Roman"/>
          <w:color w:val="auto"/>
          <w:kern w:val="0"/>
          <w:sz w:val="24"/>
          <w:szCs w:val="22"/>
          <w:lang w:val="en-US" w:eastAsia="zh-CN"/>
        </w:rPr>
        <w:t>法人身份证</w:t>
      </w:r>
    </w:p>
    <w:p w14:paraId="4F40FD94">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eastAsia" w:ascii="Times New Roman" w:hAnsi="Times New Roman" w:eastAsia="宋体" w:cs="Times New Roman"/>
          <w:color w:val="auto"/>
          <w:kern w:val="0"/>
          <w:sz w:val="24"/>
          <w:szCs w:val="22"/>
          <w:lang w:val="en-US" w:eastAsia="zh-CN"/>
        </w:rPr>
      </w:pPr>
      <w:bookmarkStart w:id="7" w:name="_Toc26546"/>
      <w:r>
        <w:rPr>
          <w:rFonts w:hint="default" w:ascii="Times New Roman" w:hAnsi="Times New Roman" w:eastAsia="宋体" w:cs="Times New Roman"/>
          <w:color w:val="auto"/>
          <w:kern w:val="0"/>
          <w:sz w:val="24"/>
          <w:szCs w:val="22"/>
          <w:lang w:val="en-US" w:eastAsia="zh-CN"/>
        </w:rPr>
        <w:t xml:space="preserve">附件5  </w:t>
      </w:r>
      <w:bookmarkEnd w:id="7"/>
      <w:r>
        <w:rPr>
          <w:rFonts w:hint="eastAsia" w:cs="Times New Roman"/>
          <w:color w:val="auto"/>
          <w:kern w:val="0"/>
          <w:sz w:val="24"/>
          <w:szCs w:val="22"/>
          <w:lang w:val="en-US" w:eastAsia="zh-CN"/>
        </w:rPr>
        <w:t>土地证</w:t>
      </w:r>
    </w:p>
    <w:p w14:paraId="2B116112">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bookmarkStart w:id="8" w:name="_Toc29180"/>
      <w:r>
        <w:rPr>
          <w:rFonts w:hint="default" w:ascii="Times New Roman" w:hAnsi="Times New Roman" w:eastAsia="宋体" w:cs="Times New Roman"/>
          <w:color w:val="auto"/>
          <w:kern w:val="0"/>
          <w:sz w:val="24"/>
          <w:szCs w:val="22"/>
          <w:lang w:val="en-US" w:eastAsia="zh-CN"/>
        </w:rPr>
        <w:t xml:space="preserve">附件6  </w:t>
      </w:r>
      <w:bookmarkEnd w:id="8"/>
      <w:r>
        <w:rPr>
          <w:rFonts w:hint="default" w:ascii="Times New Roman" w:hAnsi="Times New Roman" w:eastAsia="宋体" w:cs="Times New Roman"/>
          <w:color w:val="auto"/>
          <w:kern w:val="0"/>
          <w:sz w:val="24"/>
          <w:szCs w:val="22"/>
          <w:lang w:val="en-US" w:eastAsia="zh-CN"/>
        </w:rPr>
        <w:t>环评技术合同</w:t>
      </w:r>
    </w:p>
    <w:p w14:paraId="3B8CFBD5">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rPr>
      </w:pPr>
      <w:bookmarkStart w:id="9" w:name="_Toc13505"/>
      <w:r>
        <w:rPr>
          <w:rFonts w:hint="default" w:ascii="Times New Roman" w:hAnsi="Times New Roman" w:eastAsia="宋体" w:cs="Times New Roman"/>
          <w:color w:val="auto"/>
          <w:kern w:val="0"/>
          <w:sz w:val="24"/>
          <w:szCs w:val="22"/>
          <w:lang w:val="en-US" w:eastAsia="zh-CN"/>
        </w:rPr>
        <w:t xml:space="preserve">附件7 </w:t>
      </w:r>
      <w:r>
        <w:rPr>
          <w:rFonts w:hint="eastAsia" w:ascii="Times New Roman" w:hAnsi="Times New Roman" w:eastAsia="宋体" w:cs="Times New Roman"/>
          <w:color w:val="auto"/>
          <w:kern w:val="0"/>
          <w:sz w:val="24"/>
          <w:szCs w:val="22"/>
          <w:lang w:val="en-US" w:eastAsia="zh-CN"/>
        </w:rPr>
        <w:t xml:space="preserve"> </w:t>
      </w:r>
      <w:bookmarkEnd w:id="9"/>
      <w:r>
        <w:rPr>
          <w:rFonts w:hint="eastAsia" w:ascii="Times New Roman" w:hAnsi="Times New Roman" w:eastAsia="宋体" w:cs="Times New Roman"/>
          <w:color w:val="auto"/>
          <w:kern w:val="0"/>
          <w:sz w:val="24"/>
          <w:szCs w:val="22"/>
          <w:lang w:val="en-US" w:eastAsia="zh-CN"/>
        </w:rPr>
        <w:t>环评文件审阅说明</w:t>
      </w:r>
    </w:p>
    <w:p w14:paraId="2FF59574">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rPr>
      </w:pPr>
      <w:bookmarkStart w:id="10" w:name="_Toc18552"/>
      <w:r>
        <w:rPr>
          <w:rFonts w:hint="default" w:ascii="Times New Roman" w:hAnsi="Times New Roman" w:eastAsia="宋体" w:cs="Times New Roman"/>
          <w:color w:val="auto"/>
          <w:kern w:val="0"/>
          <w:sz w:val="24"/>
          <w:szCs w:val="22"/>
          <w:lang w:val="en-US" w:eastAsia="zh-CN"/>
        </w:rPr>
        <w:t>附件</w:t>
      </w:r>
      <w:r>
        <w:rPr>
          <w:rFonts w:hint="eastAsia" w:cs="Times New Roman"/>
          <w:color w:val="auto"/>
          <w:kern w:val="0"/>
          <w:sz w:val="24"/>
          <w:szCs w:val="22"/>
          <w:lang w:val="en-US" w:eastAsia="zh-CN"/>
        </w:rPr>
        <w:t>8</w:t>
      </w:r>
      <w:r>
        <w:rPr>
          <w:rFonts w:hint="default" w:ascii="Times New Roman" w:hAnsi="Times New Roman" w:eastAsia="宋体" w:cs="Times New Roman"/>
          <w:color w:val="auto"/>
          <w:kern w:val="0"/>
          <w:sz w:val="24"/>
          <w:szCs w:val="22"/>
          <w:lang w:val="en-US" w:eastAsia="zh-CN"/>
        </w:rPr>
        <w:t xml:space="preserve">  </w:t>
      </w:r>
      <w:bookmarkEnd w:id="10"/>
      <w:r>
        <w:rPr>
          <w:rFonts w:hint="eastAsia" w:ascii="Times New Roman" w:hAnsi="Times New Roman" w:eastAsia="宋体" w:cs="Times New Roman"/>
          <w:color w:val="auto"/>
          <w:kern w:val="0"/>
          <w:sz w:val="24"/>
          <w:szCs w:val="22"/>
          <w:lang w:val="en-US" w:eastAsia="zh-CN"/>
        </w:rPr>
        <w:t>政府信息公开删除内容申请表</w:t>
      </w:r>
    </w:p>
    <w:p w14:paraId="2E444184">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11" w:name="_Toc29177"/>
      <w:r>
        <w:rPr>
          <w:rFonts w:hint="default" w:ascii="Times New Roman" w:hAnsi="Times New Roman" w:eastAsia="宋体" w:cs="Times New Roman"/>
          <w:color w:val="auto"/>
          <w:kern w:val="0"/>
          <w:sz w:val="24"/>
          <w:szCs w:val="22"/>
          <w:lang w:val="en-US" w:eastAsia="zh-CN"/>
        </w:rPr>
        <w:t>附件</w:t>
      </w:r>
      <w:r>
        <w:rPr>
          <w:rFonts w:hint="eastAsia" w:cs="Times New Roman"/>
          <w:color w:val="auto"/>
          <w:kern w:val="0"/>
          <w:sz w:val="24"/>
          <w:szCs w:val="22"/>
          <w:lang w:val="en-US" w:eastAsia="zh-CN"/>
        </w:rPr>
        <w:t>9</w:t>
      </w:r>
      <w:r>
        <w:rPr>
          <w:rFonts w:hint="default" w:ascii="Times New Roman" w:hAnsi="Times New Roman" w:eastAsia="宋体" w:cs="Times New Roman"/>
          <w:color w:val="auto"/>
          <w:kern w:val="0"/>
          <w:sz w:val="24"/>
          <w:szCs w:val="22"/>
          <w:lang w:val="en-US" w:eastAsia="zh-CN"/>
        </w:rPr>
        <w:t xml:space="preserve"> </w:t>
      </w:r>
      <w:bookmarkEnd w:id="11"/>
      <w:r>
        <w:rPr>
          <w:rFonts w:hint="eastAsia" w:cs="Times New Roman"/>
          <w:color w:val="auto"/>
          <w:kern w:val="0"/>
          <w:sz w:val="24"/>
          <w:szCs w:val="22"/>
          <w:lang w:val="en-US" w:eastAsia="zh-CN"/>
        </w:rPr>
        <w:t xml:space="preserve"> </w:t>
      </w:r>
      <w:r>
        <w:rPr>
          <w:rFonts w:hint="default" w:ascii="Times New Roman" w:hAnsi="Times New Roman" w:eastAsia="宋体" w:cs="Times New Roman"/>
          <w:color w:val="auto"/>
          <w:kern w:val="0"/>
          <w:sz w:val="24"/>
          <w:szCs w:val="22"/>
          <w:lang w:val="en-US" w:eastAsia="zh-CN"/>
        </w:rPr>
        <w:t xml:space="preserve">建设项目环境影响评价文件报批申请书 </w:t>
      </w:r>
    </w:p>
    <w:p w14:paraId="728FFC59">
      <w:pPr>
        <w:keepNext w:val="0"/>
        <w:keepLines w:val="0"/>
        <w:pageBreakBefore w:val="0"/>
        <w:widowControl w:val="0"/>
        <w:kinsoku/>
        <w:wordWrap/>
        <w:overflowPunct/>
        <w:topLinePunct w:val="0"/>
        <w:autoSpaceDE w:val="0"/>
        <w:autoSpaceDN w:val="0"/>
        <w:bidi w:val="0"/>
        <w:adjustRightInd w:val="0"/>
        <w:snapToGrid w:val="0"/>
        <w:spacing w:before="0" w:after="0" w:line="600" w:lineRule="exac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12" w:name="_Toc10260"/>
      <w:r>
        <w:rPr>
          <w:rFonts w:hint="default" w:ascii="Times New Roman" w:hAnsi="Times New Roman" w:eastAsia="宋体" w:cs="Times New Roman"/>
          <w:color w:val="auto"/>
          <w:kern w:val="0"/>
          <w:sz w:val="24"/>
          <w:szCs w:val="22"/>
          <w:lang w:val="en-US" w:eastAsia="zh-CN"/>
        </w:rPr>
        <w:t>附件1</w:t>
      </w:r>
      <w:r>
        <w:rPr>
          <w:rFonts w:hint="eastAsia" w:cs="Times New Roman"/>
          <w:color w:val="auto"/>
          <w:kern w:val="0"/>
          <w:sz w:val="24"/>
          <w:szCs w:val="22"/>
          <w:lang w:val="en-US" w:eastAsia="zh-CN"/>
        </w:rPr>
        <w:t>0</w:t>
      </w:r>
      <w:r>
        <w:rPr>
          <w:rFonts w:hint="default" w:ascii="Times New Roman" w:hAnsi="Times New Roman" w:eastAsia="宋体" w:cs="Times New Roman"/>
          <w:color w:val="auto"/>
          <w:kern w:val="0"/>
          <w:sz w:val="24"/>
          <w:szCs w:val="22"/>
          <w:lang w:val="en-US" w:eastAsia="zh-CN"/>
        </w:rPr>
        <w:t xml:space="preserve"> </w:t>
      </w:r>
      <w:r>
        <w:rPr>
          <w:rFonts w:hint="eastAsia" w:ascii="Times New Roman" w:hAnsi="Times New Roman" w:eastAsia="宋体" w:cs="Times New Roman"/>
          <w:color w:val="auto"/>
          <w:kern w:val="0"/>
          <w:sz w:val="24"/>
          <w:szCs w:val="22"/>
          <w:lang w:val="en-US" w:eastAsia="zh-CN"/>
        </w:rPr>
        <w:t xml:space="preserve"> </w:t>
      </w:r>
      <w:bookmarkEnd w:id="12"/>
      <w:r>
        <w:rPr>
          <w:rFonts w:hint="eastAsia" w:cs="Times New Roman"/>
          <w:color w:val="auto"/>
          <w:kern w:val="0"/>
          <w:sz w:val="24"/>
          <w:szCs w:val="22"/>
          <w:lang w:val="en-US" w:eastAsia="zh-CN"/>
        </w:rPr>
        <w:t>现有项目</w:t>
      </w:r>
      <w:r>
        <w:rPr>
          <w:rFonts w:hint="eastAsia" w:ascii="Times New Roman" w:hAnsi="Times New Roman" w:eastAsia="宋体" w:cs="Times New Roman"/>
          <w:color w:val="auto"/>
          <w:kern w:val="0"/>
          <w:sz w:val="24"/>
          <w:szCs w:val="22"/>
          <w:lang w:val="en-US" w:eastAsia="zh-CN"/>
        </w:rPr>
        <w:t>环评批复</w:t>
      </w:r>
    </w:p>
    <w:p w14:paraId="06B804C5">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rPr>
      </w:pPr>
      <w:bookmarkStart w:id="13" w:name="_Toc21402"/>
      <w:r>
        <w:rPr>
          <w:rFonts w:hint="default" w:ascii="Times New Roman" w:hAnsi="Times New Roman" w:eastAsia="宋体" w:cs="Times New Roman"/>
          <w:color w:val="auto"/>
          <w:kern w:val="0"/>
          <w:sz w:val="24"/>
          <w:szCs w:val="22"/>
          <w:lang w:val="en-US" w:eastAsia="zh-CN"/>
        </w:rPr>
        <w:t>附件1</w:t>
      </w:r>
      <w:r>
        <w:rPr>
          <w:rFonts w:hint="eastAsia" w:cs="Times New Roman"/>
          <w:color w:val="auto"/>
          <w:kern w:val="0"/>
          <w:sz w:val="24"/>
          <w:szCs w:val="22"/>
          <w:lang w:val="en-US" w:eastAsia="zh-CN"/>
        </w:rPr>
        <w:t>1</w:t>
      </w:r>
      <w:r>
        <w:rPr>
          <w:rFonts w:hint="eastAsia" w:ascii="Times New Roman" w:hAnsi="Times New Roman" w:eastAsia="宋体" w:cs="Times New Roman"/>
          <w:color w:val="auto"/>
          <w:kern w:val="0"/>
          <w:sz w:val="24"/>
          <w:szCs w:val="22"/>
          <w:lang w:val="en-US" w:eastAsia="zh-CN"/>
        </w:rPr>
        <w:t xml:space="preserve"> </w:t>
      </w:r>
      <w:bookmarkEnd w:id="13"/>
      <w:r>
        <w:rPr>
          <w:rFonts w:hint="eastAsia" w:cs="Times New Roman"/>
          <w:color w:val="auto"/>
          <w:kern w:val="0"/>
          <w:sz w:val="24"/>
          <w:szCs w:val="22"/>
          <w:lang w:val="en-US" w:eastAsia="zh-CN"/>
        </w:rPr>
        <w:t xml:space="preserve"> 现场勘察单</w:t>
      </w:r>
    </w:p>
    <w:p w14:paraId="47CD7A39">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eastAsia" w:ascii="Times New Roman" w:hAnsi="Times New Roman" w:eastAsia="宋体" w:cs="Times New Roman"/>
          <w:color w:val="auto"/>
          <w:kern w:val="0"/>
          <w:sz w:val="24"/>
          <w:szCs w:val="22"/>
          <w:lang w:val="en-US" w:eastAsia="zh-CN" w:bidi="ar-SA"/>
        </w:rPr>
      </w:pPr>
      <w:r>
        <w:rPr>
          <w:rFonts w:hint="default" w:ascii="Times New Roman" w:hAnsi="Times New Roman" w:eastAsia="宋体" w:cs="Times New Roman"/>
          <w:color w:val="auto"/>
          <w:kern w:val="0"/>
          <w:sz w:val="24"/>
          <w:szCs w:val="22"/>
          <w:lang w:val="en-US" w:eastAsia="zh-CN" w:bidi="ar-SA"/>
        </w:rPr>
        <w:t>附件1</w:t>
      </w:r>
      <w:r>
        <w:rPr>
          <w:rFonts w:hint="eastAsia" w:cs="Times New Roman"/>
          <w:color w:val="auto"/>
          <w:kern w:val="0"/>
          <w:sz w:val="24"/>
          <w:szCs w:val="22"/>
          <w:lang w:val="en-US" w:eastAsia="zh-CN" w:bidi="ar-SA"/>
        </w:rPr>
        <w:t>2</w:t>
      </w:r>
      <w:r>
        <w:rPr>
          <w:rFonts w:hint="eastAsia" w:ascii="Times New Roman" w:hAnsi="Times New Roman" w:eastAsia="宋体" w:cs="Times New Roman"/>
          <w:color w:val="auto"/>
          <w:kern w:val="0"/>
          <w:sz w:val="24"/>
          <w:szCs w:val="22"/>
          <w:lang w:val="en-US" w:eastAsia="zh-CN" w:bidi="ar-SA"/>
        </w:rPr>
        <w:t xml:space="preserve">  江苏省生态环境分区管控综合查询报告书</w:t>
      </w:r>
    </w:p>
    <w:p w14:paraId="13BFEF12">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eastAsia"/>
          <w:color w:val="auto"/>
          <w:lang w:val="en-US" w:eastAsia="zh-CN"/>
        </w:rPr>
      </w:pPr>
      <w:r>
        <w:rPr>
          <w:rFonts w:hint="default" w:ascii="Times New Roman" w:hAnsi="Times New Roman" w:eastAsia="宋体" w:cs="Times New Roman"/>
          <w:color w:val="auto"/>
          <w:kern w:val="0"/>
          <w:sz w:val="24"/>
          <w:szCs w:val="22"/>
          <w:lang w:val="en-US" w:eastAsia="zh-CN"/>
        </w:rPr>
        <w:t>附件1</w:t>
      </w:r>
      <w:r>
        <w:rPr>
          <w:rFonts w:hint="eastAsia" w:cs="Times New Roman"/>
          <w:color w:val="auto"/>
          <w:kern w:val="0"/>
          <w:sz w:val="24"/>
          <w:szCs w:val="22"/>
          <w:lang w:val="en-US" w:eastAsia="zh-CN"/>
        </w:rPr>
        <w:t>3</w:t>
      </w:r>
      <w:r>
        <w:rPr>
          <w:rFonts w:hint="eastAsia" w:ascii="Times New Roman" w:hAnsi="Times New Roman" w:eastAsia="宋体" w:cs="Times New Roman"/>
          <w:color w:val="auto"/>
          <w:kern w:val="0"/>
          <w:sz w:val="24"/>
          <w:szCs w:val="22"/>
          <w:lang w:val="en-US" w:eastAsia="zh-CN"/>
        </w:rPr>
        <w:t xml:space="preserve"> </w:t>
      </w:r>
      <w:r>
        <w:rPr>
          <w:rFonts w:hint="eastAsia" w:cs="Times New Roman"/>
          <w:color w:val="auto"/>
          <w:kern w:val="0"/>
          <w:sz w:val="24"/>
          <w:szCs w:val="22"/>
          <w:lang w:val="en-US" w:eastAsia="zh-CN"/>
        </w:rPr>
        <w:t xml:space="preserve"> 环境质量检测报告（引用）</w:t>
      </w:r>
    </w:p>
    <w:p w14:paraId="3711BE69">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eastAsia" w:cs="Times New Roman"/>
          <w:color w:val="auto"/>
          <w:kern w:val="0"/>
          <w:sz w:val="24"/>
          <w:szCs w:val="22"/>
          <w:lang w:val="en-US" w:eastAsia="zh-CN"/>
        </w:rPr>
      </w:pPr>
      <w:r>
        <w:rPr>
          <w:rFonts w:hint="default" w:ascii="Times New Roman" w:hAnsi="Times New Roman" w:eastAsia="宋体" w:cs="Times New Roman"/>
          <w:color w:val="auto"/>
          <w:kern w:val="0"/>
          <w:sz w:val="24"/>
          <w:szCs w:val="22"/>
          <w:lang w:val="en-US" w:eastAsia="zh-CN"/>
        </w:rPr>
        <w:t>附件1</w:t>
      </w:r>
      <w:r>
        <w:rPr>
          <w:rFonts w:hint="eastAsia" w:cs="Times New Roman"/>
          <w:color w:val="auto"/>
          <w:kern w:val="0"/>
          <w:sz w:val="24"/>
          <w:szCs w:val="22"/>
          <w:lang w:val="en-US" w:eastAsia="zh-CN"/>
        </w:rPr>
        <w:t>4</w:t>
      </w:r>
      <w:r>
        <w:rPr>
          <w:rFonts w:hint="eastAsia" w:ascii="Times New Roman" w:hAnsi="Times New Roman" w:eastAsia="宋体" w:cs="Times New Roman"/>
          <w:color w:val="auto"/>
          <w:kern w:val="0"/>
          <w:sz w:val="24"/>
          <w:szCs w:val="22"/>
          <w:lang w:val="en-US" w:eastAsia="zh-CN"/>
        </w:rPr>
        <w:t xml:space="preserve"> </w:t>
      </w:r>
      <w:r>
        <w:rPr>
          <w:rFonts w:hint="eastAsia" w:cs="Times New Roman"/>
          <w:color w:val="auto"/>
          <w:kern w:val="0"/>
          <w:sz w:val="24"/>
          <w:szCs w:val="22"/>
          <w:lang w:val="en-US" w:eastAsia="zh-CN"/>
        </w:rPr>
        <w:t xml:space="preserve"> 不可替代说明</w:t>
      </w:r>
    </w:p>
    <w:p w14:paraId="5422AD68">
      <w:pPr>
        <w:pStyle w:val="6"/>
        <w:keepNext w:val="0"/>
        <w:keepLines w:val="0"/>
        <w:pageBreakBefore w:val="0"/>
        <w:widowControl w:val="0"/>
        <w:kinsoku/>
        <w:wordWrap/>
        <w:overflowPunct/>
        <w:topLinePunct w:val="0"/>
        <w:autoSpaceDE/>
        <w:autoSpaceDN/>
        <w:bidi w:val="0"/>
        <w:adjustRightInd/>
        <w:snapToGrid/>
        <w:spacing w:line="600" w:lineRule="atLeast"/>
        <w:ind w:firstLine="420" w:firstLineChars="200"/>
        <w:textAlignment w:val="auto"/>
        <w:rPr>
          <w:color w:val="auto"/>
        </w:rPr>
        <w:sectPr>
          <w:pgSz w:w="11906" w:h="16838"/>
          <w:pgMar w:top="1417" w:right="1417" w:bottom="1417" w:left="1417"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7212DA67">
      <w:pPr>
        <w:keepNext w:val="0"/>
        <w:keepLines w:val="0"/>
        <w:pageBreakBefore/>
        <w:widowControl w:val="0"/>
        <w:numPr>
          <w:ilvl w:val="0"/>
          <w:numId w:val="0"/>
        </w:numPr>
        <w:kinsoku/>
        <w:wordWrap/>
        <w:overflowPunct/>
        <w:topLinePunct w:val="0"/>
        <w:autoSpaceDE/>
        <w:autoSpaceDN/>
        <w:bidi w:val="0"/>
        <w:adjustRightInd/>
        <w:snapToGrid/>
        <w:spacing w:before="0" w:beforeLines="0" w:beforeAutospacing="0" w:after="0" w:afterLines="0" w:afterAutospacing="0" w:line="700" w:lineRule="exact"/>
        <w:ind w:left="0" w:firstLine="0" w:firstLineChars="0"/>
        <w:jc w:val="both"/>
        <w:textAlignment w:val="auto"/>
        <w:outlineLvl w:val="9"/>
        <w:rPr>
          <w:rFonts w:hint="default" w:ascii="Times New Roman" w:hAnsi="Times New Roman" w:eastAsia="宋体" w:cs="Times New Roman"/>
          <w:b/>
          <w:bCs/>
          <w:snapToGrid/>
          <w:color w:val="auto"/>
          <w:kern w:val="2"/>
          <w:sz w:val="24"/>
          <w:szCs w:val="28"/>
          <w:lang w:val="en-US" w:eastAsia="zh-CN" w:bidi="ar-SA"/>
        </w:rPr>
      </w:pPr>
      <w:bookmarkStart w:id="14" w:name="_Toc18976"/>
      <w:r>
        <w:rPr>
          <w:rFonts w:hint="default" w:ascii="Times New Roman" w:hAnsi="Times New Roman" w:eastAsia="宋体" w:cs="Times New Roman"/>
          <w:b/>
          <w:bCs/>
          <w:snapToGrid/>
          <w:color w:val="auto"/>
          <w:kern w:val="0"/>
          <w:sz w:val="28"/>
          <w:szCs w:val="24"/>
          <w:lang w:val="en-US" w:eastAsia="zh-CN" w:bidi="ar-SA"/>
        </w:rPr>
        <w:t>附图</w:t>
      </w:r>
      <w:bookmarkEnd w:id="14"/>
    </w:p>
    <w:p w14:paraId="613ABD69">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15" w:name="_Toc99645908"/>
      <w:bookmarkStart w:id="16" w:name="_Toc12530"/>
      <w:bookmarkStart w:id="17" w:name="_Toc20765"/>
      <w:bookmarkStart w:id="18" w:name="_Toc9709"/>
      <w:bookmarkStart w:id="19" w:name="_Toc24746"/>
      <w:r>
        <w:rPr>
          <w:rFonts w:hint="default" w:ascii="Times New Roman" w:hAnsi="Times New Roman" w:eastAsia="宋体" w:cs="Times New Roman"/>
          <w:color w:val="auto"/>
          <w:kern w:val="0"/>
          <w:sz w:val="24"/>
          <w:szCs w:val="22"/>
          <w:lang w:val="en-US" w:eastAsia="zh-CN"/>
        </w:rPr>
        <w:t xml:space="preserve">图1  </w:t>
      </w:r>
      <w:bookmarkEnd w:id="15"/>
      <w:bookmarkEnd w:id="16"/>
      <w:bookmarkEnd w:id="17"/>
      <w:bookmarkEnd w:id="18"/>
      <w:bookmarkEnd w:id="19"/>
      <w:r>
        <w:rPr>
          <w:rFonts w:hint="eastAsia" w:cs="Times New Roman"/>
          <w:color w:val="auto"/>
          <w:kern w:val="0"/>
          <w:sz w:val="24"/>
          <w:szCs w:val="22"/>
          <w:lang w:val="en-US" w:eastAsia="zh-CN"/>
        </w:rPr>
        <w:t>项目与江苏省生态空间管控区域规划图位置关系</w:t>
      </w:r>
    </w:p>
    <w:p w14:paraId="21F8F174">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20" w:name="_Toc99645909"/>
      <w:bookmarkStart w:id="21" w:name="_Toc23718"/>
      <w:bookmarkStart w:id="22" w:name="_Toc29412"/>
      <w:bookmarkStart w:id="23" w:name="_Toc30757"/>
      <w:bookmarkStart w:id="24" w:name="_Toc26381"/>
      <w:r>
        <w:rPr>
          <w:rFonts w:hint="default" w:ascii="Times New Roman" w:hAnsi="Times New Roman" w:eastAsia="宋体" w:cs="Times New Roman"/>
          <w:color w:val="auto"/>
          <w:kern w:val="0"/>
          <w:sz w:val="24"/>
          <w:szCs w:val="22"/>
          <w:lang w:val="en-US" w:eastAsia="zh-CN"/>
        </w:rPr>
        <w:t xml:space="preserve">图2  </w:t>
      </w:r>
      <w:bookmarkEnd w:id="20"/>
      <w:bookmarkEnd w:id="21"/>
      <w:bookmarkEnd w:id="22"/>
      <w:bookmarkEnd w:id="23"/>
      <w:bookmarkEnd w:id="24"/>
      <w:r>
        <w:rPr>
          <w:rFonts w:hint="default" w:ascii="Times New Roman" w:hAnsi="Times New Roman" w:eastAsia="宋体" w:cs="Times New Roman"/>
          <w:color w:val="auto"/>
          <w:kern w:val="0"/>
          <w:sz w:val="24"/>
          <w:szCs w:val="22"/>
          <w:lang w:val="en-US" w:eastAsia="zh-CN"/>
        </w:rPr>
        <w:t>项目与淮安市环境管控单元位置关系图</w:t>
      </w:r>
    </w:p>
    <w:p w14:paraId="623819A6">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25" w:name="_Toc15557"/>
      <w:bookmarkStart w:id="26" w:name="_Toc6788"/>
      <w:bookmarkStart w:id="27" w:name="_Toc99645910"/>
      <w:bookmarkStart w:id="28" w:name="_Toc237"/>
      <w:bookmarkStart w:id="29" w:name="_Toc19059"/>
      <w:r>
        <w:rPr>
          <w:rFonts w:hint="default" w:ascii="Times New Roman" w:hAnsi="Times New Roman" w:eastAsia="宋体" w:cs="Times New Roman"/>
          <w:color w:val="auto"/>
          <w:kern w:val="0"/>
          <w:sz w:val="24"/>
          <w:szCs w:val="22"/>
          <w:lang w:val="en-US" w:eastAsia="zh-CN"/>
        </w:rPr>
        <w:t xml:space="preserve">图3  </w:t>
      </w:r>
      <w:bookmarkEnd w:id="25"/>
      <w:bookmarkEnd w:id="26"/>
      <w:bookmarkEnd w:id="27"/>
      <w:bookmarkEnd w:id="28"/>
      <w:bookmarkEnd w:id="29"/>
      <w:r>
        <w:rPr>
          <w:rFonts w:hint="eastAsia" w:ascii="Times New Roman" w:hAnsi="Times New Roman" w:eastAsia="宋体" w:cs="Times New Roman"/>
          <w:color w:val="auto"/>
          <w:kern w:val="0"/>
          <w:sz w:val="24"/>
          <w:szCs w:val="22"/>
          <w:lang w:val="en-US" w:eastAsia="zh-CN"/>
        </w:rPr>
        <w:t>项目地理位置图</w:t>
      </w:r>
    </w:p>
    <w:p w14:paraId="05989E30">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30" w:name="_Toc99645911"/>
      <w:bookmarkStart w:id="31" w:name="_Toc3488"/>
      <w:bookmarkStart w:id="32" w:name="_Toc2217"/>
      <w:bookmarkStart w:id="33" w:name="_Toc5939"/>
      <w:bookmarkStart w:id="34" w:name="_Toc7256"/>
      <w:r>
        <w:rPr>
          <w:rFonts w:hint="default" w:ascii="Times New Roman" w:hAnsi="Times New Roman" w:eastAsia="宋体" w:cs="Times New Roman"/>
          <w:color w:val="auto"/>
          <w:kern w:val="0"/>
          <w:sz w:val="24"/>
          <w:szCs w:val="22"/>
          <w:lang w:val="en-US" w:eastAsia="zh-CN"/>
        </w:rPr>
        <w:t xml:space="preserve">图4  </w:t>
      </w:r>
      <w:bookmarkEnd w:id="30"/>
      <w:bookmarkEnd w:id="31"/>
      <w:bookmarkEnd w:id="32"/>
      <w:bookmarkEnd w:id="33"/>
      <w:bookmarkEnd w:id="34"/>
      <w:r>
        <w:rPr>
          <w:rFonts w:hint="eastAsia" w:ascii="Times New Roman" w:hAnsi="Times New Roman" w:eastAsia="宋体" w:cs="Times New Roman"/>
          <w:color w:val="auto"/>
          <w:kern w:val="0"/>
          <w:sz w:val="24"/>
          <w:szCs w:val="22"/>
          <w:lang w:val="en-US" w:eastAsia="zh-CN"/>
        </w:rPr>
        <w:t>项目500米周边状况图</w:t>
      </w:r>
    </w:p>
    <w:p w14:paraId="1B37D02F">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eastAsia="宋体" w:cs="Times New Roman"/>
          <w:color w:val="auto"/>
          <w:kern w:val="0"/>
          <w:sz w:val="24"/>
          <w:szCs w:val="22"/>
          <w:lang w:val="en-US" w:eastAsia="zh-CN"/>
        </w:rPr>
      </w:pPr>
      <w:bookmarkStart w:id="35" w:name="_Toc18156"/>
      <w:bookmarkStart w:id="36" w:name="_Toc29759"/>
      <w:bookmarkStart w:id="37" w:name="_Toc20140"/>
      <w:bookmarkStart w:id="38" w:name="_Toc8489"/>
      <w:bookmarkStart w:id="39" w:name="_Toc99645912"/>
      <w:r>
        <w:rPr>
          <w:rFonts w:hint="default" w:ascii="Times New Roman" w:hAnsi="Times New Roman" w:eastAsia="宋体" w:cs="Times New Roman"/>
          <w:color w:val="auto"/>
          <w:kern w:val="0"/>
          <w:sz w:val="24"/>
          <w:szCs w:val="22"/>
          <w:lang w:val="en-US" w:eastAsia="zh-CN"/>
        </w:rPr>
        <w:t xml:space="preserve">图5  </w:t>
      </w:r>
      <w:bookmarkEnd w:id="35"/>
      <w:bookmarkEnd w:id="36"/>
      <w:bookmarkEnd w:id="37"/>
      <w:bookmarkEnd w:id="38"/>
      <w:bookmarkEnd w:id="39"/>
      <w:r>
        <w:rPr>
          <w:rFonts w:hint="default" w:ascii="Times New Roman" w:hAnsi="Times New Roman" w:eastAsia="宋体" w:cs="Times New Roman"/>
          <w:color w:val="auto"/>
          <w:kern w:val="0"/>
          <w:sz w:val="24"/>
          <w:szCs w:val="22"/>
          <w:lang w:val="en-US" w:eastAsia="zh-CN"/>
        </w:rPr>
        <w:t>厂区平面布置图</w:t>
      </w:r>
    </w:p>
    <w:p w14:paraId="1A9C0D17">
      <w:pPr>
        <w:keepNext w:val="0"/>
        <w:keepLines w:val="0"/>
        <w:pageBreakBefore w:val="0"/>
        <w:widowControl w:val="0"/>
        <w:kinsoku/>
        <w:wordWrap/>
        <w:overflowPunct/>
        <w:topLinePunct w:val="0"/>
        <w:autoSpaceDE w:val="0"/>
        <w:autoSpaceDN w:val="0"/>
        <w:bidi w:val="0"/>
        <w:adjustRightInd w:val="0"/>
        <w:snapToGrid w:val="0"/>
        <w:spacing w:before="0" w:after="0" w:line="600" w:lineRule="atLeast"/>
        <w:ind w:left="0" w:right="0" w:firstLine="480" w:firstLineChars="200"/>
        <w:jc w:val="left"/>
        <w:textAlignment w:val="auto"/>
        <w:outlineLvl w:val="9"/>
        <w:rPr>
          <w:rFonts w:hint="default" w:ascii="Times New Roman" w:hAnsi="Times New Roman" w:cs="Times New Roman"/>
          <w:color w:val="auto"/>
          <w:lang w:val="en-US" w:eastAsia="zh-CN"/>
        </w:rPr>
      </w:pPr>
      <w:bookmarkStart w:id="40" w:name="_Toc18215"/>
      <w:bookmarkStart w:id="41" w:name="_Toc25707"/>
      <w:r>
        <w:rPr>
          <w:rFonts w:hint="default" w:ascii="Times New Roman" w:hAnsi="Times New Roman" w:eastAsia="宋体" w:cs="Times New Roman"/>
          <w:color w:val="auto"/>
          <w:kern w:val="0"/>
          <w:sz w:val="24"/>
          <w:szCs w:val="22"/>
          <w:lang w:val="en-US" w:eastAsia="zh-CN"/>
        </w:rPr>
        <w:t xml:space="preserve">图6  </w:t>
      </w:r>
      <w:bookmarkEnd w:id="40"/>
      <w:bookmarkEnd w:id="41"/>
      <w:r>
        <w:rPr>
          <w:rFonts w:hint="default" w:ascii="Times New Roman" w:hAnsi="Times New Roman" w:eastAsia="宋体" w:cs="Times New Roman"/>
          <w:color w:val="auto"/>
          <w:kern w:val="0"/>
          <w:sz w:val="24"/>
          <w:szCs w:val="22"/>
          <w:lang w:val="en-US" w:eastAsia="zh-CN"/>
        </w:rPr>
        <w:t>项目卫生防护距离示意图</w:t>
      </w:r>
    </w:p>
    <w:p w14:paraId="09A679D5">
      <w:pPr>
        <w:keepNext w:val="0"/>
        <w:keepLines w:val="0"/>
        <w:pageBreakBefore w:val="0"/>
        <w:widowControl w:val="0"/>
        <w:kinsoku/>
        <w:wordWrap/>
        <w:overflowPunct/>
        <w:topLinePunct w:val="0"/>
        <w:autoSpaceDE/>
        <w:autoSpaceDN/>
        <w:bidi w:val="0"/>
        <w:adjustRightInd/>
        <w:snapToGrid/>
        <w:spacing w:before="0" w:beforeLines="0" w:after="0" w:afterLines="0" w:line="600" w:lineRule="atLeast"/>
        <w:ind w:left="0" w:firstLine="480" w:firstLineChars="200"/>
        <w:textAlignment w:val="auto"/>
        <w:outlineLvl w:val="9"/>
        <w:rPr>
          <w:rFonts w:hint="default" w:ascii="Times New Roman" w:hAnsi="Times New Roman" w:eastAsia="宋体" w:cs="Times New Roman"/>
          <w:color w:val="auto"/>
          <w:kern w:val="0"/>
          <w:sz w:val="24"/>
          <w:szCs w:val="22"/>
          <w:lang w:val="en-US" w:eastAsia="zh-CN"/>
        </w:rPr>
      </w:pPr>
      <w:r>
        <w:rPr>
          <w:rFonts w:hint="default" w:ascii="Times New Roman" w:hAnsi="Times New Roman" w:eastAsia="宋体" w:cs="Times New Roman"/>
          <w:color w:val="auto"/>
          <w:kern w:val="0"/>
          <w:sz w:val="24"/>
          <w:szCs w:val="22"/>
          <w:lang w:val="en-US" w:eastAsia="zh-CN"/>
        </w:rPr>
        <w:t>图</w:t>
      </w:r>
      <w:r>
        <w:rPr>
          <w:rFonts w:hint="eastAsia" w:ascii="Times New Roman" w:hAnsi="Times New Roman" w:cs="Times New Roman"/>
          <w:color w:val="auto"/>
          <w:kern w:val="0"/>
          <w:sz w:val="24"/>
          <w:szCs w:val="22"/>
          <w:lang w:val="en-US" w:eastAsia="zh-CN"/>
        </w:rPr>
        <w:t>7</w:t>
      </w:r>
      <w:r>
        <w:rPr>
          <w:rFonts w:hint="default" w:ascii="Times New Roman" w:hAnsi="Times New Roman" w:eastAsia="宋体" w:cs="Times New Roman"/>
          <w:color w:val="auto"/>
          <w:kern w:val="0"/>
          <w:sz w:val="24"/>
          <w:szCs w:val="22"/>
          <w:lang w:val="en-US" w:eastAsia="zh-CN"/>
        </w:rPr>
        <w:t xml:space="preserve"> </w:t>
      </w:r>
      <w:r>
        <w:rPr>
          <w:rFonts w:hint="eastAsia" w:ascii="Times New Roman" w:hAnsi="Times New Roman" w:cs="Times New Roman"/>
          <w:color w:val="auto"/>
          <w:kern w:val="0"/>
          <w:sz w:val="24"/>
          <w:szCs w:val="22"/>
          <w:lang w:val="en-US" w:eastAsia="zh-CN"/>
        </w:rPr>
        <w:t xml:space="preserve"> </w:t>
      </w:r>
      <w:r>
        <w:rPr>
          <w:rFonts w:hint="default" w:ascii="Times New Roman" w:hAnsi="Times New Roman" w:eastAsia="宋体" w:cs="Times New Roman"/>
          <w:color w:val="auto"/>
          <w:kern w:val="0"/>
          <w:sz w:val="24"/>
          <w:szCs w:val="22"/>
          <w:lang w:val="en-US" w:eastAsia="zh-CN"/>
        </w:rPr>
        <w:t>淮阴区徐溜镇总体规划</w:t>
      </w:r>
      <w:r>
        <w:rPr>
          <w:rFonts w:hint="eastAsia" w:cs="Times New Roman"/>
          <w:color w:val="auto"/>
          <w:kern w:val="0"/>
          <w:sz w:val="24"/>
          <w:szCs w:val="22"/>
          <w:lang w:val="en-US" w:eastAsia="zh-CN"/>
        </w:rPr>
        <w:t>（</w:t>
      </w:r>
      <w:r>
        <w:rPr>
          <w:rFonts w:hint="default" w:ascii="Times New Roman" w:hAnsi="Times New Roman" w:eastAsia="宋体" w:cs="Times New Roman"/>
          <w:color w:val="auto"/>
          <w:kern w:val="0"/>
          <w:sz w:val="24"/>
          <w:szCs w:val="22"/>
          <w:lang w:val="en-US" w:eastAsia="zh-CN"/>
        </w:rPr>
        <w:t>2015-2030</w:t>
      </w:r>
      <w:r>
        <w:rPr>
          <w:rFonts w:hint="eastAsia" w:cs="Times New Roman"/>
          <w:color w:val="auto"/>
          <w:kern w:val="0"/>
          <w:sz w:val="24"/>
          <w:szCs w:val="22"/>
          <w:lang w:val="en-US" w:eastAsia="zh-CN"/>
        </w:rPr>
        <w:t>）</w:t>
      </w:r>
      <w:r>
        <w:rPr>
          <w:rFonts w:hint="default" w:ascii="Times New Roman" w:hAnsi="Times New Roman" w:eastAsia="宋体" w:cs="Times New Roman"/>
          <w:color w:val="auto"/>
          <w:kern w:val="0"/>
          <w:sz w:val="24"/>
          <w:szCs w:val="22"/>
          <w:lang w:val="en-US" w:eastAsia="zh-CN"/>
        </w:rPr>
        <w:t>用地规划图</w:t>
      </w:r>
    </w:p>
    <w:p w14:paraId="0DF044C9">
      <w:pPr>
        <w:keepNext w:val="0"/>
        <w:keepLines w:val="0"/>
        <w:pageBreakBefore w:val="0"/>
        <w:widowControl w:val="0"/>
        <w:kinsoku/>
        <w:wordWrap/>
        <w:overflowPunct/>
        <w:topLinePunct w:val="0"/>
        <w:autoSpaceDE/>
        <w:autoSpaceDN/>
        <w:bidi w:val="0"/>
        <w:adjustRightInd/>
        <w:snapToGrid/>
        <w:spacing w:before="0" w:beforeLines="0" w:after="0" w:afterLines="0" w:line="600" w:lineRule="atLeast"/>
        <w:ind w:left="0" w:firstLine="480" w:firstLineChars="200"/>
        <w:textAlignment w:val="auto"/>
        <w:outlineLvl w:val="9"/>
        <w:rPr>
          <w:rFonts w:hint="eastAsia" w:cs="Times New Roman"/>
          <w:color w:val="auto"/>
          <w:kern w:val="0"/>
          <w:sz w:val="24"/>
          <w:szCs w:val="22"/>
          <w:lang w:val="en-US" w:eastAsia="zh-CN"/>
        </w:rPr>
      </w:pPr>
      <w:r>
        <w:rPr>
          <w:rFonts w:hint="default" w:ascii="Times New Roman" w:hAnsi="Times New Roman" w:eastAsia="宋体" w:cs="Times New Roman"/>
          <w:color w:val="auto"/>
          <w:kern w:val="0"/>
          <w:sz w:val="24"/>
          <w:szCs w:val="22"/>
          <w:lang w:val="en-US" w:eastAsia="zh-CN"/>
        </w:rPr>
        <w:t>图</w:t>
      </w:r>
      <w:r>
        <w:rPr>
          <w:rFonts w:hint="eastAsia" w:cs="Times New Roman"/>
          <w:color w:val="auto"/>
          <w:kern w:val="0"/>
          <w:sz w:val="24"/>
          <w:szCs w:val="22"/>
          <w:lang w:val="en-US" w:eastAsia="zh-CN"/>
        </w:rPr>
        <w:t>8  项目周边水系图</w:t>
      </w:r>
    </w:p>
    <w:p w14:paraId="361680EF">
      <w:pPr>
        <w:keepNext w:val="0"/>
        <w:keepLines w:val="0"/>
        <w:pageBreakBefore w:val="0"/>
        <w:widowControl w:val="0"/>
        <w:kinsoku/>
        <w:wordWrap/>
        <w:overflowPunct/>
        <w:topLinePunct w:val="0"/>
        <w:autoSpaceDE/>
        <w:autoSpaceDN/>
        <w:bidi w:val="0"/>
        <w:adjustRightInd/>
        <w:snapToGrid/>
        <w:spacing w:before="0" w:beforeLines="0" w:after="0" w:afterLines="0" w:line="600" w:lineRule="atLeast"/>
        <w:ind w:left="0" w:firstLine="480" w:firstLineChars="200"/>
        <w:textAlignment w:val="auto"/>
        <w:outlineLvl w:val="9"/>
        <w:rPr>
          <w:rFonts w:hint="default" w:ascii="Times New Roman" w:hAnsi="Times New Roman" w:eastAsia="宋体" w:cs="Times New Roman"/>
          <w:color w:val="auto"/>
          <w:kern w:val="0"/>
          <w:sz w:val="24"/>
          <w:szCs w:val="22"/>
          <w:lang w:val="en-US" w:eastAsia="zh-CN"/>
        </w:rPr>
        <w:sectPr>
          <w:pgSz w:w="11906" w:h="16838"/>
          <w:pgMar w:top="1417" w:right="1417" w:bottom="1417" w:left="1417"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420FA02A">
      <w:pPr>
        <w:pStyle w:val="31"/>
        <w:keepNext w:val="0"/>
        <w:keepLines w:val="0"/>
        <w:pageBreakBefore w:val="0"/>
        <w:widowControl/>
        <w:kinsoku/>
        <w:wordWrap/>
        <w:overflowPunct/>
        <w:topLinePunct w:val="0"/>
        <w:autoSpaceDE/>
        <w:autoSpaceDN/>
        <w:bidi w:val="0"/>
        <w:adjustRightInd/>
        <w:snapToGrid/>
        <w:spacing w:before="0" w:beforeAutospacing="0" w:after="0" w:afterAutospacing="0" w:line="500" w:lineRule="exact"/>
        <w:jc w:val="center"/>
        <w:textAlignment w:val="auto"/>
        <w:outlineLvl w:val="0"/>
        <w:rPr>
          <w:rFonts w:hint="default" w:ascii="Times New Roman" w:hAnsi="Times New Roman" w:eastAsia="黑体" w:cs="Times New Roman"/>
          <w:snapToGrid w:val="0"/>
          <w:color w:val="auto"/>
          <w:sz w:val="30"/>
          <w:szCs w:val="30"/>
        </w:rPr>
      </w:pPr>
      <w:bookmarkStart w:id="42" w:name="_Toc9783"/>
      <w:r>
        <w:rPr>
          <w:rFonts w:hint="default" w:ascii="Times New Roman" w:hAnsi="Times New Roman" w:eastAsia="宋体" w:cs="Times New Roman"/>
          <w:b/>
          <w:bCs/>
          <w:snapToGrid w:val="0"/>
          <w:color w:val="auto"/>
          <w:sz w:val="28"/>
          <w:szCs w:val="28"/>
        </w:rPr>
        <w:t>一、建设项目基本情况</w:t>
      </w:r>
      <w:bookmarkEnd w:id="42"/>
    </w:p>
    <w:tbl>
      <w:tblPr>
        <w:tblStyle w:val="43"/>
        <w:tblpPr w:leftFromText="180" w:rightFromText="180" w:vertAnchor="text" w:tblpXSpec="center" w:tblpY="1"/>
        <w:tblOverlap w:val="never"/>
        <w:tblW w:w="5041"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1882"/>
        <w:gridCol w:w="2365"/>
        <w:gridCol w:w="1929"/>
        <w:gridCol w:w="3585"/>
      </w:tblGrid>
      <w:tr w14:paraId="69D624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0D893677">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建设项目名称</w:t>
            </w:r>
          </w:p>
        </w:tc>
        <w:tc>
          <w:tcPr>
            <w:tcW w:w="4035" w:type="pct"/>
            <w:gridSpan w:val="3"/>
            <w:tcBorders>
              <w:tl2br w:val="nil"/>
              <w:tr2bl w:val="nil"/>
            </w:tcBorders>
            <w:noWrap w:val="0"/>
            <w:vAlign w:val="center"/>
          </w:tcPr>
          <w:p w14:paraId="40BB31DC">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eastAsia" w:cs="Times New Roman"/>
                <w:color w:val="auto"/>
                <w:kern w:val="0"/>
                <w:sz w:val="22"/>
                <w:szCs w:val="22"/>
                <w:lang w:eastAsia="zh-CN"/>
              </w:rPr>
              <w:t>高分子半导电胶辊生产线技改项目</w:t>
            </w:r>
          </w:p>
        </w:tc>
      </w:tr>
      <w:tr w14:paraId="57E9BB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5512C586">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项目代码</w:t>
            </w:r>
          </w:p>
        </w:tc>
        <w:tc>
          <w:tcPr>
            <w:tcW w:w="4035" w:type="pct"/>
            <w:gridSpan w:val="3"/>
            <w:tcBorders>
              <w:tl2br w:val="nil"/>
              <w:tr2bl w:val="nil"/>
            </w:tcBorders>
            <w:noWrap w:val="0"/>
            <w:vAlign w:val="center"/>
          </w:tcPr>
          <w:p w14:paraId="381390F8">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eastAsia" w:cs="Times New Roman"/>
                <w:color w:val="auto"/>
                <w:sz w:val="22"/>
                <w:szCs w:val="22"/>
                <w:lang w:val="en-US" w:eastAsia="zh-CN"/>
              </w:rPr>
              <w:t>2405-320804-07-02-812400</w:t>
            </w:r>
          </w:p>
        </w:tc>
      </w:tr>
      <w:tr w14:paraId="04B7CCD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1" w:hRule="atLeast"/>
        </w:trPr>
        <w:tc>
          <w:tcPr>
            <w:tcW w:w="964" w:type="pct"/>
            <w:tcBorders>
              <w:tl2br w:val="nil"/>
              <w:tr2bl w:val="nil"/>
            </w:tcBorders>
            <w:noWrap w:val="0"/>
            <w:tcMar>
              <w:top w:w="16" w:type="dxa"/>
              <w:left w:w="16" w:type="dxa"/>
              <w:right w:w="16" w:type="dxa"/>
            </w:tcMar>
            <w:vAlign w:val="center"/>
          </w:tcPr>
          <w:p w14:paraId="681A7AF4">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建设单位联系人</w:t>
            </w:r>
          </w:p>
        </w:tc>
        <w:tc>
          <w:tcPr>
            <w:tcW w:w="1211" w:type="pct"/>
            <w:tcBorders>
              <w:tl2br w:val="nil"/>
              <w:tr2bl w:val="nil"/>
            </w:tcBorders>
            <w:noWrap w:val="0"/>
            <w:vAlign w:val="center"/>
          </w:tcPr>
          <w:p w14:paraId="5EA98A82">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highlight w:val="none"/>
                <w:lang w:eastAsia="zh-CN"/>
              </w:rPr>
              <w:t>冯</w:t>
            </w:r>
            <w:r>
              <w:rPr>
                <w:rFonts w:hint="eastAsia" w:cs="Times New Roman"/>
                <w:color w:val="auto"/>
                <w:sz w:val="22"/>
                <w:szCs w:val="22"/>
                <w:highlight w:val="none"/>
                <w:lang w:val="en-US" w:eastAsia="zh-CN"/>
              </w:rPr>
              <w:t>**</w:t>
            </w:r>
          </w:p>
        </w:tc>
        <w:tc>
          <w:tcPr>
            <w:tcW w:w="988" w:type="pct"/>
            <w:tcBorders>
              <w:tl2br w:val="nil"/>
              <w:tr2bl w:val="nil"/>
            </w:tcBorders>
            <w:noWrap w:val="0"/>
            <w:vAlign w:val="center"/>
          </w:tcPr>
          <w:p w14:paraId="59DB5D7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b/>
                <w:bCs/>
                <w:color w:val="auto"/>
                <w:sz w:val="22"/>
                <w:szCs w:val="22"/>
              </w:rPr>
              <w:t>联系方式</w:t>
            </w:r>
          </w:p>
        </w:tc>
        <w:tc>
          <w:tcPr>
            <w:tcW w:w="1836" w:type="pct"/>
            <w:tcBorders>
              <w:tl2br w:val="nil"/>
              <w:tr2bl w:val="nil"/>
            </w:tcBorders>
            <w:noWrap w:val="0"/>
            <w:vAlign w:val="center"/>
          </w:tcPr>
          <w:p w14:paraId="550BA550">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eastAsia" w:cs="Times New Roman"/>
                <w:color w:val="auto"/>
                <w:sz w:val="22"/>
                <w:szCs w:val="22"/>
                <w:highlight w:val="none"/>
                <w:lang w:val="en-US" w:eastAsia="zh-CN"/>
              </w:rPr>
              <w:t>153****</w:t>
            </w:r>
            <w:bookmarkStart w:id="53" w:name="_GoBack"/>
            <w:bookmarkEnd w:id="53"/>
            <w:r>
              <w:rPr>
                <w:rFonts w:hint="eastAsia" w:cs="Times New Roman"/>
                <w:color w:val="auto"/>
                <w:sz w:val="22"/>
                <w:szCs w:val="22"/>
                <w:highlight w:val="none"/>
                <w:lang w:val="en-US" w:eastAsia="zh-CN"/>
              </w:rPr>
              <w:t>5619</w:t>
            </w:r>
          </w:p>
        </w:tc>
      </w:tr>
      <w:tr w14:paraId="5018BCC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3052DE26">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建设地点</w:t>
            </w:r>
          </w:p>
        </w:tc>
        <w:tc>
          <w:tcPr>
            <w:tcW w:w="4035" w:type="pct"/>
            <w:gridSpan w:val="3"/>
            <w:tcBorders>
              <w:tl2br w:val="nil"/>
              <w:tr2bl w:val="nil"/>
            </w:tcBorders>
            <w:noWrap w:val="0"/>
            <w:vAlign w:val="center"/>
          </w:tcPr>
          <w:p w14:paraId="088748AA">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u w:val="single"/>
                <w:lang w:val="en-US" w:eastAsia="zh-CN"/>
              </w:rPr>
              <w:t>江苏</w:t>
            </w:r>
            <w:r>
              <w:rPr>
                <w:rFonts w:hint="default" w:ascii="Times New Roman" w:hAnsi="Times New Roman" w:eastAsia="宋体" w:cs="Times New Roman"/>
                <w:color w:val="auto"/>
                <w:sz w:val="22"/>
                <w:szCs w:val="22"/>
              </w:rPr>
              <w:t>省（自治区）</w:t>
            </w:r>
            <w:r>
              <w:rPr>
                <w:rFonts w:hint="default" w:ascii="Times New Roman" w:hAnsi="Times New Roman" w:eastAsia="宋体" w:cs="Times New Roman"/>
                <w:color w:val="auto"/>
                <w:sz w:val="22"/>
                <w:szCs w:val="22"/>
                <w:u w:val="single"/>
                <w:lang w:val="en-US" w:eastAsia="zh-CN"/>
              </w:rPr>
              <w:t>淮安</w:t>
            </w:r>
            <w:r>
              <w:rPr>
                <w:rFonts w:hint="default" w:ascii="Times New Roman" w:hAnsi="Times New Roman" w:eastAsia="宋体" w:cs="Times New Roman"/>
                <w:color w:val="auto"/>
                <w:sz w:val="22"/>
                <w:szCs w:val="22"/>
              </w:rPr>
              <w:t>市</w:t>
            </w:r>
            <w:r>
              <w:rPr>
                <w:rFonts w:hint="default" w:ascii="Times New Roman" w:hAnsi="Times New Roman" w:eastAsia="宋体" w:cs="Times New Roman"/>
                <w:color w:val="auto"/>
                <w:sz w:val="22"/>
                <w:szCs w:val="22"/>
                <w:u w:val="single"/>
                <w:lang w:val="en-US" w:eastAsia="zh-CN"/>
              </w:rPr>
              <w:t>淮阴</w:t>
            </w:r>
            <w:r>
              <w:rPr>
                <w:rFonts w:hint="default" w:ascii="Times New Roman" w:hAnsi="Times New Roman" w:eastAsia="宋体" w:cs="Times New Roman"/>
                <w:color w:val="auto"/>
                <w:sz w:val="22"/>
                <w:szCs w:val="22"/>
              </w:rPr>
              <w:t>县（区）</w:t>
            </w:r>
            <w:r>
              <w:rPr>
                <w:rFonts w:hint="eastAsia" w:cs="Times New Roman"/>
                <w:color w:val="auto"/>
                <w:sz w:val="22"/>
                <w:szCs w:val="22"/>
                <w:u w:val="single"/>
                <w:lang w:val="en-US" w:eastAsia="zh-CN"/>
              </w:rPr>
              <w:t>徐溜</w:t>
            </w:r>
            <w:r>
              <w:rPr>
                <w:rFonts w:hint="default" w:ascii="Times New Roman" w:hAnsi="Times New Roman" w:eastAsia="宋体" w:cs="Times New Roman"/>
                <w:color w:val="auto"/>
                <w:sz w:val="22"/>
                <w:szCs w:val="22"/>
              </w:rPr>
              <w:t>乡（街道）</w:t>
            </w:r>
            <w:r>
              <w:rPr>
                <w:rFonts w:hint="default" w:cs="Times New Roman"/>
                <w:color w:val="auto"/>
                <w:sz w:val="22"/>
                <w:szCs w:val="22"/>
                <w:u w:val="single"/>
                <w:lang w:val="en-US" w:eastAsia="zh-CN"/>
              </w:rPr>
              <w:t>淮安高新技术产业开发区</w:t>
            </w:r>
            <w:r>
              <w:rPr>
                <w:rFonts w:hint="eastAsia" w:cs="Times New Roman"/>
                <w:color w:val="auto"/>
                <w:sz w:val="22"/>
                <w:szCs w:val="22"/>
                <w:u w:val="single"/>
                <w:lang w:val="en-US" w:eastAsia="zh-CN"/>
              </w:rPr>
              <w:t>循环经济产业园</w:t>
            </w:r>
          </w:p>
        </w:tc>
      </w:tr>
      <w:tr w14:paraId="7963CD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47F1F7D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地理坐标</w:t>
            </w:r>
          </w:p>
        </w:tc>
        <w:tc>
          <w:tcPr>
            <w:tcW w:w="4035" w:type="pct"/>
            <w:gridSpan w:val="3"/>
            <w:tcBorders>
              <w:tl2br w:val="nil"/>
              <w:tr2bl w:val="nil"/>
            </w:tcBorders>
            <w:noWrap w:val="0"/>
            <w:vAlign w:val="center"/>
          </w:tcPr>
          <w:p w14:paraId="6FFBBC42">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w:t>
            </w:r>
            <w:r>
              <w:rPr>
                <w:rFonts w:hint="default" w:ascii="Times New Roman" w:hAnsi="Times New Roman" w:eastAsia="宋体" w:cs="Times New Roman"/>
                <w:color w:val="auto"/>
                <w:sz w:val="22"/>
                <w:szCs w:val="22"/>
                <w:u w:val="single"/>
              </w:rPr>
              <w:t xml:space="preserve">118 </w:t>
            </w:r>
            <w:r>
              <w:rPr>
                <w:rFonts w:hint="default" w:ascii="Times New Roman" w:hAnsi="Times New Roman" w:eastAsia="宋体" w:cs="Times New Roman"/>
                <w:color w:val="auto"/>
                <w:sz w:val="22"/>
                <w:szCs w:val="22"/>
              </w:rPr>
              <w:t>度</w:t>
            </w:r>
            <w:r>
              <w:rPr>
                <w:rFonts w:hint="default" w:ascii="Times New Roman" w:hAnsi="Times New Roman" w:eastAsia="宋体" w:cs="Times New Roman"/>
                <w:color w:val="auto"/>
                <w:sz w:val="22"/>
                <w:szCs w:val="22"/>
                <w:u w:val="single"/>
                <w:lang w:val="en-US" w:eastAsia="zh-CN"/>
              </w:rPr>
              <w:t>5</w:t>
            </w:r>
            <w:r>
              <w:rPr>
                <w:rFonts w:hint="eastAsia" w:cs="Times New Roman"/>
                <w:color w:val="auto"/>
                <w:sz w:val="22"/>
                <w:szCs w:val="22"/>
                <w:u w:val="single"/>
                <w:lang w:val="en-US" w:eastAsia="zh-CN"/>
              </w:rPr>
              <w:t>4</w:t>
            </w:r>
            <w:r>
              <w:rPr>
                <w:rFonts w:hint="default" w:ascii="Times New Roman" w:hAnsi="Times New Roman" w:eastAsia="宋体" w:cs="Times New Roman"/>
                <w:color w:val="auto"/>
                <w:sz w:val="22"/>
                <w:szCs w:val="22"/>
              </w:rPr>
              <w:t>分</w:t>
            </w:r>
            <w:r>
              <w:rPr>
                <w:rFonts w:hint="default" w:ascii="Times New Roman" w:hAnsi="Times New Roman" w:eastAsia="宋体" w:cs="Times New Roman"/>
                <w:color w:val="auto"/>
                <w:sz w:val="22"/>
                <w:szCs w:val="22"/>
                <w:u w:val="single"/>
              </w:rPr>
              <w:t xml:space="preserve"> </w:t>
            </w:r>
            <w:r>
              <w:rPr>
                <w:rFonts w:hint="eastAsia" w:cs="Times New Roman"/>
                <w:color w:val="auto"/>
                <w:sz w:val="22"/>
                <w:szCs w:val="22"/>
                <w:u w:val="single"/>
                <w:lang w:val="en-US" w:eastAsia="zh-CN"/>
              </w:rPr>
              <w:t>56.498</w:t>
            </w:r>
            <w:r>
              <w:rPr>
                <w:rFonts w:hint="default" w:ascii="Times New Roman" w:hAnsi="Times New Roman" w:eastAsia="宋体" w:cs="Times New Roman"/>
                <w:color w:val="auto"/>
                <w:sz w:val="22"/>
                <w:szCs w:val="22"/>
                <w:u w:val="single"/>
              </w:rPr>
              <w:t xml:space="preserve"> </w:t>
            </w:r>
            <w:r>
              <w:rPr>
                <w:rFonts w:hint="default" w:ascii="Times New Roman" w:hAnsi="Times New Roman" w:eastAsia="宋体" w:cs="Times New Roman"/>
                <w:color w:val="auto"/>
                <w:sz w:val="22"/>
                <w:szCs w:val="22"/>
              </w:rPr>
              <w:t>秒，</w:t>
            </w:r>
            <w:r>
              <w:rPr>
                <w:rFonts w:hint="default" w:ascii="Times New Roman" w:hAnsi="Times New Roman" w:eastAsia="宋体" w:cs="Times New Roman"/>
                <w:color w:val="auto"/>
                <w:sz w:val="22"/>
                <w:szCs w:val="22"/>
                <w:u w:val="single"/>
              </w:rPr>
              <w:t xml:space="preserve"> </w:t>
            </w:r>
            <w:r>
              <w:rPr>
                <w:rFonts w:hint="default" w:ascii="Times New Roman" w:hAnsi="Times New Roman" w:eastAsia="宋体" w:cs="Times New Roman"/>
                <w:color w:val="auto"/>
                <w:sz w:val="22"/>
                <w:szCs w:val="22"/>
                <w:u w:val="single"/>
                <w:lang w:val="en-US" w:eastAsia="zh-CN"/>
              </w:rPr>
              <w:t>33</w:t>
            </w:r>
            <w:r>
              <w:rPr>
                <w:rFonts w:hint="default" w:ascii="Times New Roman" w:hAnsi="Times New Roman" w:eastAsia="宋体" w:cs="Times New Roman"/>
                <w:color w:val="auto"/>
                <w:sz w:val="22"/>
                <w:szCs w:val="22"/>
              </w:rPr>
              <w:t>度</w:t>
            </w:r>
            <w:r>
              <w:rPr>
                <w:rFonts w:hint="default" w:ascii="Times New Roman" w:hAnsi="Times New Roman" w:eastAsia="宋体" w:cs="Times New Roman"/>
                <w:color w:val="auto"/>
                <w:sz w:val="22"/>
                <w:szCs w:val="22"/>
                <w:u w:val="single"/>
                <w:lang w:val="en-US" w:eastAsia="zh-CN"/>
              </w:rPr>
              <w:t xml:space="preserve"> </w:t>
            </w:r>
            <w:r>
              <w:rPr>
                <w:rFonts w:hint="eastAsia" w:cs="Times New Roman"/>
                <w:color w:val="auto"/>
                <w:sz w:val="22"/>
                <w:szCs w:val="22"/>
                <w:u w:val="single"/>
                <w:lang w:val="en-US" w:eastAsia="zh-CN"/>
              </w:rPr>
              <w:t>51</w:t>
            </w:r>
            <w:r>
              <w:rPr>
                <w:rFonts w:hint="default" w:ascii="Times New Roman" w:hAnsi="Times New Roman" w:eastAsia="宋体" w:cs="Times New Roman"/>
                <w:color w:val="auto"/>
                <w:sz w:val="22"/>
                <w:szCs w:val="22"/>
                <w:u w:val="single"/>
              </w:rPr>
              <w:t xml:space="preserve"> </w:t>
            </w:r>
            <w:r>
              <w:rPr>
                <w:rFonts w:hint="default" w:ascii="Times New Roman" w:hAnsi="Times New Roman" w:eastAsia="宋体" w:cs="Times New Roman"/>
                <w:color w:val="auto"/>
                <w:sz w:val="22"/>
                <w:szCs w:val="22"/>
              </w:rPr>
              <w:t>分</w:t>
            </w:r>
            <w:r>
              <w:rPr>
                <w:rFonts w:hint="default" w:ascii="Times New Roman" w:hAnsi="Times New Roman" w:eastAsia="宋体" w:cs="Times New Roman"/>
                <w:color w:val="auto"/>
                <w:sz w:val="22"/>
                <w:szCs w:val="22"/>
                <w:u w:val="single"/>
              </w:rPr>
              <w:t xml:space="preserve"> </w:t>
            </w:r>
            <w:r>
              <w:rPr>
                <w:rFonts w:hint="eastAsia" w:cs="Times New Roman"/>
                <w:color w:val="auto"/>
                <w:sz w:val="22"/>
                <w:szCs w:val="22"/>
                <w:u w:val="single"/>
                <w:lang w:val="en-US" w:eastAsia="zh-CN"/>
              </w:rPr>
              <w:t>6.175</w:t>
            </w:r>
            <w:r>
              <w:rPr>
                <w:rFonts w:hint="default" w:ascii="Times New Roman" w:hAnsi="Times New Roman" w:eastAsia="宋体" w:cs="Times New Roman"/>
                <w:color w:val="auto"/>
                <w:sz w:val="22"/>
                <w:szCs w:val="22"/>
                <w:u w:val="single"/>
              </w:rPr>
              <w:t xml:space="preserve"> </w:t>
            </w:r>
            <w:r>
              <w:rPr>
                <w:rFonts w:hint="default" w:ascii="Times New Roman" w:hAnsi="Times New Roman" w:eastAsia="宋体" w:cs="Times New Roman"/>
                <w:color w:val="auto"/>
                <w:sz w:val="22"/>
                <w:szCs w:val="22"/>
              </w:rPr>
              <w:t>秒）</w:t>
            </w:r>
          </w:p>
        </w:tc>
      </w:tr>
      <w:tr w14:paraId="597F0D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1B7D338F">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国民经济行业类别</w:t>
            </w:r>
          </w:p>
        </w:tc>
        <w:tc>
          <w:tcPr>
            <w:tcW w:w="1211" w:type="pct"/>
            <w:tcBorders>
              <w:tl2br w:val="nil"/>
              <w:tr2bl w:val="nil"/>
            </w:tcBorders>
            <w:noWrap w:val="0"/>
            <w:vAlign w:val="center"/>
          </w:tcPr>
          <w:p w14:paraId="0E2D5B6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eastAsia" w:cs="Times New Roman"/>
                <w:color w:val="auto"/>
                <w:sz w:val="22"/>
                <w:szCs w:val="22"/>
                <w:lang w:val="en-US" w:eastAsia="zh-CN"/>
              </w:rPr>
              <w:t>C3985电子专用材料制造，C2912橡胶板、管、带制造</w:t>
            </w:r>
          </w:p>
        </w:tc>
        <w:tc>
          <w:tcPr>
            <w:tcW w:w="988" w:type="pct"/>
            <w:tcBorders>
              <w:tl2br w:val="nil"/>
              <w:tr2bl w:val="nil"/>
            </w:tcBorders>
            <w:noWrap w:val="0"/>
            <w:vAlign w:val="center"/>
          </w:tcPr>
          <w:p w14:paraId="62FCB5B1">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b/>
                <w:bCs/>
                <w:color w:val="auto"/>
                <w:sz w:val="22"/>
                <w:szCs w:val="22"/>
              </w:rPr>
              <w:t>建设项目行业类别</w:t>
            </w:r>
          </w:p>
        </w:tc>
        <w:tc>
          <w:tcPr>
            <w:tcW w:w="1836" w:type="pct"/>
            <w:tcBorders>
              <w:tl2br w:val="nil"/>
              <w:tr2bl w:val="nil"/>
            </w:tcBorders>
            <w:noWrap w:val="0"/>
            <w:vAlign w:val="center"/>
          </w:tcPr>
          <w:p w14:paraId="52AAB9FF">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outlineLvl w:val="9"/>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w w:val="100"/>
                <w:sz w:val="22"/>
                <w:szCs w:val="22"/>
                <w:lang w:val="en-US" w:eastAsia="zh-CN"/>
              </w:rPr>
              <w:t>三十六、计算机、通信和其他电子设备制造业 39；二十六、橡胶和塑料制品业 29</w:t>
            </w:r>
          </w:p>
        </w:tc>
      </w:tr>
      <w:tr w14:paraId="27D226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3D78A276">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建设性质</w:t>
            </w:r>
          </w:p>
        </w:tc>
        <w:tc>
          <w:tcPr>
            <w:tcW w:w="1211" w:type="pct"/>
            <w:tcBorders>
              <w:tl2br w:val="nil"/>
              <w:tr2bl w:val="nil"/>
            </w:tcBorders>
            <w:noWrap w:val="0"/>
            <w:vAlign w:val="center"/>
          </w:tcPr>
          <w:p w14:paraId="0CCC6B0B">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新建（迁建）</w:t>
            </w:r>
          </w:p>
          <w:p w14:paraId="17206E47">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改建</w:t>
            </w:r>
          </w:p>
          <w:p w14:paraId="0D5C56DD">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扩建</w:t>
            </w:r>
          </w:p>
          <w:p w14:paraId="40D4AA3F">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技术改造</w:t>
            </w:r>
          </w:p>
        </w:tc>
        <w:tc>
          <w:tcPr>
            <w:tcW w:w="988" w:type="pct"/>
            <w:tcBorders>
              <w:tl2br w:val="nil"/>
              <w:tr2bl w:val="nil"/>
            </w:tcBorders>
            <w:noWrap w:val="0"/>
            <w:vAlign w:val="center"/>
          </w:tcPr>
          <w:p w14:paraId="76EEF7A8">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b/>
                <w:bCs/>
                <w:color w:val="auto"/>
                <w:sz w:val="22"/>
                <w:szCs w:val="22"/>
              </w:rPr>
              <w:t>建设项目申报情形</w:t>
            </w:r>
          </w:p>
        </w:tc>
        <w:tc>
          <w:tcPr>
            <w:tcW w:w="1836" w:type="pct"/>
            <w:tcBorders>
              <w:tl2br w:val="nil"/>
              <w:tr2bl w:val="nil"/>
            </w:tcBorders>
            <w:noWrap w:val="0"/>
            <w:vAlign w:val="center"/>
          </w:tcPr>
          <w:p w14:paraId="656682BF">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 xml:space="preserve">首次申报项目             </w:t>
            </w:r>
          </w:p>
          <w:p w14:paraId="729AF963">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不予批准后再次申报项目</w:t>
            </w:r>
          </w:p>
          <w:p w14:paraId="1D078586">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 xml:space="preserve">超五年重新审核项目     </w:t>
            </w:r>
          </w:p>
          <w:p w14:paraId="4C65E55F">
            <w:pPr>
              <w:keepNext w:val="0"/>
              <w:keepLines w:val="0"/>
              <w:pageBreakBefore w:val="0"/>
              <w:widowControl w:val="0"/>
              <w:kinsoku/>
              <w:wordWrap/>
              <w:overflowPunct/>
              <w:topLinePunct w:val="0"/>
              <w:bidi w:val="0"/>
              <w:spacing w:beforeAutospacing="0" w:afterAutospacing="0" w:line="400" w:lineRule="exact"/>
              <w:ind w:left="0" w:leftChars="0" w:firstLine="0" w:firstLineChars="0"/>
              <w:jc w:val="left"/>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重大变动重新报批项目</w:t>
            </w:r>
          </w:p>
        </w:tc>
      </w:tr>
      <w:tr w14:paraId="656723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0D5D6A09">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项目审批（核准/备案）部门（选填）</w:t>
            </w:r>
          </w:p>
        </w:tc>
        <w:tc>
          <w:tcPr>
            <w:tcW w:w="1211" w:type="pct"/>
            <w:tcBorders>
              <w:tl2br w:val="nil"/>
              <w:tr2bl w:val="nil"/>
            </w:tcBorders>
            <w:noWrap w:val="0"/>
            <w:vAlign w:val="center"/>
          </w:tcPr>
          <w:p w14:paraId="71029584">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淮安市淮阴区工业和信息化局</w:t>
            </w:r>
          </w:p>
        </w:tc>
        <w:tc>
          <w:tcPr>
            <w:tcW w:w="988" w:type="pct"/>
            <w:tcBorders>
              <w:tl2br w:val="nil"/>
              <w:tr2bl w:val="nil"/>
            </w:tcBorders>
            <w:noWrap w:val="0"/>
            <w:vAlign w:val="center"/>
          </w:tcPr>
          <w:p w14:paraId="4A185CAD">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项目审批（核准/备案）文号（选填）</w:t>
            </w:r>
          </w:p>
        </w:tc>
        <w:tc>
          <w:tcPr>
            <w:tcW w:w="1836" w:type="pct"/>
            <w:tcBorders>
              <w:tl2br w:val="nil"/>
              <w:tr2bl w:val="nil"/>
            </w:tcBorders>
            <w:noWrap w:val="0"/>
            <w:vAlign w:val="center"/>
          </w:tcPr>
          <w:p w14:paraId="2D1852C7">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宋体" w:hAnsi="宋体" w:eastAsia="宋体" w:cs="宋体"/>
                <w:color w:val="auto"/>
                <w:sz w:val="22"/>
                <w:szCs w:val="22"/>
                <w:lang w:val="en-US" w:eastAsia="zh-CN"/>
              </w:rPr>
            </w:pPr>
            <w:r>
              <w:rPr>
                <w:rFonts w:hint="eastAsia" w:cs="Times New Roman"/>
                <w:color w:val="auto"/>
                <w:sz w:val="22"/>
                <w:szCs w:val="22"/>
                <w:lang w:eastAsia="zh-CN"/>
              </w:rPr>
              <w:t>淮阴区工信备〔2025〕25号</w:t>
            </w:r>
          </w:p>
        </w:tc>
      </w:tr>
      <w:tr w14:paraId="4235FD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288CD1C1">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总投资（万元）</w:t>
            </w:r>
          </w:p>
        </w:tc>
        <w:tc>
          <w:tcPr>
            <w:tcW w:w="1211" w:type="pct"/>
            <w:tcBorders>
              <w:tl2br w:val="nil"/>
              <w:tr2bl w:val="nil"/>
            </w:tcBorders>
            <w:noWrap w:val="0"/>
            <w:vAlign w:val="center"/>
          </w:tcPr>
          <w:p w14:paraId="3355BCBA">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lang w:val="en-US" w:eastAsia="zh-CN"/>
              </w:rPr>
              <w:t>4500</w:t>
            </w:r>
          </w:p>
        </w:tc>
        <w:tc>
          <w:tcPr>
            <w:tcW w:w="988" w:type="pct"/>
            <w:tcBorders>
              <w:tl2br w:val="nil"/>
              <w:tr2bl w:val="nil"/>
            </w:tcBorders>
            <w:noWrap w:val="0"/>
            <w:tcMar>
              <w:top w:w="16" w:type="dxa"/>
              <w:left w:w="16" w:type="dxa"/>
              <w:right w:w="16" w:type="dxa"/>
            </w:tcMar>
            <w:vAlign w:val="center"/>
          </w:tcPr>
          <w:p w14:paraId="1A5391DB">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环保投资（万元）</w:t>
            </w:r>
          </w:p>
        </w:tc>
        <w:tc>
          <w:tcPr>
            <w:tcW w:w="1836" w:type="pct"/>
            <w:tcBorders>
              <w:tl2br w:val="nil"/>
              <w:tr2bl w:val="nil"/>
            </w:tcBorders>
            <w:noWrap w:val="0"/>
            <w:vAlign w:val="center"/>
          </w:tcPr>
          <w:p w14:paraId="5B1E795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lang w:val="en-US" w:eastAsia="zh-CN"/>
              </w:rPr>
              <w:t>160</w:t>
            </w:r>
          </w:p>
        </w:tc>
      </w:tr>
      <w:tr w14:paraId="443199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1E48DABB">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环保投资占比（%）</w:t>
            </w:r>
          </w:p>
        </w:tc>
        <w:tc>
          <w:tcPr>
            <w:tcW w:w="1211" w:type="pct"/>
            <w:tcBorders>
              <w:tl2br w:val="nil"/>
              <w:tr2bl w:val="nil"/>
            </w:tcBorders>
            <w:noWrap w:val="0"/>
            <w:vAlign w:val="center"/>
          </w:tcPr>
          <w:p w14:paraId="7030C48C">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rPr>
            </w:pPr>
            <w:r>
              <w:rPr>
                <w:rFonts w:hint="eastAsia" w:cs="Times New Roman"/>
                <w:color w:val="auto"/>
                <w:sz w:val="22"/>
                <w:szCs w:val="22"/>
                <w:lang w:val="en-US" w:eastAsia="zh-CN"/>
              </w:rPr>
              <w:t>3.56</w:t>
            </w:r>
            <w:r>
              <w:rPr>
                <w:rFonts w:hint="default" w:ascii="Times New Roman" w:hAnsi="Times New Roman" w:eastAsia="宋体" w:cs="Times New Roman"/>
                <w:color w:val="auto"/>
                <w:sz w:val="22"/>
                <w:szCs w:val="22"/>
                <w:lang w:val="en-US" w:eastAsia="zh-CN"/>
              </w:rPr>
              <w:t>%</w:t>
            </w:r>
          </w:p>
        </w:tc>
        <w:tc>
          <w:tcPr>
            <w:tcW w:w="988" w:type="pct"/>
            <w:tcBorders>
              <w:tl2br w:val="nil"/>
              <w:tr2bl w:val="nil"/>
            </w:tcBorders>
            <w:noWrap w:val="0"/>
            <w:tcMar>
              <w:top w:w="16" w:type="dxa"/>
              <w:left w:w="16" w:type="dxa"/>
              <w:right w:w="16" w:type="dxa"/>
            </w:tcMar>
            <w:vAlign w:val="center"/>
          </w:tcPr>
          <w:p w14:paraId="46D093C3">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施工工期</w:t>
            </w:r>
          </w:p>
        </w:tc>
        <w:tc>
          <w:tcPr>
            <w:tcW w:w="1836" w:type="pct"/>
            <w:tcBorders>
              <w:tl2br w:val="nil"/>
              <w:tr2bl w:val="nil"/>
            </w:tcBorders>
            <w:noWrap w:val="0"/>
            <w:vAlign w:val="center"/>
          </w:tcPr>
          <w:p w14:paraId="534EBEA5">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lang w:val="en-US" w:eastAsia="zh-CN"/>
              </w:rPr>
              <w:t>1个</w:t>
            </w:r>
            <w:r>
              <w:rPr>
                <w:rFonts w:hint="default" w:ascii="Times New Roman" w:hAnsi="Times New Roman" w:eastAsia="宋体" w:cs="Times New Roman"/>
                <w:color w:val="auto"/>
                <w:sz w:val="22"/>
                <w:szCs w:val="22"/>
                <w:lang w:val="en-US" w:eastAsia="zh-CN"/>
              </w:rPr>
              <w:t>月</w:t>
            </w:r>
          </w:p>
        </w:tc>
      </w:tr>
      <w:tr w14:paraId="463E49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tcMar>
              <w:top w:w="16" w:type="dxa"/>
              <w:left w:w="16" w:type="dxa"/>
              <w:right w:w="16" w:type="dxa"/>
            </w:tcMar>
            <w:vAlign w:val="center"/>
          </w:tcPr>
          <w:p w14:paraId="19A21AD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是否开工建设</w:t>
            </w:r>
          </w:p>
        </w:tc>
        <w:tc>
          <w:tcPr>
            <w:tcW w:w="1211" w:type="pct"/>
            <w:tcBorders>
              <w:tl2br w:val="nil"/>
              <w:tr2bl w:val="nil"/>
            </w:tcBorders>
            <w:noWrap w:val="0"/>
            <w:vAlign w:val="center"/>
          </w:tcPr>
          <w:p w14:paraId="6667C469">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否</w:t>
            </w:r>
          </w:p>
          <w:p w14:paraId="1A57D8B8">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outlineLvl w:val="9"/>
              <w:rPr>
                <w:rFonts w:hint="default" w:ascii="Times New Roman" w:hAnsi="Times New Roman" w:eastAsia="宋体" w:cs="Times New Roman"/>
                <w:color w:val="auto"/>
                <w:sz w:val="22"/>
                <w:szCs w:val="22"/>
              </w:rPr>
            </w:pPr>
            <w:r>
              <w:rPr>
                <w:rFonts w:hint="eastAsia" w:cs="Times New Roman"/>
                <w:color w:val="auto"/>
                <w:sz w:val="22"/>
                <w:szCs w:val="22"/>
                <w:lang w:eastAsia="zh-CN"/>
              </w:rPr>
              <w:t>□</w:t>
            </w:r>
            <w:r>
              <w:rPr>
                <w:rFonts w:hint="default" w:ascii="Times New Roman" w:hAnsi="Times New Roman" w:eastAsia="宋体" w:cs="Times New Roman"/>
                <w:color w:val="auto"/>
                <w:sz w:val="22"/>
                <w:szCs w:val="22"/>
              </w:rPr>
              <w:t>是：</w:t>
            </w:r>
            <w:r>
              <w:rPr>
                <w:rFonts w:hint="default" w:ascii="Times New Roman" w:hAnsi="Times New Roman" w:eastAsia="宋体" w:cs="Times New Roman"/>
                <w:color w:val="auto"/>
                <w:sz w:val="22"/>
                <w:szCs w:val="22"/>
                <w:u w:val="single"/>
              </w:rPr>
              <w:t xml:space="preserve">             </w:t>
            </w:r>
          </w:p>
        </w:tc>
        <w:tc>
          <w:tcPr>
            <w:tcW w:w="988" w:type="pct"/>
            <w:tcBorders>
              <w:tl2br w:val="nil"/>
              <w:tr2bl w:val="nil"/>
            </w:tcBorders>
            <w:noWrap w:val="0"/>
            <w:tcMar>
              <w:top w:w="16" w:type="dxa"/>
              <w:left w:w="16" w:type="dxa"/>
              <w:right w:w="16" w:type="dxa"/>
            </w:tcMar>
            <w:vAlign w:val="center"/>
          </w:tcPr>
          <w:p w14:paraId="054AEC67">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pacing w:val="-6"/>
                <w:sz w:val="22"/>
                <w:szCs w:val="22"/>
              </w:rPr>
              <w:t>用地（用海）面积（m</w:t>
            </w:r>
            <w:r>
              <w:rPr>
                <w:rFonts w:hint="default" w:ascii="Times New Roman" w:hAnsi="Times New Roman" w:eastAsia="宋体" w:cs="Times New Roman"/>
                <w:b/>
                <w:bCs/>
                <w:color w:val="auto"/>
                <w:spacing w:val="-6"/>
                <w:sz w:val="22"/>
                <w:szCs w:val="22"/>
                <w:vertAlign w:val="superscript"/>
              </w:rPr>
              <w:t>2</w:t>
            </w:r>
            <w:r>
              <w:rPr>
                <w:rFonts w:hint="default" w:ascii="Times New Roman" w:hAnsi="Times New Roman" w:eastAsia="宋体" w:cs="Times New Roman"/>
                <w:b/>
                <w:bCs/>
                <w:color w:val="auto"/>
                <w:spacing w:val="-6"/>
                <w:sz w:val="22"/>
                <w:szCs w:val="22"/>
              </w:rPr>
              <w:t>）</w:t>
            </w:r>
          </w:p>
        </w:tc>
        <w:tc>
          <w:tcPr>
            <w:tcW w:w="1836" w:type="pct"/>
            <w:tcBorders>
              <w:tl2br w:val="nil"/>
              <w:tr2bl w:val="nil"/>
            </w:tcBorders>
            <w:noWrap w:val="0"/>
            <w:vAlign w:val="center"/>
          </w:tcPr>
          <w:p w14:paraId="417DA233">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lang w:val="en-US" w:eastAsia="zh-CN"/>
              </w:rPr>
              <w:t>18668</w:t>
            </w:r>
          </w:p>
        </w:tc>
      </w:tr>
      <w:tr w14:paraId="417F3B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vAlign w:val="center"/>
          </w:tcPr>
          <w:p w14:paraId="1C80318C">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专项评价设置情况</w:t>
            </w:r>
          </w:p>
        </w:tc>
        <w:tc>
          <w:tcPr>
            <w:tcW w:w="4035" w:type="pct"/>
            <w:gridSpan w:val="3"/>
            <w:tcBorders>
              <w:tl2br w:val="nil"/>
              <w:tr2bl w:val="nil"/>
            </w:tcBorders>
            <w:noWrap w:val="0"/>
            <w:vAlign w:val="center"/>
          </w:tcPr>
          <w:p w14:paraId="34A5F181">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kern w:val="0"/>
                <w:sz w:val="22"/>
                <w:szCs w:val="22"/>
                <w:lang w:val="en-US" w:eastAsia="zh-CN"/>
              </w:rPr>
            </w:pPr>
            <w:r>
              <w:rPr>
                <w:rFonts w:hint="default" w:ascii="Times New Roman" w:hAnsi="Times New Roman" w:eastAsia="宋体" w:cs="Times New Roman"/>
                <w:color w:val="auto"/>
                <w:kern w:val="0"/>
                <w:sz w:val="22"/>
                <w:szCs w:val="22"/>
                <w:lang w:val="en-US" w:eastAsia="zh-CN"/>
              </w:rPr>
              <w:t>无</w:t>
            </w:r>
          </w:p>
        </w:tc>
      </w:tr>
      <w:tr w14:paraId="7036FC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vAlign w:val="center"/>
          </w:tcPr>
          <w:p w14:paraId="409F7084">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sz w:val="22"/>
                <w:szCs w:val="22"/>
              </w:rPr>
              <w:t>规划情况</w:t>
            </w:r>
          </w:p>
        </w:tc>
        <w:tc>
          <w:tcPr>
            <w:tcW w:w="4035" w:type="pct"/>
            <w:gridSpan w:val="3"/>
            <w:tcBorders>
              <w:tl2br w:val="nil"/>
              <w:tr2bl w:val="nil"/>
            </w:tcBorders>
            <w:noWrap w:val="0"/>
            <w:vAlign w:val="center"/>
          </w:tcPr>
          <w:p w14:paraId="1DC720D9">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color w:val="auto"/>
                <w:kern w:val="0"/>
                <w:sz w:val="22"/>
                <w:szCs w:val="22"/>
                <w:lang w:val="en-US" w:eastAsia="zh-CN"/>
              </w:rPr>
            </w:pPr>
            <w:r>
              <w:rPr>
                <w:rFonts w:hint="default" w:ascii="Times New Roman" w:hAnsi="Times New Roman" w:eastAsia="宋体" w:cs="Times New Roman"/>
                <w:color w:val="auto"/>
                <w:kern w:val="0"/>
                <w:sz w:val="22"/>
                <w:szCs w:val="22"/>
                <w:lang w:val="en-US" w:eastAsia="zh-CN"/>
              </w:rPr>
              <w:t>《淮安高新技术产业开发区循环经济产业园发展规划</w:t>
            </w:r>
            <w:r>
              <w:rPr>
                <w:rFonts w:hint="eastAsia" w:ascii="Times New Roman" w:hAnsi="Times New Roman" w:eastAsia="宋体"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2021-2035</w:t>
            </w:r>
            <w:r>
              <w:rPr>
                <w:rFonts w:hint="eastAsia" w:ascii="Times New Roman" w:hAnsi="Times New Roman" w:eastAsia="宋体"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w:t>
            </w:r>
          </w:p>
        </w:tc>
      </w:tr>
      <w:tr w14:paraId="098EE9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964" w:type="pct"/>
            <w:tcBorders>
              <w:tl2br w:val="nil"/>
              <w:tr2bl w:val="nil"/>
            </w:tcBorders>
            <w:noWrap w:val="0"/>
            <w:vAlign w:val="center"/>
          </w:tcPr>
          <w:p w14:paraId="39E65C3E">
            <w:pPr>
              <w:keepNext w:val="0"/>
              <w:keepLines w:val="0"/>
              <w:pageBreakBefore w:val="0"/>
              <w:widowControl w:val="0"/>
              <w:kinsoku/>
              <w:wordWrap/>
              <w:overflowPunct/>
              <w:topLinePunct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sz w:val="22"/>
                <w:szCs w:val="22"/>
              </w:rPr>
              <w:t>规划环境影响评价情况</w:t>
            </w:r>
          </w:p>
        </w:tc>
        <w:tc>
          <w:tcPr>
            <w:tcW w:w="4035" w:type="pct"/>
            <w:gridSpan w:val="3"/>
            <w:tcBorders>
              <w:tl2br w:val="nil"/>
              <w:tr2bl w:val="nil"/>
            </w:tcBorders>
            <w:noWrap w:val="0"/>
            <w:vAlign w:val="center"/>
          </w:tcPr>
          <w:p w14:paraId="5C91BCE8">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0" w:firstLineChars="0"/>
              <w:jc w:val="left"/>
              <w:textAlignment w:val="auto"/>
              <w:outlineLvl w:val="9"/>
              <w:rPr>
                <w:rFonts w:hint="default" w:ascii="Times New Roman" w:hAnsi="Times New Roman" w:eastAsia="宋体" w:cs="Times New Roman"/>
                <w:color w:val="auto"/>
                <w:kern w:val="0"/>
                <w:sz w:val="22"/>
                <w:szCs w:val="22"/>
                <w:lang w:val="en-US" w:eastAsia="zh-CN"/>
              </w:rPr>
            </w:pPr>
            <w:r>
              <w:rPr>
                <w:rFonts w:hint="default" w:ascii="Times New Roman" w:hAnsi="Times New Roman" w:eastAsia="宋体" w:cs="Times New Roman"/>
                <w:b/>
                <w:bCs/>
                <w:color w:val="auto"/>
                <w:kern w:val="0"/>
                <w:sz w:val="22"/>
                <w:szCs w:val="22"/>
                <w:lang w:val="en-US" w:eastAsia="zh-CN"/>
              </w:rPr>
              <w:t>规划环境影响评价文件名称：</w:t>
            </w:r>
            <w:r>
              <w:rPr>
                <w:rFonts w:hint="default" w:ascii="Times New Roman" w:hAnsi="Times New Roman" w:eastAsia="宋体" w:cs="Times New Roman"/>
                <w:color w:val="auto"/>
                <w:kern w:val="0"/>
                <w:sz w:val="22"/>
                <w:szCs w:val="22"/>
                <w:lang w:val="en-US" w:eastAsia="zh-CN"/>
              </w:rPr>
              <w:t>《淮安高新技术产业开发区循环经济产业园发展规划</w:t>
            </w:r>
            <w:r>
              <w:rPr>
                <w:rFonts w:hint="eastAsia"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2021-2035</w:t>
            </w:r>
            <w:r>
              <w:rPr>
                <w:rFonts w:hint="eastAsia"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环境影响报告书》</w:t>
            </w:r>
            <w:r>
              <w:rPr>
                <w:rFonts w:hint="eastAsia" w:cs="Times New Roman"/>
                <w:color w:val="auto"/>
                <w:kern w:val="0"/>
                <w:sz w:val="22"/>
                <w:szCs w:val="22"/>
                <w:lang w:val="en-US" w:eastAsia="zh-CN"/>
              </w:rPr>
              <w:t>；</w:t>
            </w:r>
          </w:p>
          <w:p w14:paraId="3128A21A">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0" w:firstLineChars="0"/>
              <w:jc w:val="left"/>
              <w:textAlignment w:val="auto"/>
              <w:outlineLvl w:val="9"/>
              <w:rPr>
                <w:rFonts w:hint="eastAsia" w:ascii="Times New Roman" w:hAnsi="Times New Roman" w:eastAsia="宋体" w:cs="Times New Roman"/>
                <w:color w:val="auto"/>
                <w:kern w:val="0"/>
                <w:sz w:val="22"/>
                <w:szCs w:val="22"/>
                <w:lang w:val="en-US" w:eastAsia="zh-CN"/>
              </w:rPr>
            </w:pPr>
            <w:r>
              <w:rPr>
                <w:rFonts w:hint="default" w:ascii="Times New Roman" w:hAnsi="Times New Roman" w:eastAsia="宋体" w:cs="Times New Roman"/>
                <w:b/>
                <w:bCs/>
                <w:color w:val="auto"/>
                <w:kern w:val="0"/>
                <w:sz w:val="22"/>
                <w:szCs w:val="22"/>
                <w:lang w:val="en-US" w:eastAsia="zh-CN"/>
              </w:rPr>
              <w:t>审查机关：</w:t>
            </w:r>
            <w:r>
              <w:rPr>
                <w:rFonts w:hint="eastAsia" w:cs="Times New Roman"/>
                <w:b w:val="0"/>
                <w:bCs w:val="0"/>
                <w:color w:val="auto"/>
                <w:kern w:val="0"/>
                <w:sz w:val="22"/>
                <w:szCs w:val="22"/>
                <w:lang w:val="en-US" w:eastAsia="zh-CN"/>
              </w:rPr>
              <w:t>淮安市淮阴生态环境局；</w:t>
            </w:r>
          </w:p>
          <w:p w14:paraId="1C9A5ED2">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0" w:firstLineChars="0"/>
              <w:jc w:val="left"/>
              <w:textAlignment w:val="auto"/>
              <w:outlineLvl w:val="9"/>
              <w:rPr>
                <w:rFonts w:hint="default" w:ascii="Times New Roman" w:hAnsi="Times New Roman" w:eastAsia="宋体" w:cs="Times New Roman"/>
                <w:b/>
                <w:bCs/>
                <w:color w:val="auto"/>
                <w:kern w:val="0"/>
                <w:sz w:val="22"/>
                <w:szCs w:val="22"/>
                <w:lang w:val="en-US" w:eastAsia="zh-CN"/>
              </w:rPr>
            </w:pPr>
            <w:r>
              <w:rPr>
                <w:rFonts w:hint="default" w:ascii="Times New Roman" w:hAnsi="Times New Roman" w:eastAsia="宋体" w:cs="Times New Roman"/>
                <w:b/>
                <w:bCs/>
                <w:color w:val="auto"/>
                <w:kern w:val="0"/>
                <w:sz w:val="22"/>
                <w:szCs w:val="22"/>
                <w:lang w:val="en-US" w:eastAsia="zh-CN"/>
              </w:rPr>
              <w:t>审查文件名称</w:t>
            </w:r>
            <w:r>
              <w:rPr>
                <w:rFonts w:hint="eastAsia" w:cs="Times New Roman"/>
                <w:b/>
                <w:bCs/>
                <w:color w:val="auto"/>
                <w:kern w:val="0"/>
                <w:sz w:val="22"/>
                <w:szCs w:val="22"/>
                <w:lang w:val="en-US" w:eastAsia="zh-CN"/>
              </w:rPr>
              <w:t>：</w:t>
            </w:r>
            <w:r>
              <w:rPr>
                <w:rFonts w:hint="eastAsia" w:cs="Times New Roman"/>
                <w:b w:val="0"/>
                <w:bCs w:val="0"/>
                <w:color w:val="auto"/>
                <w:kern w:val="0"/>
                <w:sz w:val="22"/>
                <w:szCs w:val="22"/>
                <w:lang w:val="en-US" w:eastAsia="zh-CN"/>
              </w:rPr>
              <w:t>关于转送《淮安高新区循环经济产业园发展规划（2021-2035）环境影响报告书》审查意见的函；</w:t>
            </w:r>
          </w:p>
          <w:p w14:paraId="12B4554A">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0" w:firstLineChars="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b/>
                <w:bCs/>
                <w:color w:val="auto"/>
                <w:kern w:val="0"/>
                <w:sz w:val="22"/>
                <w:szCs w:val="22"/>
                <w:lang w:val="en-US" w:eastAsia="zh-CN"/>
              </w:rPr>
              <w:t>审查文件文号：</w:t>
            </w:r>
            <w:r>
              <w:rPr>
                <w:rFonts w:hint="eastAsia" w:ascii="Times New Roman" w:hAnsi="Times New Roman" w:eastAsia="宋体" w:cs="Times New Roman"/>
                <w:color w:val="auto"/>
                <w:kern w:val="0"/>
                <w:sz w:val="22"/>
                <w:szCs w:val="22"/>
                <w:lang w:val="en-US" w:eastAsia="zh-CN"/>
              </w:rPr>
              <w:t>淮环函〔2024〕23号</w:t>
            </w:r>
            <w:r>
              <w:rPr>
                <w:rFonts w:hint="eastAsia" w:cs="Times New Roman"/>
                <w:color w:val="auto"/>
                <w:kern w:val="0"/>
                <w:sz w:val="22"/>
                <w:szCs w:val="22"/>
                <w:lang w:val="en-US" w:eastAsia="zh-CN"/>
              </w:rPr>
              <w:t>。</w:t>
            </w:r>
          </w:p>
        </w:tc>
      </w:tr>
      <w:tr w14:paraId="635234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02" w:hRule="atLeast"/>
        </w:trPr>
        <w:tc>
          <w:tcPr>
            <w:tcW w:w="964" w:type="pct"/>
            <w:tcBorders>
              <w:tl2br w:val="nil"/>
              <w:tr2bl w:val="nil"/>
            </w:tcBorders>
            <w:noWrap w:val="0"/>
            <w:vAlign w:val="center"/>
          </w:tcPr>
          <w:p w14:paraId="68E1DEAA">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规划及规划环境影响评价符合性分析</w:t>
            </w:r>
          </w:p>
        </w:tc>
        <w:tc>
          <w:tcPr>
            <w:tcW w:w="4035" w:type="pct"/>
            <w:gridSpan w:val="3"/>
            <w:tcBorders>
              <w:tl2br w:val="nil"/>
              <w:tr2bl w:val="nil"/>
            </w:tcBorders>
            <w:noWrap w:val="0"/>
            <w:vAlign w:val="center"/>
          </w:tcPr>
          <w:p w14:paraId="28C23570">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442" w:firstLineChars="200"/>
              <w:jc w:val="left"/>
              <w:textAlignment w:val="auto"/>
              <w:outlineLvl w:val="9"/>
              <w:rPr>
                <w:rFonts w:hint="eastAsia" w:ascii="Times New Roman" w:hAnsi="Times New Roman" w:eastAsia="宋体" w:cs="Times New Roman"/>
                <w:b/>
                <w:bCs/>
                <w:color w:val="auto"/>
                <w:kern w:val="2"/>
                <w:sz w:val="22"/>
                <w:szCs w:val="22"/>
                <w:lang w:val="en-US" w:eastAsia="zh-CN" w:bidi="zh-CN"/>
              </w:rPr>
            </w:pPr>
            <w:r>
              <w:rPr>
                <w:rFonts w:hint="eastAsia" w:ascii="Times New Roman" w:hAnsi="Times New Roman" w:eastAsia="宋体" w:cs="Times New Roman"/>
                <w:b/>
                <w:bCs/>
                <w:color w:val="auto"/>
                <w:kern w:val="2"/>
                <w:sz w:val="22"/>
                <w:szCs w:val="22"/>
                <w:lang w:val="en-US" w:eastAsia="zh-CN" w:bidi="zh-CN"/>
              </w:rPr>
              <w:t>1.建设项目与园区规划环评中的产业定位、用地规划等相符性分析</w:t>
            </w:r>
          </w:p>
          <w:p w14:paraId="46A21882">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440" w:firstLineChars="200"/>
              <w:jc w:val="both"/>
              <w:textAlignment w:val="auto"/>
              <w:outlineLvl w:val="9"/>
              <w:rPr>
                <w:rFonts w:hint="eastAsia"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建设项目与园区规划环评中的产业定位、用地规划等相符性分析见表1-1。</w:t>
            </w:r>
          </w:p>
          <w:p w14:paraId="3FAAA687">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0" w:firstLineChars="0"/>
              <w:jc w:val="center"/>
              <w:textAlignment w:val="auto"/>
              <w:outlineLvl w:val="9"/>
              <w:rPr>
                <w:rFonts w:hint="default" w:ascii="Times New Roman" w:hAnsi="Times New Roman" w:eastAsia="宋体" w:cs="Times New Roman"/>
                <w:b w:val="0"/>
                <w:bCs w:val="0"/>
                <w:color w:val="auto"/>
                <w:kern w:val="2"/>
                <w:sz w:val="22"/>
                <w:szCs w:val="22"/>
                <w:vertAlign w:val="baseline"/>
                <w:lang w:val="en-US" w:eastAsia="zh-CN" w:bidi="zh-CN"/>
              </w:rPr>
            </w:pPr>
            <w:r>
              <w:rPr>
                <w:rFonts w:hint="eastAsia" w:ascii="Times New Roman" w:hAnsi="Times New Roman" w:eastAsia="宋体" w:cs="Times New Roman"/>
                <w:b/>
                <w:bCs/>
                <w:color w:val="auto"/>
                <w:kern w:val="2"/>
                <w:sz w:val="22"/>
                <w:szCs w:val="22"/>
                <w:lang w:val="en-US" w:eastAsia="zh-CN" w:bidi="zh-CN"/>
              </w:rPr>
              <w:t>表1-1  建设项目与园区规划</w:t>
            </w:r>
            <w:r>
              <w:rPr>
                <w:rFonts w:hint="eastAsia" w:cs="Times New Roman"/>
                <w:b/>
                <w:bCs/>
                <w:color w:val="auto"/>
                <w:kern w:val="2"/>
                <w:sz w:val="22"/>
                <w:szCs w:val="22"/>
                <w:lang w:val="en-US" w:eastAsia="zh-CN" w:bidi="zh-CN"/>
              </w:rPr>
              <w:t>环评中的</w:t>
            </w:r>
            <w:r>
              <w:rPr>
                <w:rFonts w:hint="eastAsia" w:ascii="Times New Roman" w:hAnsi="Times New Roman" w:eastAsia="宋体" w:cs="Times New Roman"/>
                <w:b/>
                <w:bCs/>
                <w:color w:val="auto"/>
                <w:kern w:val="2"/>
                <w:sz w:val="22"/>
                <w:szCs w:val="22"/>
                <w:lang w:val="en-US" w:eastAsia="zh-CN" w:bidi="zh-CN"/>
              </w:rPr>
              <w:t>产业定位、用地规划</w:t>
            </w:r>
            <w:r>
              <w:rPr>
                <w:rFonts w:hint="eastAsia" w:cs="Times New Roman"/>
                <w:b/>
                <w:bCs/>
                <w:color w:val="auto"/>
                <w:kern w:val="2"/>
                <w:sz w:val="22"/>
                <w:szCs w:val="22"/>
                <w:lang w:val="en-US" w:eastAsia="zh-CN" w:bidi="zh-CN"/>
              </w:rPr>
              <w:t>等</w:t>
            </w:r>
            <w:r>
              <w:rPr>
                <w:rFonts w:hint="eastAsia" w:ascii="Times New Roman" w:hAnsi="Times New Roman" w:eastAsia="宋体" w:cs="Times New Roman"/>
                <w:b/>
                <w:bCs/>
                <w:color w:val="auto"/>
                <w:kern w:val="2"/>
                <w:sz w:val="22"/>
                <w:szCs w:val="22"/>
                <w:lang w:val="en-US" w:eastAsia="zh-CN" w:bidi="zh-CN"/>
              </w:rPr>
              <w:t>相符性分析表</w:t>
            </w:r>
          </w:p>
          <w:tbl>
            <w:tblPr>
              <w:tblStyle w:val="44"/>
              <w:tblpPr w:leftFromText="180" w:rightFromText="180" w:vertAnchor="text" w:tblpXSpec="center" w:tblpY="1"/>
              <w:tblOverlap w:val="neve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1054"/>
              <w:gridCol w:w="4089"/>
              <w:gridCol w:w="1931"/>
              <w:gridCol w:w="739"/>
            </w:tblGrid>
            <w:tr w14:paraId="04A20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1054" w:type="dxa"/>
                  <w:tcBorders>
                    <w:top w:val="single" w:color="auto" w:sz="12" w:space="0"/>
                  </w:tcBorders>
                  <w:vAlign w:val="center"/>
                </w:tcPr>
                <w:p w14:paraId="4573359E">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bCs/>
                      <w:color w:val="auto"/>
                      <w:sz w:val="21"/>
                      <w:szCs w:val="21"/>
                      <w:vertAlign w:val="baseline"/>
                      <w:lang w:val="en-US" w:eastAsia="zh-CN"/>
                    </w:rPr>
                  </w:pPr>
                  <w:r>
                    <w:rPr>
                      <w:rFonts w:hint="eastAsia" w:ascii="Times New Roman" w:hAnsi="Times New Roman" w:cs="Times New Roman"/>
                      <w:b/>
                      <w:bCs/>
                      <w:color w:val="auto"/>
                      <w:sz w:val="21"/>
                      <w:szCs w:val="21"/>
                      <w:vertAlign w:val="baseline"/>
                      <w:lang w:val="en-US" w:eastAsia="zh-CN"/>
                    </w:rPr>
                    <w:t>文件名称</w:t>
                  </w:r>
                </w:p>
              </w:tc>
              <w:tc>
                <w:tcPr>
                  <w:tcW w:w="4089" w:type="dxa"/>
                  <w:tcBorders>
                    <w:top w:val="single" w:color="auto" w:sz="12" w:space="0"/>
                  </w:tcBorders>
                  <w:vAlign w:val="center"/>
                </w:tcPr>
                <w:p w14:paraId="671D1109">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bCs/>
                      <w:color w:val="auto"/>
                      <w:sz w:val="21"/>
                      <w:szCs w:val="21"/>
                      <w:vertAlign w:val="baseline"/>
                      <w:lang w:val="en-US" w:eastAsia="zh-CN"/>
                    </w:rPr>
                  </w:pPr>
                  <w:r>
                    <w:rPr>
                      <w:rFonts w:hint="eastAsia" w:ascii="Times New Roman" w:hAnsi="Times New Roman" w:cs="Times New Roman"/>
                      <w:b/>
                      <w:bCs/>
                      <w:color w:val="auto"/>
                      <w:sz w:val="21"/>
                      <w:szCs w:val="21"/>
                      <w:vertAlign w:val="baseline"/>
                      <w:lang w:val="en-US" w:eastAsia="zh-CN"/>
                    </w:rPr>
                    <w:t>文件要求</w:t>
                  </w:r>
                </w:p>
              </w:tc>
              <w:tc>
                <w:tcPr>
                  <w:tcW w:w="1931" w:type="dxa"/>
                  <w:tcBorders>
                    <w:top w:val="single" w:color="auto" w:sz="12" w:space="0"/>
                  </w:tcBorders>
                  <w:vAlign w:val="center"/>
                </w:tcPr>
                <w:p w14:paraId="70C6F5EB">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bCs/>
                      <w:color w:val="auto"/>
                      <w:sz w:val="21"/>
                      <w:szCs w:val="21"/>
                      <w:vertAlign w:val="baseline"/>
                      <w:lang w:val="en-US" w:eastAsia="zh-CN"/>
                    </w:rPr>
                  </w:pPr>
                  <w:r>
                    <w:rPr>
                      <w:rFonts w:hint="eastAsia" w:ascii="Times New Roman" w:hAnsi="Times New Roman" w:cs="Times New Roman"/>
                      <w:b/>
                      <w:bCs/>
                      <w:color w:val="auto"/>
                      <w:sz w:val="21"/>
                      <w:szCs w:val="21"/>
                      <w:vertAlign w:val="baseline"/>
                      <w:lang w:val="en-US" w:eastAsia="zh-CN"/>
                    </w:rPr>
                    <w:t>建设项目情况</w:t>
                  </w:r>
                </w:p>
              </w:tc>
              <w:tc>
                <w:tcPr>
                  <w:tcW w:w="739" w:type="dxa"/>
                  <w:tcBorders>
                    <w:top w:val="single" w:color="auto" w:sz="12" w:space="0"/>
                    <w:right w:val="nil"/>
                  </w:tcBorders>
                  <w:vAlign w:val="center"/>
                </w:tcPr>
                <w:p w14:paraId="48BD8ACB">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bCs/>
                      <w:color w:val="auto"/>
                      <w:sz w:val="21"/>
                      <w:szCs w:val="21"/>
                      <w:vertAlign w:val="baseline"/>
                      <w:lang w:val="en-US" w:eastAsia="zh-CN"/>
                    </w:rPr>
                  </w:pPr>
                  <w:r>
                    <w:rPr>
                      <w:rFonts w:hint="eastAsia" w:ascii="Times New Roman" w:hAnsi="Times New Roman" w:cs="Times New Roman"/>
                      <w:b/>
                      <w:bCs/>
                      <w:color w:val="auto"/>
                      <w:sz w:val="21"/>
                      <w:szCs w:val="21"/>
                      <w:vertAlign w:val="baseline"/>
                      <w:lang w:val="en-US" w:eastAsia="zh-CN"/>
                    </w:rPr>
                    <w:t>相符性分析</w:t>
                  </w:r>
                </w:p>
              </w:tc>
            </w:tr>
            <w:tr w14:paraId="70142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1054" w:type="dxa"/>
                  <w:vMerge w:val="restart"/>
                  <w:tcBorders>
                    <w:left w:val="nil"/>
                  </w:tcBorders>
                  <w:vAlign w:val="center"/>
                </w:tcPr>
                <w:p w14:paraId="1B16F41F">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val="0"/>
                      <w:bCs w:val="0"/>
                      <w:color w:val="auto"/>
                      <w:sz w:val="21"/>
                      <w:szCs w:val="21"/>
                      <w:vertAlign w:val="baseline"/>
                      <w:lang w:val="en-US" w:eastAsia="zh-CN"/>
                    </w:rPr>
                    <w:t>《淮安高新技术产业开发区循环经济产业园发展规划</w:t>
                  </w:r>
                  <w:r>
                    <w:rPr>
                      <w:rFonts w:hint="eastAsia" w:ascii="Times New Roman" w:hAnsi="Times New Roman" w:cs="Times New Roman"/>
                      <w:b w:val="0"/>
                      <w:bCs w:val="0"/>
                      <w:color w:val="auto"/>
                      <w:sz w:val="21"/>
                      <w:szCs w:val="21"/>
                      <w:vertAlign w:val="baseline"/>
                      <w:lang w:val="en-US" w:eastAsia="zh-CN"/>
                    </w:rPr>
                    <w:t>（</w:t>
                  </w:r>
                  <w:r>
                    <w:rPr>
                      <w:rFonts w:hint="default" w:ascii="Times New Roman" w:hAnsi="Times New Roman" w:cs="Times New Roman"/>
                      <w:b w:val="0"/>
                      <w:bCs w:val="0"/>
                      <w:color w:val="auto"/>
                      <w:sz w:val="21"/>
                      <w:szCs w:val="21"/>
                      <w:vertAlign w:val="baseline"/>
                      <w:lang w:val="en-US" w:eastAsia="zh-CN"/>
                    </w:rPr>
                    <w:t>2021-2035</w:t>
                  </w:r>
                  <w:r>
                    <w:rPr>
                      <w:rFonts w:hint="eastAsia" w:ascii="Times New Roman" w:hAnsi="Times New Roman" w:cs="Times New Roman"/>
                      <w:b w:val="0"/>
                      <w:bCs w:val="0"/>
                      <w:color w:val="auto"/>
                      <w:sz w:val="21"/>
                      <w:szCs w:val="21"/>
                      <w:vertAlign w:val="baseline"/>
                      <w:lang w:val="en-US" w:eastAsia="zh-CN"/>
                    </w:rPr>
                    <w:t>）</w:t>
                  </w:r>
                  <w:r>
                    <w:rPr>
                      <w:rFonts w:hint="default" w:ascii="Times New Roman" w:hAnsi="Times New Roman" w:cs="Times New Roman"/>
                      <w:b w:val="0"/>
                      <w:bCs w:val="0"/>
                      <w:color w:val="auto"/>
                      <w:sz w:val="21"/>
                      <w:szCs w:val="21"/>
                      <w:vertAlign w:val="baseline"/>
                      <w:lang w:val="en-US" w:eastAsia="zh-CN"/>
                    </w:rPr>
                    <w:t>环境影响报告书》</w:t>
                  </w:r>
                </w:p>
              </w:tc>
              <w:tc>
                <w:tcPr>
                  <w:tcW w:w="4089" w:type="dxa"/>
                  <w:vAlign w:val="center"/>
                </w:tcPr>
                <w:p w14:paraId="0F005EDB">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left"/>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bCs/>
                      <w:color w:val="auto"/>
                      <w:sz w:val="21"/>
                      <w:szCs w:val="21"/>
                      <w:vertAlign w:val="baseline"/>
                      <w:lang w:val="en-US" w:eastAsia="zh-CN"/>
                    </w:rPr>
                    <w:t>产业定位：</w:t>
                  </w:r>
                  <w:r>
                    <w:rPr>
                      <w:rFonts w:hint="default" w:ascii="Times New Roman" w:hAnsi="Times New Roman" w:cs="Times New Roman"/>
                      <w:b w:val="0"/>
                      <w:bCs w:val="0"/>
                      <w:color w:val="auto"/>
                      <w:sz w:val="21"/>
                      <w:szCs w:val="21"/>
                      <w:vertAlign w:val="baseline"/>
                      <w:lang w:val="en-US" w:eastAsia="zh-CN"/>
                    </w:rPr>
                    <w:t>徐溜循环经济产业园的设立是淮阴区产镇融合、强镇兴产的重要战略措施。徐溜镇作为全国重点中心镇，城镇建设走在全区前列，依托良好的发展基础、腹地和北部门户的区位条件，加上上位扶持和自身努力，工业势头发展良好，成果显著，未来有望将以循环经济产业园为核心主体的工业集中区打造成为：淮安市产镇融合示范区，以农副产品加工、新材料、机械装备为特色的产业集聚区。</w:t>
                  </w:r>
                </w:p>
              </w:tc>
              <w:tc>
                <w:tcPr>
                  <w:tcW w:w="1931" w:type="dxa"/>
                  <w:vAlign w:val="center"/>
                </w:tcPr>
                <w:p w14:paraId="60C3CA37">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val="0"/>
                      <w:bCs w:val="0"/>
                      <w:color w:val="auto"/>
                      <w:sz w:val="21"/>
                      <w:szCs w:val="21"/>
                      <w:vertAlign w:val="baseline"/>
                      <w:lang w:val="en-US" w:eastAsia="zh-CN"/>
                    </w:rPr>
                    <w:t>本项目</w:t>
                  </w:r>
                  <w:r>
                    <w:rPr>
                      <w:rFonts w:hint="eastAsia" w:ascii="Times New Roman" w:hAnsi="Times New Roman" w:cs="Times New Roman"/>
                      <w:b w:val="0"/>
                      <w:bCs w:val="0"/>
                      <w:color w:val="auto"/>
                      <w:sz w:val="21"/>
                      <w:szCs w:val="21"/>
                      <w:vertAlign w:val="baseline"/>
                      <w:lang w:val="en-US" w:eastAsia="zh-CN"/>
                    </w:rPr>
                    <w:t>半导电胶辊为“C3985 电子专用材料制造”属于园区主导产业新材料中的电子专用材料，橡胶条为“C2912 橡胶板、管、带制造”属于园区其他产业橡胶制品，符合园区规划。</w:t>
                  </w:r>
                </w:p>
              </w:tc>
              <w:tc>
                <w:tcPr>
                  <w:tcW w:w="739" w:type="dxa"/>
                  <w:tcBorders>
                    <w:right w:val="nil"/>
                  </w:tcBorders>
                  <w:vAlign w:val="center"/>
                </w:tcPr>
                <w:p w14:paraId="42052AC4">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r>
                    <w:rPr>
                      <w:rFonts w:hint="eastAsia" w:ascii="Times New Roman" w:hAnsi="Times New Roman" w:cs="Times New Roman"/>
                      <w:b w:val="0"/>
                      <w:bCs w:val="0"/>
                      <w:color w:val="auto"/>
                      <w:sz w:val="21"/>
                      <w:szCs w:val="21"/>
                      <w:vertAlign w:val="baseline"/>
                      <w:lang w:val="en-US" w:eastAsia="zh-CN"/>
                    </w:rPr>
                    <w:t>符合</w:t>
                  </w:r>
                </w:p>
              </w:tc>
            </w:tr>
            <w:tr w14:paraId="0DA1C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1054" w:type="dxa"/>
                  <w:vMerge w:val="continue"/>
                  <w:tcBorders>
                    <w:left w:val="nil"/>
                    <w:bottom w:val="single" w:color="auto" w:sz="12" w:space="0"/>
                  </w:tcBorders>
                  <w:vAlign w:val="center"/>
                </w:tcPr>
                <w:p w14:paraId="12C2B88E">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p>
              </w:tc>
              <w:tc>
                <w:tcPr>
                  <w:tcW w:w="4089" w:type="dxa"/>
                  <w:tcBorders>
                    <w:bottom w:val="single" w:color="auto" w:sz="12" w:space="0"/>
                  </w:tcBorders>
                  <w:vAlign w:val="center"/>
                </w:tcPr>
                <w:p w14:paraId="3328D9EE">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left"/>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bCs/>
                      <w:color w:val="auto"/>
                      <w:sz w:val="21"/>
                      <w:szCs w:val="21"/>
                      <w:vertAlign w:val="baseline"/>
                      <w:lang w:val="en-US" w:eastAsia="zh-CN"/>
                    </w:rPr>
                    <w:t>用地规划：</w:t>
                  </w:r>
                  <w:r>
                    <w:rPr>
                      <w:rFonts w:hint="default" w:ascii="Times New Roman" w:hAnsi="Times New Roman" w:cs="Times New Roman"/>
                      <w:b w:val="0"/>
                      <w:bCs w:val="0"/>
                      <w:color w:val="auto"/>
                      <w:sz w:val="21"/>
                      <w:szCs w:val="21"/>
                      <w:vertAlign w:val="baseline"/>
                      <w:lang w:val="en-US" w:eastAsia="zh-CN"/>
                    </w:rPr>
                    <w:t>以《淮安市淮阴区徐溜镇总体规划（2015-2030）》和政府批复文件为依据，落实自然资源部下发的城镇开发边界，规划范围包括沿G205东西两部分。西片区北至创业大道，南至发展路，东至明月路，西至城镇开发边界，用地面积13.4957公顷；东片区北至八支路、南至发展路，东至兴业路，西至一干路，用地面积111.5986公顷，规划范围内总用地面积共计125.0943公顷。</w:t>
                  </w:r>
                </w:p>
              </w:tc>
              <w:tc>
                <w:tcPr>
                  <w:tcW w:w="1931" w:type="dxa"/>
                  <w:tcBorders>
                    <w:bottom w:val="single" w:color="auto" w:sz="12" w:space="0"/>
                  </w:tcBorders>
                  <w:vAlign w:val="center"/>
                </w:tcPr>
                <w:p w14:paraId="55989041">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val="0"/>
                      <w:bCs w:val="0"/>
                      <w:color w:val="auto"/>
                      <w:sz w:val="21"/>
                      <w:szCs w:val="21"/>
                      <w:vertAlign w:val="baseline"/>
                      <w:lang w:val="en-US" w:eastAsia="zh-CN"/>
                    </w:rPr>
                    <w:t>项目位于淮安高新技术产业开发区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cs="Times New Roman"/>
                      <w:b w:val="0"/>
                      <w:bCs w:val="0"/>
                      <w:color w:val="auto"/>
                      <w:sz w:val="21"/>
                      <w:szCs w:val="21"/>
                      <w:vertAlign w:val="baseline"/>
                      <w:lang w:val="en-US" w:eastAsia="zh-CN"/>
                    </w:rPr>
                    <w:t>，用地性质</w:t>
                  </w:r>
                  <w:r>
                    <w:rPr>
                      <w:rFonts w:hint="eastAsia" w:ascii="Times New Roman" w:hAnsi="Times New Roman" w:cs="Times New Roman"/>
                      <w:b w:val="0"/>
                      <w:bCs w:val="0"/>
                      <w:color w:val="auto"/>
                      <w:sz w:val="21"/>
                      <w:szCs w:val="21"/>
                      <w:vertAlign w:val="baseline"/>
                      <w:lang w:val="en-US" w:eastAsia="zh-CN"/>
                    </w:rPr>
                    <w:t>属于工业用地</w:t>
                  </w:r>
                  <w:r>
                    <w:rPr>
                      <w:rFonts w:hint="default" w:ascii="Times New Roman" w:hAnsi="Times New Roman" w:cs="Times New Roman"/>
                      <w:b w:val="0"/>
                      <w:bCs w:val="0"/>
                      <w:color w:val="auto"/>
                      <w:sz w:val="21"/>
                      <w:szCs w:val="21"/>
                      <w:vertAlign w:val="baseline"/>
                      <w:lang w:val="en-US" w:eastAsia="zh-CN"/>
                    </w:rPr>
                    <w:t>。</w:t>
                  </w:r>
                </w:p>
              </w:tc>
              <w:tc>
                <w:tcPr>
                  <w:tcW w:w="739" w:type="dxa"/>
                  <w:tcBorders>
                    <w:bottom w:val="single" w:color="auto" w:sz="12" w:space="0"/>
                    <w:right w:val="nil"/>
                  </w:tcBorders>
                  <w:vAlign w:val="center"/>
                </w:tcPr>
                <w:p w14:paraId="159DF229">
                  <w:pPr>
                    <w:pStyle w:val="68"/>
                    <w:keepNext w:val="0"/>
                    <w:keepLines w:val="0"/>
                    <w:pageBreakBefore w:val="0"/>
                    <w:widowControl w:val="0"/>
                    <w:kinsoku/>
                    <w:wordWrap/>
                    <w:overflowPunct/>
                    <w:topLinePunct w:val="0"/>
                    <w:autoSpaceDE w:val="0"/>
                    <w:autoSpaceDN w:val="0"/>
                    <w:bidi w:val="0"/>
                    <w:adjustRightInd/>
                    <w:snapToGrid w:val="0"/>
                    <w:spacing w:line="360" w:lineRule="atLeast"/>
                    <w:ind w:right="0"/>
                    <w:jc w:val="center"/>
                    <w:textAlignment w:val="auto"/>
                    <w:outlineLvl w:val="9"/>
                    <w:rPr>
                      <w:rFonts w:hint="default" w:ascii="Times New Roman" w:hAnsi="Times New Roman" w:cs="Times New Roman"/>
                      <w:b w:val="0"/>
                      <w:bCs w:val="0"/>
                      <w:color w:val="auto"/>
                      <w:sz w:val="21"/>
                      <w:szCs w:val="21"/>
                      <w:vertAlign w:val="baseline"/>
                      <w:lang w:val="en-US" w:eastAsia="zh-CN"/>
                    </w:rPr>
                  </w:pPr>
                  <w:r>
                    <w:rPr>
                      <w:rFonts w:hint="default" w:ascii="Times New Roman" w:hAnsi="Times New Roman" w:cs="Times New Roman"/>
                      <w:b w:val="0"/>
                      <w:bCs w:val="0"/>
                      <w:color w:val="auto"/>
                      <w:sz w:val="21"/>
                      <w:szCs w:val="21"/>
                      <w:vertAlign w:val="baseline"/>
                      <w:lang w:val="en-US" w:eastAsia="zh-CN"/>
                    </w:rPr>
                    <w:t>符合</w:t>
                  </w:r>
                </w:p>
              </w:tc>
            </w:tr>
          </w:tbl>
          <w:p w14:paraId="4C422B0F">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0" w:firstLineChars="0"/>
              <w:jc w:val="center"/>
              <w:textAlignment w:val="auto"/>
              <w:outlineLvl w:val="9"/>
              <w:rPr>
                <w:rFonts w:hint="default" w:ascii="Times New Roman" w:hAnsi="Times New Roman" w:eastAsia="宋体" w:cs="Times New Roman"/>
                <w:b w:val="0"/>
                <w:bCs w:val="0"/>
                <w:color w:val="auto"/>
                <w:kern w:val="2"/>
                <w:sz w:val="22"/>
                <w:szCs w:val="22"/>
                <w:lang w:val="en-US" w:eastAsia="zh-CN" w:bidi="zh-CN"/>
              </w:rPr>
            </w:pPr>
            <w:r>
              <w:rPr>
                <w:rFonts w:hint="default" w:ascii="Times New Roman" w:hAnsi="Times New Roman" w:eastAsia="宋体" w:cs="Times New Roman"/>
                <w:b/>
                <w:bCs/>
                <w:color w:val="auto"/>
                <w:kern w:val="2"/>
                <w:sz w:val="22"/>
                <w:szCs w:val="22"/>
                <w:lang w:val="en-US" w:eastAsia="zh-CN" w:bidi="zh-CN"/>
              </w:rPr>
              <w:t>表</w:t>
            </w:r>
            <w:r>
              <w:rPr>
                <w:rFonts w:hint="eastAsia" w:ascii="Times New Roman" w:hAnsi="Times New Roman" w:eastAsia="宋体" w:cs="Times New Roman"/>
                <w:b/>
                <w:bCs/>
                <w:color w:val="auto"/>
                <w:kern w:val="2"/>
                <w:sz w:val="22"/>
                <w:szCs w:val="22"/>
                <w:lang w:val="en-US" w:eastAsia="zh-CN" w:bidi="zh-CN"/>
              </w:rPr>
              <w:t>1-2</w:t>
            </w:r>
            <w:r>
              <w:rPr>
                <w:rFonts w:hint="default" w:ascii="Times New Roman" w:hAnsi="Times New Roman" w:eastAsia="宋体" w:cs="Times New Roman"/>
                <w:b/>
                <w:bCs/>
                <w:color w:val="auto"/>
                <w:kern w:val="2"/>
                <w:sz w:val="22"/>
                <w:szCs w:val="22"/>
                <w:lang w:val="en-US" w:eastAsia="zh-CN" w:bidi="zh-CN"/>
              </w:rPr>
              <w:t xml:space="preserve"> 徐溜循环经济产业园主导产业和支撑产业发展选择</w:t>
            </w:r>
          </w:p>
          <w:tbl>
            <w:tblPr>
              <w:tblStyle w:val="95"/>
              <w:tblpPr w:leftFromText="180" w:rightFromText="180" w:vertAnchor="text" w:tblpXSpec="center" w:tblpY="1"/>
              <w:tblOverlap w:val="never"/>
              <w:tblW w:w="4979" w:type="pct"/>
              <w:tblInd w:w="0" w:type="dxa"/>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Layout w:type="fixed"/>
              <w:tblCellMar>
                <w:top w:w="0" w:type="dxa"/>
                <w:left w:w="57" w:type="dxa"/>
                <w:bottom w:w="0" w:type="dxa"/>
                <w:right w:w="57" w:type="dxa"/>
              </w:tblCellMar>
            </w:tblPr>
            <w:tblGrid>
              <w:gridCol w:w="607"/>
              <w:gridCol w:w="845"/>
              <w:gridCol w:w="1902"/>
              <w:gridCol w:w="4426"/>
            </w:tblGrid>
            <w:tr w14:paraId="4C422B12">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2155" w:type="pct"/>
                  <w:gridSpan w:val="3"/>
                  <w:tcBorders>
                    <w:top w:val="single" w:color="000000" w:themeColor="text1" w:sz="12" w:space="0"/>
                    <w:bottom w:val="single" w:color="000000" w:themeColor="text1" w:sz="4" w:space="0"/>
                    <w:right w:val="single" w:color="000000" w:themeColor="text1" w:sz="4" w:space="0"/>
                  </w:tcBorders>
                  <w:vAlign w:val="center"/>
                </w:tcPr>
                <w:p w14:paraId="4C422B10">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bCs/>
                      <w:color w:val="auto"/>
                      <w:kern w:val="2"/>
                      <w:sz w:val="21"/>
                      <w:szCs w:val="21"/>
                      <w:lang w:val="en-US" w:eastAsia="zh-CN" w:bidi="zh-CN"/>
                    </w:rPr>
                  </w:pPr>
                  <w:r>
                    <w:rPr>
                      <w:rFonts w:hint="default" w:ascii="Times New Roman" w:hAnsi="Times New Roman" w:eastAsia="宋体" w:cs="Times New Roman"/>
                      <w:b/>
                      <w:bCs/>
                      <w:color w:val="auto"/>
                      <w:kern w:val="2"/>
                      <w:sz w:val="21"/>
                      <w:szCs w:val="21"/>
                      <w:lang w:val="en-US" w:eastAsia="zh-CN" w:bidi="zh-CN"/>
                    </w:rPr>
                    <w:t>产业门类</w:t>
                  </w:r>
                </w:p>
              </w:tc>
              <w:tc>
                <w:tcPr>
                  <w:tcW w:w="2844" w:type="pct"/>
                  <w:tcBorders>
                    <w:top w:val="single" w:color="000000" w:themeColor="text1" w:sz="12" w:space="0"/>
                    <w:left w:val="single" w:color="000000" w:themeColor="text1" w:sz="4" w:space="0"/>
                    <w:bottom w:val="single" w:color="000000" w:themeColor="text1" w:sz="4" w:space="0"/>
                    <w:right w:val="nil"/>
                  </w:tcBorders>
                  <w:vAlign w:val="center"/>
                </w:tcPr>
                <w:p w14:paraId="4C422B11">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bCs/>
                      <w:color w:val="auto"/>
                      <w:kern w:val="2"/>
                      <w:sz w:val="21"/>
                      <w:szCs w:val="21"/>
                      <w:lang w:val="en-US" w:eastAsia="zh-CN" w:bidi="zh-CN"/>
                    </w:rPr>
                  </w:pPr>
                  <w:r>
                    <w:rPr>
                      <w:rFonts w:hint="default" w:ascii="Times New Roman" w:hAnsi="Times New Roman" w:eastAsia="宋体" w:cs="Times New Roman"/>
                      <w:b/>
                      <w:bCs/>
                      <w:color w:val="auto"/>
                      <w:kern w:val="2"/>
                      <w:sz w:val="21"/>
                      <w:szCs w:val="21"/>
                      <w:lang w:val="en-US" w:eastAsia="zh-CN" w:bidi="zh-CN"/>
                    </w:rPr>
                    <w:t>主要方向和产品</w:t>
                  </w:r>
                </w:p>
              </w:tc>
            </w:tr>
            <w:tr w14:paraId="4C422B17">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restart"/>
                  <w:tcBorders>
                    <w:top w:val="single" w:color="000000" w:themeColor="text1" w:sz="4" w:space="0"/>
                    <w:left w:val="nil"/>
                    <w:bottom w:val="single" w:color="000000" w:themeColor="text1" w:sz="4" w:space="0"/>
                    <w:right w:val="single" w:color="000000" w:themeColor="text1" w:sz="4" w:space="0"/>
                  </w:tcBorders>
                  <w:vAlign w:val="center"/>
                </w:tcPr>
                <w:p w14:paraId="4C422B13">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主导产业</w:t>
                  </w:r>
                </w:p>
              </w:tc>
              <w:tc>
                <w:tcPr>
                  <w:tcW w:w="543" w:type="pct"/>
                  <w:vMerge w:val="restar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15">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农副产品加工</w:t>
                  </w: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2FA24B43">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农副产品加工</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16">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谷物磨制、饲料、饲料添加剂</w:t>
                  </w:r>
                </w:p>
              </w:tc>
            </w:tr>
            <w:tr w14:paraId="4CBCED95">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5C904262">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543" w:type="pct"/>
                  <w:vMerge w:val="continue"/>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254F8790">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38742863">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食品加工</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7710709B">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食品、食品添加剂、副食品</w:t>
                  </w:r>
                </w:p>
              </w:tc>
            </w:tr>
            <w:tr w14:paraId="4C422B21">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4C422B1D">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543" w:type="pct"/>
                  <w:vMerge w:val="restar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1E">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新材料</w:t>
                  </w: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1F">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建材加工</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20">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铝型材，非金属矿物建材加工制造（不含水泥制造、平板玻璃制造、石棉制品、含焙烧的石墨碳素制品及两高项目）</w:t>
                  </w:r>
                </w:p>
              </w:tc>
            </w:tr>
            <w:tr w14:paraId="4C422B26">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4C422B22">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543" w:type="pct"/>
                  <w:vMerge w:val="continue"/>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3">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4">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电子专用材料</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25">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计算机、通信和其他电子设备（不含电子化学品）</w:t>
                  </w:r>
                </w:p>
              </w:tc>
            </w:tr>
            <w:tr w14:paraId="4C422B2B">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4C422B27">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543" w:type="pct"/>
                  <w:vMerge w:val="restar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8">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机械装备</w:t>
                  </w: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9">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电气机械和器材</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2A">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电力电子元器件，电线电缆，输配电及控制设备</w:t>
                  </w:r>
                </w:p>
              </w:tc>
            </w:tr>
            <w:tr w14:paraId="4C422B30">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4C422B2C">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543" w:type="pct"/>
                  <w:vMerge w:val="continue"/>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D">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1220" w:type="pct"/>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2E">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通用及专用设备</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2F">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通用设备，专用设备制造</w:t>
                  </w:r>
                </w:p>
              </w:tc>
            </w:tr>
            <w:tr w14:paraId="4C422B34">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restart"/>
                  <w:tcBorders>
                    <w:top w:val="single" w:color="000000" w:themeColor="text1" w:sz="4" w:space="0"/>
                    <w:left w:val="nil"/>
                    <w:bottom w:val="single" w:color="000000" w:themeColor="text1" w:sz="4" w:space="0"/>
                    <w:right w:val="single" w:color="000000" w:themeColor="text1" w:sz="4" w:space="0"/>
                  </w:tcBorders>
                  <w:vAlign w:val="center"/>
                </w:tcPr>
                <w:p w14:paraId="4C422B31">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其他产业</w:t>
                  </w:r>
                </w:p>
              </w:tc>
              <w:tc>
                <w:tcPr>
                  <w:tcW w:w="1764" w:type="pct"/>
                  <w:gridSpan w:val="2"/>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32">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节能环保</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33">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固体废物综合利用、环保材料、环保装备</w:t>
                  </w:r>
                </w:p>
              </w:tc>
            </w:tr>
            <w:tr w14:paraId="4C422B38">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4" w:space="0"/>
                    <w:right w:val="single" w:color="000000" w:themeColor="text1" w:sz="4" w:space="0"/>
                  </w:tcBorders>
                  <w:vAlign w:val="center"/>
                </w:tcPr>
                <w:p w14:paraId="4C422B35">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1764" w:type="pct"/>
                  <w:gridSpan w:val="2"/>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14:paraId="4C422B36">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板材、家具制造</w:t>
                  </w:r>
                </w:p>
              </w:tc>
              <w:tc>
                <w:tcPr>
                  <w:tcW w:w="2844" w:type="pct"/>
                  <w:tcBorders>
                    <w:top w:val="single" w:color="000000" w:themeColor="text1" w:sz="4" w:space="0"/>
                    <w:left w:val="single" w:color="000000" w:themeColor="text1" w:sz="4" w:space="0"/>
                    <w:bottom w:val="single" w:color="000000" w:themeColor="text1" w:sz="4" w:space="0"/>
                    <w:right w:val="nil"/>
                  </w:tcBorders>
                  <w:vAlign w:val="center"/>
                </w:tcPr>
                <w:p w14:paraId="4C422B37">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木制家具，板材</w:t>
                  </w:r>
                </w:p>
              </w:tc>
            </w:tr>
            <w:tr w14:paraId="4C422B3C">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57" w:type="dxa"/>
                  <w:bottom w:w="0" w:type="dxa"/>
                  <w:right w:w="57" w:type="dxa"/>
                </w:tblCellMar>
              </w:tblPrEx>
              <w:trPr>
                <w:trHeight w:val="454" w:hRule="atLeast"/>
              </w:trPr>
              <w:tc>
                <w:tcPr>
                  <w:tcW w:w="390" w:type="pct"/>
                  <w:vMerge w:val="continue"/>
                  <w:tcBorders>
                    <w:top w:val="single" w:color="000000" w:themeColor="text1" w:sz="4" w:space="0"/>
                    <w:left w:val="nil"/>
                    <w:bottom w:val="single" w:color="000000" w:themeColor="text1" w:sz="12" w:space="0"/>
                    <w:right w:val="single" w:color="000000" w:themeColor="text1" w:sz="4" w:space="0"/>
                  </w:tcBorders>
                  <w:vAlign w:val="center"/>
                </w:tcPr>
                <w:p w14:paraId="4C422B39">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p>
              </w:tc>
              <w:tc>
                <w:tcPr>
                  <w:tcW w:w="1764" w:type="pct"/>
                  <w:gridSpan w:val="2"/>
                  <w:tcBorders>
                    <w:top w:val="single" w:color="000000" w:themeColor="text1" w:sz="4" w:space="0"/>
                    <w:left w:val="single" w:color="000000" w:themeColor="text1" w:sz="4" w:space="0"/>
                    <w:bottom w:val="single" w:color="000000" w:themeColor="text1" w:sz="12" w:space="0"/>
                    <w:right w:val="single" w:color="000000" w:themeColor="text1" w:sz="4" w:space="0"/>
                  </w:tcBorders>
                  <w:vAlign w:val="center"/>
                </w:tcPr>
                <w:p w14:paraId="4C422B3A">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center"/>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其他简单加工的轻污染行业</w:t>
                  </w:r>
                </w:p>
              </w:tc>
              <w:tc>
                <w:tcPr>
                  <w:tcW w:w="2844" w:type="pct"/>
                  <w:tcBorders>
                    <w:top w:val="single" w:color="000000" w:themeColor="text1" w:sz="4" w:space="0"/>
                    <w:left w:val="single" w:color="000000" w:themeColor="text1" w:sz="4" w:space="0"/>
                    <w:bottom w:val="single" w:color="000000" w:themeColor="text1" w:sz="12" w:space="0"/>
                    <w:right w:val="nil"/>
                  </w:tcBorders>
                  <w:vAlign w:val="center"/>
                </w:tcPr>
                <w:p w14:paraId="4C422B3B">
                  <w:pPr>
                    <w:keepNext w:val="0"/>
                    <w:keepLines w:val="0"/>
                    <w:pageBreakBefore w:val="0"/>
                    <w:widowControl w:val="0"/>
                    <w:kinsoku/>
                    <w:wordWrap/>
                    <w:overflowPunct/>
                    <w:topLinePunct w:val="0"/>
                    <w:autoSpaceDE w:val="0"/>
                    <w:autoSpaceDN w:val="0"/>
                    <w:bidi w:val="0"/>
                    <w:adjustRightInd/>
                    <w:snapToGrid w:val="0"/>
                    <w:spacing w:line="360" w:lineRule="exact"/>
                    <w:ind w:left="0" w:right="0" w:firstLine="0" w:firstLineChars="0"/>
                    <w:jc w:val="left"/>
                    <w:textAlignment w:val="auto"/>
                    <w:outlineLvl w:val="9"/>
                    <w:rPr>
                      <w:rFonts w:hint="default" w:ascii="Times New Roman" w:hAnsi="Times New Roman" w:eastAsia="宋体" w:cs="Times New Roman"/>
                      <w:b w:val="0"/>
                      <w:bCs w:val="0"/>
                      <w:color w:val="auto"/>
                      <w:kern w:val="2"/>
                      <w:sz w:val="21"/>
                      <w:szCs w:val="21"/>
                      <w:lang w:val="en-US" w:eastAsia="zh-CN" w:bidi="zh-CN"/>
                    </w:rPr>
                  </w:pPr>
                  <w:r>
                    <w:rPr>
                      <w:rFonts w:hint="default" w:ascii="Times New Roman" w:hAnsi="Times New Roman" w:eastAsia="宋体" w:cs="Times New Roman"/>
                      <w:b w:val="0"/>
                      <w:bCs w:val="0"/>
                      <w:color w:val="auto"/>
                      <w:kern w:val="2"/>
                      <w:sz w:val="21"/>
                      <w:szCs w:val="21"/>
                      <w:lang w:val="en-US" w:eastAsia="zh-CN" w:bidi="zh-CN"/>
                    </w:rPr>
                    <w:t>文教、工美、体育和娱乐用品，塑料制品，橡胶制品，纺织等</w:t>
                  </w:r>
                </w:p>
              </w:tc>
            </w:tr>
          </w:tbl>
          <w:p w14:paraId="4C66B009">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440" w:firstLineChars="200"/>
              <w:jc w:val="left"/>
              <w:textAlignment w:val="auto"/>
              <w:outlineLvl w:val="9"/>
              <w:rPr>
                <w:rFonts w:hint="default" w:ascii="Times New Roman" w:hAnsi="Times New Roman" w:eastAsia="宋体" w:cs="Times New Roman"/>
                <w:b w:val="0"/>
                <w:bCs w:val="0"/>
                <w:color w:val="auto"/>
                <w:kern w:val="2"/>
                <w:sz w:val="22"/>
                <w:szCs w:val="22"/>
                <w:lang w:val="en-US" w:eastAsia="zh-CN" w:bidi="zh-CN"/>
              </w:rPr>
            </w:pPr>
            <w:r>
              <w:rPr>
                <w:rFonts w:hint="eastAsia" w:cs="Times New Roman"/>
                <w:b w:val="0"/>
                <w:bCs w:val="0"/>
                <w:color w:val="auto"/>
                <w:kern w:val="2"/>
                <w:sz w:val="22"/>
                <w:szCs w:val="22"/>
                <w:lang w:val="en-US" w:eastAsia="zh-CN" w:bidi="zh-CN"/>
              </w:rPr>
              <w:t>对照表1-2，本项目半导电胶辊生产为“C3985 电子专用材料制造”属于主导产业中“新材料-电子专用材料-计算机、通信和其他电子设备（不含电子化学品）”</w:t>
            </w:r>
            <w:r>
              <w:rPr>
                <w:rFonts w:hint="eastAsia" w:cs="Times New Roman"/>
                <w:b w:val="0"/>
                <w:bCs w:val="0"/>
                <w:color w:val="auto"/>
                <w:kern w:val="2"/>
                <w:sz w:val="24"/>
                <w:szCs w:val="24"/>
                <w:lang w:val="en-US" w:eastAsia="zh-CN" w:bidi="zh-CN"/>
              </w:rPr>
              <w:t>，</w:t>
            </w:r>
            <w:r>
              <w:rPr>
                <w:rFonts w:hint="eastAsia" w:cs="Times New Roman"/>
                <w:b w:val="0"/>
                <w:bCs w:val="0"/>
                <w:color w:val="auto"/>
                <w:kern w:val="2"/>
                <w:sz w:val="22"/>
                <w:szCs w:val="22"/>
                <w:lang w:val="en-US" w:eastAsia="zh-CN" w:bidi="zh-CN"/>
              </w:rPr>
              <w:t>橡胶条生产为“C2912 橡胶板、管、带制造”属于其他产业“其他简单加工的轻污染行业”中的“橡胶制品”，符合规划要求。</w:t>
            </w:r>
          </w:p>
          <w:p w14:paraId="7A1E545F">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440" w:firstLineChars="200"/>
              <w:jc w:val="left"/>
              <w:textAlignment w:val="auto"/>
              <w:outlineLvl w:val="9"/>
              <w:rPr>
                <w:rFonts w:hint="default" w:ascii="Times New Roman" w:hAnsi="Times New Roman" w:eastAsia="宋体" w:cs="Times New Roman"/>
                <w:b w:val="0"/>
                <w:bCs w:val="0"/>
                <w:color w:val="auto"/>
                <w:kern w:val="2"/>
                <w:sz w:val="22"/>
                <w:szCs w:val="22"/>
                <w:lang w:val="en-US" w:eastAsia="zh-CN" w:bidi="zh-CN"/>
              </w:rPr>
            </w:pPr>
            <w:r>
              <w:rPr>
                <w:rFonts w:hint="eastAsia" w:cs="Times New Roman"/>
                <w:b w:val="0"/>
                <w:bCs w:val="0"/>
                <w:color w:val="auto"/>
                <w:kern w:val="2"/>
                <w:sz w:val="22"/>
                <w:szCs w:val="22"/>
                <w:lang w:val="en-US" w:eastAsia="zh-CN" w:bidi="zh-CN"/>
              </w:rPr>
              <w:t>本</w:t>
            </w:r>
            <w:r>
              <w:rPr>
                <w:rFonts w:hint="default" w:ascii="Times New Roman" w:hAnsi="Times New Roman" w:eastAsia="宋体" w:cs="Times New Roman"/>
                <w:b w:val="0"/>
                <w:bCs w:val="0"/>
                <w:color w:val="auto"/>
                <w:kern w:val="2"/>
                <w:sz w:val="22"/>
                <w:szCs w:val="22"/>
                <w:lang w:val="en-US" w:eastAsia="zh-CN" w:bidi="zh-CN"/>
              </w:rPr>
              <w:t>项目位于</w:t>
            </w:r>
            <w:r>
              <w:rPr>
                <w:rFonts w:hint="eastAsia" w:cs="Times New Roman"/>
                <w:b w:val="0"/>
                <w:bCs w:val="0"/>
                <w:color w:val="auto"/>
                <w:kern w:val="2"/>
                <w:sz w:val="22"/>
                <w:szCs w:val="22"/>
                <w:lang w:val="en-US" w:eastAsia="zh-CN" w:bidi="zh-CN"/>
              </w:rPr>
              <w:t>淮安高新技术产业开发区循环经济产业园（根据《</w:t>
            </w:r>
            <w:r>
              <w:rPr>
                <w:rFonts w:hint="default" w:ascii="Times New Roman" w:hAnsi="Times New Roman" w:eastAsia="宋体" w:cs="Times New Roman"/>
                <w:color w:val="auto"/>
                <w:kern w:val="0"/>
                <w:sz w:val="22"/>
                <w:szCs w:val="22"/>
                <w:lang w:val="en-US" w:eastAsia="zh-CN"/>
              </w:rPr>
              <w:t>淮安高新技术产业开发区循环经济产业园发展规划</w:t>
            </w:r>
            <w:r>
              <w:rPr>
                <w:rFonts w:hint="eastAsia"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2021-2035</w:t>
            </w:r>
            <w:r>
              <w:rPr>
                <w:rFonts w:hint="eastAsia"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val="en-US" w:eastAsia="zh-CN"/>
              </w:rPr>
              <w:t>环境影响报告书</w:t>
            </w:r>
            <w:r>
              <w:rPr>
                <w:rFonts w:hint="eastAsia" w:cs="Times New Roman"/>
                <w:b w:val="0"/>
                <w:bCs w:val="0"/>
                <w:color w:val="auto"/>
                <w:kern w:val="2"/>
                <w:sz w:val="22"/>
                <w:szCs w:val="22"/>
                <w:lang w:val="en-US" w:eastAsia="zh-CN" w:bidi="zh-CN"/>
              </w:rPr>
              <w:t>》“1.1任务由来”中介绍2020年4月，徐溜镇工业集中区规范名称确定为淮安高新技术产业开发区循环经济产业园）</w:t>
            </w:r>
            <w:r>
              <w:rPr>
                <w:rFonts w:hint="default" w:ascii="Times New Roman" w:hAnsi="Times New Roman" w:eastAsia="宋体" w:cs="Times New Roman"/>
                <w:b w:val="0"/>
                <w:bCs w:val="0"/>
                <w:color w:val="auto"/>
                <w:kern w:val="2"/>
                <w:sz w:val="22"/>
                <w:szCs w:val="22"/>
                <w:lang w:val="en-US" w:eastAsia="zh-CN" w:bidi="zh-CN"/>
              </w:rPr>
              <w:t>，用地性质为</w:t>
            </w:r>
            <w:r>
              <w:rPr>
                <w:rFonts w:hint="eastAsia" w:ascii="Times New Roman" w:hAnsi="Times New Roman" w:eastAsia="宋体" w:cs="Times New Roman"/>
                <w:b w:val="0"/>
                <w:bCs w:val="0"/>
                <w:color w:val="auto"/>
                <w:kern w:val="2"/>
                <w:sz w:val="22"/>
                <w:szCs w:val="22"/>
                <w:lang w:val="en-US" w:eastAsia="zh-CN" w:bidi="zh-CN"/>
              </w:rPr>
              <w:t>工业</w:t>
            </w:r>
            <w:r>
              <w:rPr>
                <w:rFonts w:hint="default" w:ascii="Times New Roman" w:hAnsi="Times New Roman" w:eastAsia="宋体" w:cs="Times New Roman"/>
                <w:b w:val="0"/>
                <w:bCs w:val="0"/>
                <w:color w:val="auto"/>
                <w:kern w:val="2"/>
                <w:sz w:val="22"/>
                <w:szCs w:val="22"/>
                <w:lang w:val="en-US" w:eastAsia="zh-CN" w:bidi="zh-CN"/>
              </w:rPr>
              <w:t>用地。不属于《禁止用地项目目录（2012年本）》、《限制用地项目目录（2012年本）》、《江苏省禁止用地项目目录（2013年本）》、《江苏省限制用地项目目录（2013年本）》中禁止、限制用地项目。</w:t>
            </w:r>
          </w:p>
          <w:p w14:paraId="1B70FFD0">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440" w:firstLineChars="200"/>
              <w:jc w:val="left"/>
              <w:textAlignment w:val="auto"/>
              <w:outlineLvl w:val="9"/>
              <w:rPr>
                <w:rFonts w:hint="default" w:ascii="Times New Roman" w:hAnsi="Times New Roman" w:eastAsia="宋体" w:cs="Times New Roman"/>
                <w:color w:val="auto"/>
                <w:kern w:val="0"/>
                <w:sz w:val="22"/>
                <w:szCs w:val="22"/>
                <w:lang w:val="en-US" w:eastAsia="zh-CN"/>
              </w:rPr>
            </w:pPr>
            <w:r>
              <w:rPr>
                <w:rFonts w:hint="default" w:ascii="Times New Roman" w:hAnsi="Times New Roman" w:eastAsia="宋体" w:cs="Times New Roman"/>
                <w:b w:val="0"/>
                <w:bCs w:val="0"/>
                <w:color w:val="auto"/>
                <w:kern w:val="2"/>
                <w:sz w:val="22"/>
                <w:szCs w:val="22"/>
                <w:lang w:val="en-US" w:eastAsia="zh-CN" w:bidi="zh-CN"/>
              </w:rPr>
              <w:t>根据上述分析可知，建设项目与</w:t>
            </w:r>
            <w:r>
              <w:rPr>
                <w:rFonts w:hint="eastAsia" w:ascii="Times New Roman" w:hAnsi="Times New Roman" w:eastAsia="宋体" w:cs="Times New Roman"/>
                <w:b w:val="0"/>
                <w:bCs w:val="0"/>
                <w:color w:val="auto"/>
                <w:kern w:val="2"/>
                <w:sz w:val="22"/>
                <w:szCs w:val="22"/>
                <w:lang w:val="en-US" w:eastAsia="zh-CN" w:bidi="zh-CN"/>
              </w:rPr>
              <w:t>淮安高新技术产业开发区循环经济产业园</w:t>
            </w:r>
            <w:r>
              <w:rPr>
                <w:rFonts w:hint="default" w:ascii="Times New Roman" w:hAnsi="Times New Roman" w:eastAsia="宋体" w:cs="Times New Roman"/>
                <w:b w:val="0"/>
                <w:bCs w:val="0"/>
                <w:color w:val="auto"/>
                <w:kern w:val="2"/>
                <w:sz w:val="22"/>
                <w:szCs w:val="22"/>
                <w:lang w:val="en-US" w:eastAsia="zh-CN" w:bidi="zh-CN"/>
              </w:rPr>
              <w:t>的规划及规划环评中产业定位、用地规划是相符的。</w:t>
            </w:r>
          </w:p>
        </w:tc>
      </w:tr>
      <w:tr w14:paraId="09E254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02" w:hRule="atLeast"/>
        </w:trPr>
        <w:tc>
          <w:tcPr>
            <w:tcW w:w="964" w:type="pct"/>
            <w:tcBorders>
              <w:tl2br w:val="nil"/>
              <w:tr2bl w:val="nil"/>
            </w:tcBorders>
            <w:noWrap w:val="0"/>
            <w:vAlign w:val="center"/>
          </w:tcPr>
          <w:p w14:paraId="1C320124">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其他符合性分析</w:t>
            </w:r>
          </w:p>
        </w:tc>
        <w:tc>
          <w:tcPr>
            <w:tcW w:w="4035" w:type="pct"/>
            <w:gridSpan w:val="3"/>
            <w:tcBorders>
              <w:tl2br w:val="nil"/>
              <w:tr2bl w:val="nil"/>
            </w:tcBorders>
            <w:noWrap w:val="0"/>
            <w:vAlign w:val="center"/>
          </w:tcPr>
          <w:p w14:paraId="40FB752A">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textAlignment w:val="auto"/>
              <w:outlineLvl w:val="9"/>
              <w:rPr>
                <w:rFonts w:hint="default" w:ascii="Times New Roman" w:hAnsi="Times New Roman" w:eastAsia="宋体" w:cs="Times New Roman"/>
                <w:b/>
                <w:bCs/>
                <w:color w:val="auto"/>
                <w:sz w:val="22"/>
                <w:szCs w:val="22"/>
              </w:rPr>
            </w:pPr>
            <w:r>
              <w:rPr>
                <w:rFonts w:hint="eastAsia" w:ascii="Times New Roman" w:hAnsi="Times New Roman" w:eastAsia="宋体" w:cs="Times New Roman"/>
                <w:b/>
                <w:bCs/>
                <w:color w:val="auto"/>
                <w:sz w:val="22"/>
                <w:szCs w:val="22"/>
                <w:lang w:val="en-US" w:eastAsia="zh-CN"/>
              </w:rPr>
              <w:t xml:space="preserve">1.1 </w:t>
            </w:r>
            <w:r>
              <w:rPr>
                <w:rFonts w:hint="default" w:ascii="Times New Roman" w:hAnsi="Times New Roman" w:eastAsia="宋体" w:cs="Times New Roman"/>
                <w:b/>
                <w:bCs/>
                <w:color w:val="auto"/>
                <w:sz w:val="22"/>
                <w:szCs w:val="22"/>
              </w:rPr>
              <w:t>“三线一单”相符性分析</w:t>
            </w:r>
          </w:p>
          <w:p w14:paraId="03AB5A98">
            <w:pPr>
              <w:keepNext w:val="0"/>
              <w:keepLines w:val="0"/>
              <w:pageBreakBefore w:val="0"/>
              <w:widowControl w:val="0"/>
              <w:kinsoku/>
              <w:wordWrap/>
              <w:overflowPunct/>
              <w:topLinePunct w:val="0"/>
              <w:autoSpaceDE/>
              <w:autoSpaceDN/>
              <w:bidi w:val="0"/>
              <w:spacing w:line="500" w:lineRule="exact"/>
              <w:ind w:left="0" w:firstLine="442" w:firstLineChars="200"/>
              <w:textAlignment w:val="auto"/>
              <w:outlineLvl w:val="9"/>
              <w:rPr>
                <w:rFonts w:hint="default" w:ascii="Times New Roman" w:hAnsi="Times New Roman" w:eastAsia="宋体" w:cs="Times New Roman"/>
                <w:b/>
                <w:bCs/>
                <w:color w:val="auto"/>
                <w:sz w:val="22"/>
                <w:szCs w:val="22"/>
              </w:rPr>
            </w:pPr>
            <w:r>
              <w:rPr>
                <w:rFonts w:hint="eastAsia" w:ascii="宋体" w:hAnsi="宋体" w:eastAsia="宋体" w:cs="宋体"/>
                <w:b/>
                <w:bCs/>
                <w:color w:val="auto"/>
                <w:sz w:val="22"/>
                <w:szCs w:val="22"/>
              </w:rPr>
              <w:t>⑴</w:t>
            </w:r>
            <w:r>
              <w:rPr>
                <w:rFonts w:hint="default" w:ascii="Times New Roman" w:hAnsi="Times New Roman" w:eastAsia="宋体" w:cs="Times New Roman"/>
                <w:b/>
                <w:bCs/>
                <w:color w:val="auto"/>
                <w:sz w:val="22"/>
                <w:szCs w:val="22"/>
              </w:rPr>
              <w:t>生态红线</w:t>
            </w:r>
          </w:p>
          <w:p w14:paraId="489ADE14">
            <w:pPr>
              <w:keepNext w:val="0"/>
              <w:keepLines w:val="0"/>
              <w:pageBreakBefore w:val="0"/>
              <w:widowControl w:val="0"/>
              <w:kinsoku/>
              <w:wordWrap/>
              <w:overflowPunct/>
              <w:topLinePunct w:val="0"/>
              <w:autoSpaceDE/>
              <w:autoSpaceDN/>
              <w:bidi w:val="0"/>
              <w:snapToGrid w:val="0"/>
              <w:spacing w:line="500" w:lineRule="exact"/>
              <w:ind w:left="0" w:firstLine="440" w:firstLineChars="200"/>
              <w:textAlignment w:val="auto"/>
              <w:outlineLvl w:val="9"/>
              <w:rPr>
                <w:rFonts w:hint="default" w:ascii="Times New Roman" w:hAnsi="Times New Roman" w:eastAsia="宋体" w:cs="Times New Roman"/>
                <w:b w:val="0"/>
                <w:bCs w:val="0"/>
                <w:color w:val="auto"/>
                <w:kern w:val="2"/>
                <w:sz w:val="22"/>
                <w:szCs w:val="22"/>
                <w:lang w:val="en-US" w:eastAsia="zh-CN" w:bidi="zh-CN"/>
              </w:rPr>
            </w:pPr>
            <w:r>
              <w:rPr>
                <w:rFonts w:hint="default" w:ascii="Times New Roman" w:hAnsi="Times New Roman" w:eastAsia="宋体" w:cs="Times New Roman"/>
                <w:color w:val="auto"/>
                <w:sz w:val="22"/>
                <w:szCs w:val="22"/>
                <w:lang w:val="en-US" w:eastAsia="zh-CN"/>
              </w:rPr>
              <w:t>本项目选址于淮安高新技术产业开发区</w:t>
            </w:r>
            <w:r>
              <w:rPr>
                <w:rFonts w:hint="eastAsia" w:ascii="Times New Roman" w:hAnsi="Times New Roman" w:eastAsia="宋体" w:cs="Times New Roman"/>
                <w:color w:val="auto"/>
                <w:sz w:val="22"/>
                <w:szCs w:val="22"/>
                <w:lang w:val="en-US" w:eastAsia="zh-CN"/>
              </w:rPr>
              <w:t>循环经济产业园</w:t>
            </w:r>
            <w:r>
              <w:rPr>
                <w:rFonts w:hint="default" w:ascii="Times New Roman" w:hAnsi="Times New Roman" w:eastAsia="宋体" w:cs="Times New Roman"/>
                <w:color w:val="auto"/>
                <w:sz w:val="22"/>
                <w:szCs w:val="22"/>
                <w:lang w:val="en-US" w:eastAsia="zh-CN"/>
              </w:rPr>
              <w:t>，</w:t>
            </w:r>
            <w:r>
              <w:rPr>
                <w:rFonts w:hint="default" w:ascii="Times New Roman" w:hAnsi="Times New Roman" w:eastAsia="宋体" w:cs="Times New Roman"/>
                <w:color w:val="auto"/>
                <w:sz w:val="22"/>
                <w:szCs w:val="22"/>
              </w:rPr>
              <w:t>根据《省政府关于印发江苏省国家级生态保护红线规划的通知》（苏政发</w:t>
            </w:r>
            <w:r>
              <w:rPr>
                <w:rFonts w:hint="eastAsia" w:ascii="宋体" w:hAnsi="宋体" w:eastAsia="宋体" w:cs="宋体"/>
                <w:color w:val="auto"/>
                <w:sz w:val="22"/>
                <w:szCs w:val="22"/>
              </w:rPr>
              <w:t>〔</w:t>
            </w:r>
            <w:r>
              <w:rPr>
                <w:rFonts w:hint="default" w:ascii="Times New Roman" w:hAnsi="Times New Roman" w:eastAsia="宋体" w:cs="Times New Roman"/>
                <w:color w:val="auto"/>
                <w:sz w:val="22"/>
                <w:szCs w:val="22"/>
              </w:rPr>
              <w:t>2018</w:t>
            </w:r>
            <w:r>
              <w:rPr>
                <w:rFonts w:hint="eastAsia" w:ascii="宋体" w:hAnsi="宋体" w:eastAsia="宋体" w:cs="宋体"/>
                <w:color w:val="auto"/>
                <w:sz w:val="22"/>
                <w:szCs w:val="22"/>
              </w:rPr>
              <w:t>〕</w:t>
            </w:r>
            <w:r>
              <w:rPr>
                <w:rFonts w:hint="default" w:ascii="Times New Roman" w:hAnsi="Times New Roman" w:eastAsia="宋体" w:cs="Times New Roman"/>
                <w:color w:val="auto"/>
                <w:sz w:val="22"/>
                <w:szCs w:val="22"/>
              </w:rPr>
              <w:t>74号）和《江苏省生态空间管控区域规划》（苏政发</w:t>
            </w:r>
            <w:r>
              <w:rPr>
                <w:rFonts w:hint="eastAsia" w:ascii="宋体" w:hAnsi="宋体" w:eastAsia="宋体" w:cs="宋体"/>
                <w:color w:val="auto"/>
                <w:sz w:val="22"/>
                <w:szCs w:val="22"/>
              </w:rPr>
              <w:t>〔</w:t>
            </w:r>
            <w:r>
              <w:rPr>
                <w:rFonts w:hint="default" w:ascii="Times New Roman" w:hAnsi="Times New Roman" w:eastAsia="宋体" w:cs="Times New Roman"/>
                <w:color w:val="auto"/>
                <w:sz w:val="22"/>
                <w:szCs w:val="22"/>
              </w:rPr>
              <w:t>2020</w:t>
            </w:r>
            <w:r>
              <w:rPr>
                <w:rFonts w:hint="eastAsia" w:ascii="宋体" w:hAnsi="宋体" w:eastAsia="宋体" w:cs="宋体"/>
                <w:color w:val="auto"/>
                <w:sz w:val="22"/>
                <w:szCs w:val="22"/>
              </w:rPr>
              <w:t>〕</w:t>
            </w:r>
            <w:r>
              <w:rPr>
                <w:rFonts w:hint="default" w:ascii="Times New Roman" w:hAnsi="Times New Roman" w:eastAsia="宋体" w:cs="Times New Roman"/>
                <w:color w:val="auto"/>
                <w:sz w:val="22"/>
                <w:szCs w:val="22"/>
              </w:rPr>
              <w:t>1号），本项目不在淮阴区境内的</w:t>
            </w:r>
            <w:r>
              <w:rPr>
                <w:rFonts w:hint="eastAsia" w:cs="Times New Roman"/>
                <w:color w:val="auto"/>
                <w:sz w:val="22"/>
                <w:szCs w:val="22"/>
                <w:lang w:eastAsia="zh-CN"/>
              </w:rPr>
              <w:t>生态保护红线</w:t>
            </w:r>
            <w:r>
              <w:rPr>
                <w:rFonts w:hint="default" w:ascii="Times New Roman" w:hAnsi="Times New Roman" w:eastAsia="宋体" w:cs="Times New Roman"/>
                <w:color w:val="auto"/>
                <w:sz w:val="22"/>
                <w:szCs w:val="22"/>
              </w:rPr>
              <w:t>范围内，</w:t>
            </w:r>
            <w:r>
              <w:rPr>
                <w:rFonts w:hint="default" w:ascii="Times New Roman" w:hAnsi="Times New Roman" w:eastAsia="宋体" w:cs="Times New Roman"/>
                <w:color w:val="auto"/>
                <w:sz w:val="22"/>
                <w:szCs w:val="22"/>
                <w:lang w:val="en-US" w:eastAsia="zh-CN"/>
              </w:rPr>
              <w:t>本项目距离最近的生态保护红线为</w:t>
            </w:r>
            <w:r>
              <w:rPr>
                <w:rFonts w:hint="eastAsia" w:cs="Times New Roman"/>
                <w:color w:val="auto"/>
                <w:sz w:val="22"/>
                <w:szCs w:val="22"/>
                <w:lang w:val="en-US" w:eastAsia="zh-CN"/>
              </w:rPr>
              <w:t>位于项目南侧约15.8km的</w:t>
            </w:r>
            <w:r>
              <w:rPr>
                <w:rFonts w:hint="default" w:ascii="Times New Roman" w:hAnsi="Times New Roman" w:eastAsia="宋体" w:cs="Times New Roman"/>
                <w:color w:val="auto"/>
                <w:sz w:val="22"/>
                <w:szCs w:val="22"/>
                <w:lang w:val="en-US" w:eastAsia="zh-CN"/>
              </w:rPr>
              <w:t>淮阴区渔沟水厂饮用水水源保护区</w:t>
            </w:r>
            <w:r>
              <w:rPr>
                <w:rFonts w:hint="eastAsia"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本项目距离最近的</w:t>
            </w:r>
            <w:r>
              <w:rPr>
                <w:rFonts w:hint="eastAsia" w:ascii="Times New Roman" w:hAnsi="Times New Roman" w:eastAsia="宋体" w:cs="Times New Roman"/>
                <w:color w:val="auto"/>
                <w:sz w:val="22"/>
                <w:szCs w:val="22"/>
                <w:lang w:eastAsia="zh-CN"/>
              </w:rPr>
              <w:t>生态空间管控区域</w:t>
            </w:r>
            <w:r>
              <w:rPr>
                <w:rFonts w:hint="eastAsia" w:ascii="Times New Roman" w:hAnsi="Times New Roman" w:eastAsia="宋体" w:cs="Times New Roman"/>
                <w:color w:val="auto"/>
                <w:sz w:val="22"/>
                <w:szCs w:val="22"/>
                <w:lang w:val="en-US" w:eastAsia="zh-CN"/>
              </w:rPr>
              <w:t>为位于项目西侧约</w:t>
            </w:r>
            <w:r>
              <w:rPr>
                <w:rFonts w:hint="default" w:ascii="Times New Roman" w:hAnsi="Times New Roman" w:eastAsia="宋体" w:cs="Times New Roman"/>
                <w:color w:val="auto"/>
                <w:sz w:val="22"/>
                <w:szCs w:val="22"/>
                <w:lang w:val="en-US" w:eastAsia="zh-CN"/>
              </w:rPr>
              <w:t>0.61km</w:t>
            </w:r>
            <w:r>
              <w:rPr>
                <w:rFonts w:hint="eastAsia" w:ascii="Times New Roman" w:hAnsi="Times New Roman" w:eastAsia="宋体" w:cs="Times New Roman"/>
                <w:color w:val="auto"/>
                <w:sz w:val="22"/>
                <w:szCs w:val="22"/>
                <w:lang w:val="en-US" w:eastAsia="zh-CN"/>
              </w:rPr>
              <w:t>的</w:t>
            </w:r>
            <w:r>
              <w:rPr>
                <w:rFonts w:hint="default" w:ascii="Times New Roman" w:hAnsi="Times New Roman" w:eastAsia="宋体" w:cs="Times New Roman"/>
                <w:color w:val="auto"/>
                <w:sz w:val="22"/>
                <w:szCs w:val="22"/>
                <w:lang w:val="en-US" w:eastAsia="zh-CN"/>
              </w:rPr>
              <w:t>淮阴区生态公益林，</w:t>
            </w:r>
            <w:r>
              <w:rPr>
                <w:rFonts w:hint="eastAsia" w:cs="Times New Roman"/>
                <w:color w:val="auto"/>
                <w:sz w:val="22"/>
                <w:szCs w:val="22"/>
                <w:lang w:val="en-US" w:eastAsia="zh-CN"/>
              </w:rPr>
              <w:t>因此</w:t>
            </w:r>
            <w:r>
              <w:rPr>
                <w:rFonts w:hint="default" w:ascii="Times New Roman" w:hAnsi="Times New Roman" w:eastAsia="宋体" w:cs="Times New Roman"/>
                <w:color w:val="auto"/>
                <w:sz w:val="22"/>
                <w:szCs w:val="22"/>
              </w:rPr>
              <w:t>本项目不在国家级生态保护红线及生态空间管控区</w:t>
            </w:r>
            <w:r>
              <w:rPr>
                <w:rFonts w:hint="eastAsia" w:cs="Times New Roman"/>
                <w:color w:val="auto"/>
                <w:sz w:val="22"/>
                <w:szCs w:val="22"/>
                <w:lang w:eastAsia="zh-CN"/>
              </w:rPr>
              <w:t>域</w:t>
            </w:r>
            <w:r>
              <w:rPr>
                <w:rFonts w:hint="default" w:ascii="Times New Roman" w:hAnsi="Times New Roman" w:eastAsia="宋体" w:cs="Times New Roman"/>
                <w:color w:val="auto"/>
                <w:sz w:val="22"/>
                <w:szCs w:val="22"/>
              </w:rPr>
              <w:t>范围内，符合《江苏省生态空间管控区域规划》和《省政府关于印发江苏省国家级生态保护红线规划的通知》要求，</w:t>
            </w:r>
            <w:r>
              <w:rPr>
                <w:rFonts w:hint="eastAsia" w:cs="Times New Roman"/>
                <w:color w:val="auto"/>
                <w:sz w:val="22"/>
                <w:szCs w:val="22"/>
                <w:lang w:eastAsia="zh-CN"/>
              </w:rPr>
              <w:t>详见附</w:t>
            </w:r>
            <w:r>
              <w:rPr>
                <w:rFonts w:hint="default" w:ascii="Times New Roman" w:hAnsi="Times New Roman" w:eastAsia="宋体" w:cs="Times New Roman"/>
                <w:color w:val="auto"/>
                <w:sz w:val="22"/>
                <w:szCs w:val="22"/>
              </w:rPr>
              <w:t>图</w:t>
            </w:r>
            <w:r>
              <w:rPr>
                <w:rFonts w:hint="eastAsia" w:cs="Times New Roman"/>
                <w:color w:val="auto"/>
                <w:sz w:val="22"/>
                <w:szCs w:val="22"/>
                <w:lang w:val="en-US" w:eastAsia="zh-CN"/>
              </w:rPr>
              <w:t>1</w:t>
            </w:r>
            <w:r>
              <w:rPr>
                <w:rFonts w:hint="default" w:ascii="Times New Roman" w:hAnsi="Times New Roman" w:eastAsia="宋体" w:cs="Times New Roman"/>
                <w:color w:val="auto"/>
                <w:sz w:val="22"/>
                <w:szCs w:val="22"/>
              </w:rPr>
              <w:t>。</w:t>
            </w:r>
          </w:p>
        </w:tc>
      </w:tr>
    </w:tbl>
    <w:p w14:paraId="0D4B93CB">
      <w:pPr>
        <w:pStyle w:val="42"/>
        <w:rPr>
          <w:color w:val="auto"/>
        </w:rPr>
        <w:sectPr>
          <w:footerReference r:id="rId4" w:type="default"/>
          <w:pgSz w:w="11906" w:h="16838"/>
          <w:pgMar w:top="1134" w:right="1134" w:bottom="1134" w:left="1134" w:header="851" w:footer="1077" w:gutter="0"/>
          <w:pgBorders>
            <w:top w:val="none" w:sz="0" w:space="0"/>
            <w:left w:val="none" w:sz="0" w:space="0"/>
            <w:bottom w:val="none" w:sz="0" w:space="0"/>
            <w:right w:val="none" w:sz="0" w:space="0"/>
          </w:pgBorders>
          <w:pgNumType w:fmt="decimal" w:start="1"/>
          <w:cols w:space="720" w:num="1"/>
          <w:docGrid w:linePitch="312" w:charSpace="0"/>
        </w:sectPr>
      </w:pPr>
    </w:p>
    <w:tbl>
      <w:tblPr>
        <w:tblStyle w:val="43"/>
        <w:tblpPr w:leftFromText="180" w:rightFromText="180" w:vertAnchor="text" w:tblpXSpec="center" w:tblpY="1"/>
        <w:tblOverlap w:val="never"/>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702"/>
        <w:gridCol w:w="8988"/>
      </w:tblGrid>
      <w:tr w14:paraId="307EDD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14083" w:hRule="atLeast"/>
          <w:jc w:val="center"/>
        </w:trPr>
        <w:tc>
          <w:tcPr>
            <w:tcW w:w="362" w:type="pct"/>
            <w:tcBorders>
              <w:tl2br w:val="nil"/>
              <w:tr2bl w:val="nil"/>
            </w:tcBorders>
            <w:noWrap w:val="0"/>
            <w:vAlign w:val="center"/>
          </w:tcPr>
          <w:p w14:paraId="536F71EF">
            <w:pPr>
              <w:keepNext w:val="0"/>
              <w:keepLines w:val="0"/>
              <w:pageBreakBefore w:val="0"/>
              <w:widowControl w:val="0"/>
              <w:kinsoku/>
              <w:wordWrap/>
              <w:overflowPunct/>
              <w:topLinePunct w:val="0"/>
              <w:autoSpaceDE w:val="0"/>
              <w:autoSpaceDN w:val="0"/>
              <w:bidi w:val="0"/>
              <w:adjustRightInd w:val="0"/>
              <w:snapToGrid w:val="0"/>
              <w:spacing w:beforeAutospacing="0" w:afterAutospacing="0" w:line="400" w:lineRule="exact"/>
              <w:ind w:left="0" w:leftChars="0"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其他符合性分析</w:t>
            </w:r>
          </w:p>
        </w:tc>
        <w:tc>
          <w:tcPr>
            <w:tcW w:w="4637" w:type="pct"/>
            <w:tcBorders>
              <w:tl2br w:val="nil"/>
              <w:tr2bl w:val="nil"/>
            </w:tcBorders>
            <w:noWrap w:val="0"/>
            <w:vAlign w:val="center"/>
          </w:tcPr>
          <w:p w14:paraId="2BB581C6">
            <w:pPr>
              <w:keepNext w:val="0"/>
              <w:keepLines w:val="0"/>
              <w:pageBreakBefore w:val="0"/>
              <w:widowControl w:val="0"/>
              <w:kinsoku/>
              <w:wordWrap/>
              <w:overflowPunct/>
              <w:topLinePunct w:val="0"/>
              <w:autoSpaceDE w:val="0"/>
              <w:autoSpaceDN w:val="0"/>
              <w:bidi w:val="0"/>
              <w:adjustRightInd/>
              <w:snapToGrid w:val="0"/>
              <w:spacing w:line="500" w:lineRule="atLeast"/>
              <w:ind w:left="0" w:right="0" w:firstLine="0" w:firstLineChars="0"/>
              <w:jc w:val="center"/>
              <w:textAlignment w:val="auto"/>
              <w:outlineLvl w:val="9"/>
              <w:rPr>
                <w:rFonts w:hint="default" w:ascii="Times New Roman" w:hAnsi="Times New Roman" w:eastAsia="宋体" w:cs="Times New Roman"/>
                <w:b/>
                <w:bCs/>
                <w:color w:val="auto"/>
                <w:kern w:val="2"/>
                <w:sz w:val="22"/>
                <w:szCs w:val="22"/>
                <w:lang w:val="en-US" w:eastAsia="zh-CN" w:bidi="zh-CN"/>
              </w:rPr>
            </w:pPr>
            <w:r>
              <w:rPr>
                <w:rFonts w:hint="default" w:ascii="Times New Roman" w:hAnsi="Times New Roman" w:eastAsia="宋体" w:cs="Times New Roman"/>
                <w:b/>
                <w:bCs/>
                <w:color w:val="auto"/>
                <w:kern w:val="2"/>
                <w:sz w:val="22"/>
                <w:szCs w:val="22"/>
                <w:lang w:val="en-US" w:eastAsia="zh-CN" w:bidi="zh-CN"/>
              </w:rPr>
              <w:t>表1</w:t>
            </w:r>
            <w:r>
              <w:rPr>
                <w:rFonts w:hint="eastAsia" w:ascii="Times New Roman" w:hAnsi="Times New Roman" w:eastAsia="宋体" w:cs="Times New Roman"/>
                <w:b/>
                <w:bCs/>
                <w:color w:val="auto"/>
                <w:kern w:val="2"/>
                <w:sz w:val="22"/>
                <w:szCs w:val="22"/>
                <w:lang w:val="en-US" w:eastAsia="zh-CN" w:bidi="zh-CN"/>
              </w:rPr>
              <w:t>.1</w:t>
            </w:r>
            <w:r>
              <w:rPr>
                <w:rFonts w:hint="default" w:ascii="Times New Roman" w:hAnsi="Times New Roman" w:eastAsia="宋体" w:cs="Times New Roman"/>
                <w:b/>
                <w:bCs/>
                <w:color w:val="auto"/>
                <w:kern w:val="2"/>
                <w:sz w:val="22"/>
                <w:szCs w:val="22"/>
                <w:lang w:val="en-US" w:eastAsia="zh-CN" w:bidi="zh-CN"/>
              </w:rPr>
              <w:t>-</w:t>
            </w:r>
            <w:r>
              <w:rPr>
                <w:rFonts w:hint="eastAsia" w:ascii="Times New Roman" w:hAnsi="Times New Roman" w:eastAsia="宋体" w:cs="Times New Roman"/>
                <w:b/>
                <w:bCs/>
                <w:color w:val="auto"/>
                <w:kern w:val="2"/>
                <w:sz w:val="22"/>
                <w:szCs w:val="22"/>
                <w:lang w:val="en-US" w:eastAsia="zh-CN" w:bidi="zh-CN"/>
              </w:rPr>
              <w:t>1</w:t>
            </w:r>
            <w:r>
              <w:rPr>
                <w:rFonts w:hint="default" w:ascii="Times New Roman" w:hAnsi="Times New Roman" w:eastAsia="宋体" w:cs="Times New Roman"/>
                <w:b/>
                <w:bCs/>
                <w:color w:val="auto"/>
                <w:kern w:val="2"/>
                <w:sz w:val="22"/>
                <w:szCs w:val="22"/>
                <w:lang w:val="en-US" w:eastAsia="zh-CN" w:bidi="zh-CN"/>
              </w:rPr>
              <w:t xml:space="preserve">  项目周边重要生态功能保护区一览表</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57" w:type="dxa"/>
                <w:left w:w="57" w:type="dxa"/>
                <w:bottom w:w="28" w:type="dxa"/>
                <w:right w:w="57" w:type="dxa"/>
              </w:tblCellMar>
            </w:tblPr>
            <w:tblGrid>
              <w:gridCol w:w="897"/>
              <w:gridCol w:w="578"/>
              <w:gridCol w:w="2064"/>
              <w:gridCol w:w="1780"/>
              <w:gridCol w:w="942"/>
              <w:gridCol w:w="942"/>
              <w:gridCol w:w="760"/>
              <w:gridCol w:w="964"/>
            </w:tblGrid>
            <w:tr w14:paraId="1AC346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vMerge w:val="restart"/>
                  <w:tcBorders>
                    <w:tl2br w:val="nil"/>
                    <w:tr2bl w:val="nil"/>
                  </w:tcBorders>
                  <w:noWrap w:val="0"/>
                  <w:tcMar>
                    <w:top w:w="0" w:type="dxa"/>
                    <w:left w:w="28" w:type="dxa"/>
                    <w:bottom w:w="0" w:type="dxa"/>
                    <w:right w:w="28" w:type="dxa"/>
                  </w:tcMar>
                  <w:vAlign w:val="center"/>
                </w:tcPr>
                <w:p w14:paraId="6BFBDED1">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rPr>
                    <w:t>管控区域名称</w:t>
                  </w:r>
                </w:p>
              </w:tc>
              <w:tc>
                <w:tcPr>
                  <w:tcW w:w="328" w:type="pct"/>
                  <w:vMerge w:val="restart"/>
                  <w:tcBorders>
                    <w:tl2br w:val="nil"/>
                    <w:tr2bl w:val="nil"/>
                  </w:tcBorders>
                  <w:noWrap w:val="0"/>
                  <w:tcMar>
                    <w:top w:w="0" w:type="dxa"/>
                    <w:left w:w="28" w:type="dxa"/>
                    <w:bottom w:w="0" w:type="dxa"/>
                    <w:right w:w="28" w:type="dxa"/>
                  </w:tcMar>
                  <w:vAlign w:val="center"/>
                </w:tcPr>
                <w:p w14:paraId="51B6EC84">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rPr>
                    <w:t>主导生态功能</w:t>
                  </w:r>
                </w:p>
              </w:tc>
              <w:tc>
                <w:tcPr>
                  <w:tcW w:w="2161" w:type="pct"/>
                  <w:gridSpan w:val="2"/>
                  <w:tcBorders>
                    <w:tl2br w:val="nil"/>
                    <w:tr2bl w:val="nil"/>
                  </w:tcBorders>
                  <w:noWrap w:val="0"/>
                  <w:tcMar>
                    <w:top w:w="0" w:type="dxa"/>
                    <w:left w:w="28" w:type="dxa"/>
                    <w:bottom w:w="0" w:type="dxa"/>
                    <w:right w:w="28" w:type="dxa"/>
                  </w:tcMar>
                  <w:vAlign w:val="center"/>
                </w:tcPr>
                <w:p w14:paraId="09472235">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rPr>
                    <w:t>红线区域范围</w:t>
                  </w:r>
                </w:p>
              </w:tc>
              <w:tc>
                <w:tcPr>
                  <w:tcW w:w="1458" w:type="pct"/>
                  <w:gridSpan w:val="3"/>
                  <w:tcBorders>
                    <w:tl2br w:val="nil"/>
                    <w:tr2bl w:val="nil"/>
                  </w:tcBorders>
                  <w:noWrap w:val="0"/>
                  <w:tcMar>
                    <w:top w:w="0" w:type="dxa"/>
                    <w:left w:w="28" w:type="dxa"/>
                    <w:bottom w:w="0" w:type="dxa"/>
                    <w:right w:w="28" w:type="dxa"/>
                  </w:tcMar>
                  <w:vAlign w:val="center"/>
                </w:tcPr>
                <w:p w14:paraId="601570CC">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rPr>
                    <w:t>面积（平方公里）</w:t>
                  </w:r>
                </w:p>
              </w:tc>
              <w:tc>
                <w:tcPr>
                  <w:tcW w:w="544" w:type="pct"/>
                  <w:vMerge w:val="restart"/>
                  <w:tcBorders>
                    <w:tl2br w:val="nil"/>
                    <w:tr2bl w:val="nil"/>
                  </w:tcBorders>
                  <w:noWrap w:val="0"/>
                  <w:tcMar>
                    <w:top w:w="0" w:type="dxa"/>
                    <w:left w:w="28" w:type="dxa"/>
                    <w:bottom w:w="0" w:type="dxa"/>
                    <w:right w:w="28" w:type="dxa"/>
                  </w:tcMar>
                  <w:vAlign w:val="center"/>
                </w:tcPr>
                <w:p w14:paraId="0143D1DB">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2"/>
                      <w:sz w:val="21"/>
                      <w:szCs w:val="21"/>
                    </w:rPr>
                  </w:pPr>
                  <w:r>
                    <w:rPr>
                      <w:rFonts w:hint="default" w:ascii="Times New Roman" w:hAnsi="Times New Roman" w:eastAsia="宋体" w:cs="Times New Roman"/>
                      <w:b/>
                      <w:bCs/>
                      <w:color w:val="auto"/>
                      <w:w w:val="100"/>
                      <w:kern w:val="2"/>
                      <w:sz w:val="21"/>
                      <w:szCs w:val="21"/>
                    </w:rPr>
                    <w:t>与本项目位置关系</w:t>
                  </w:r>
                </w:p>
              </w:tc>
            </w:tr>
            <w:tr w14:paraId="7E3F625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vMerge w:val="continue"/>
                  <w:tcBorders>
                    <w:tl2br w:val="nil"/>
                    <w:tr2bl w:val="nil"/>
                  </w:tcBorders>
                  <w:noWrap w:val="0"/>
                  <w:tcMar>
                    <w:top w:w="0" w:type="dxa"/>
                    <w:left w:w="28" w:type="dxa"/>
                    <w:bottom w:w="0" w:type="dxa"/>
                    <w:right w:w="28" w:type="dxa"/>
                  </w:tcMar>
                  <w:vAlign w:val="center"/>
                </w:tcPr>
                <w:p w14:paraId="68F6BB17">
                  <w:pPr>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p>
              </w:tc>
              <w:tc>
                <w:tcPr>
                  <w:tcW w:w="328" w:type="pct"/>
                  <w:vMerge w:val="continue"/>
                  <w:tcBorders>
                    <w:tl2br w:val="nil"/>
                    <w:tr2bl w:val="nil"/>
                  </w:tcBorders>
                  <w:noWrap w:val="0"/>
                  <w:tcMar>
                    <w:top w:w="0" w:type="dxa"/>
                    <w:left w:w="28" w:type="dxa"/>
                    <w:bottom w:w="0" w:type="dxa"/>
                    <w:right w:w="28" w:type="dxa"/>
                  </w:tcMar>
                  <w:vAlign w:val="center"/>
                </w:tcPr>
                <w:p w14:paraId="2FEE24E4">
                  <w:pPr>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p>
              </w:tc>
              <w:tc>
                <w:tcPr>
                  <w:tcW w:w="1160" w:type="pct"/>
                  <w:tcBorders>
                    <w:tl2br w:val="nil"/>
                    <w:tr2bl w:val="nil"/>
                  </w:tcBorders>
                  <w:noWrap w:val="0"/>
                  <w:tcMar>
                    <w:top w:w="0" w:type="dxa"/>
                    <w:left w:w="28" w:type="dxa"/>
                    <w:bottom w:w="0" w:type="dxa"/>
                    <w:right w:w="28" w:type="dxa"/>
                  </w:tcMar>
                  <w:vAlign w:val="center"/>
                </w:tcPr>
                <w:p w14:paraId="10305A3C">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lang w:val="en-US" w:eastAsia="zh-CN"/>
                    </w:rPr>
                  </w:pPr>
                  <w:r>
                    <w:rPr>
                      <w:rFonts w:hint="default" w:ascii="Times New Roman" w:hAnsi="Times New Roman" w:eastAsia="宋体" w:cs="Times New Roman"/>
                      <w:b/>
                      <w:bCs/>
                      <w:color w:val="auto"/>
                      <w:w w:val="100"/>
                      <w:kern w:val="2"/>
                      <w:sz w:val="21"/>
                      <w:szCs w:val="21"/>
                      <w:lang w:val="en-US" w:eastAsia="zh-CN"/>
                    </w:rPr>
                    <w:t>国家级生态保护红线范围</w:t>
                  </w:r>
                </w:p>
              </w:tc>
              <w:tc>
                <w:tcPr>
                  <w:tcW w:w="1000" w:type="pct"/>
                  <w:tcBorders>
                    <w:tl2br w:val="nil"/>
                    <w:tr2bl w:val="nil"/>
                  </w:tcBorders>
                  <w:noWrap w:val="0"/>
                  <w:tcMar>
                    <w:top w:w="0" w:type="dxa"/>
                    <w:left w:w="28" w:type="dxa"/>
                    <w:bottom w:w="0" w:type="dxa"/>
                    <w:right w:w="28" w:type="dxa"/>
                  </w:tcMar>
                  <w:vAlign w:val="center"/>
                </w:tcPr>
                <w:p w14:paraId="000A62C5">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lang w:val="en-US" w:eastAsia="zh-CN"/>
                    </w:rPr>
                  </w:pPr>
                  <w:r>
                    <w:rPr>
                      <w:rFonts w:hint="default" w:ascii="Times New Roman" w:hAnsi="Times New Roman" w:eastAsia="宋体" w:cs="Times New Roman"/>
                      <w:b/>
                      <w:bCs/>
                      <w:color w:val="auto"/>
                      <w:w w:val="100"/>
                      <w:kern w:val="2"/>
                      <w:sz w:val="21"/>
                      <w:szCs w:val="21"/>
                      <w:lang w:val="en-US" w:eastAsia="zh-CN"/>
                    </w:rPr>
                    <w:t>生态空间管控区域范围</w:t>
                  </w:r>
                </w:p>
              </w:tc>
              <w:tc>
                <w:tcPr>
                  <w:tcW w:w="532" w:type="pct"/>
                  <w:tcBorders>
                    <w:tl2br w:val="nil"/>
                    <w:tr2bl w:val="nil"/>
                  </w:tcBorders>
                  <w:noWrap w:val="0"/>
                  <w:tcMar>
                    <w:top w:w="0" w:type="dxa"/>
                    <w:left w:w="28" w:type="dxa"/>
                    <w:bottom w:w="0" w:type="dxa"/>
                    <w:right w:w="28" w:type="dxa"/>
                  </w:tcMar>
                  <w:vAlign w:val="center"/>
                </w:tcPr>
                <w:p w14:paraId="1A3F3D23">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lang w:val="en-US" w:eastAsia="zh-CN"/>
                    </w:rPr>
                    <w:t>国家级生态保护红线范围</w:t>
                  </w:r>
                </w:p>
              </w:tc>
              <w:tc>
                <w:tcPr>
                  <w:tcW w:w="532" w:type="pct"/>
                  <w:tcBorders>
                    <w:tl2br w:val="nil"/>
                    <w:tr2bl w:val="nil"/>
                  </w:tcBorders>
                  <w:noWrap w:val="0"/>
                  <w:tcMar>
                    <w:top w:w="0" w:type="dxa"/>
                    <w:left w:w="28" w:type="dxa"/>
                    <w:bottom w:w="0" w:type="dxa"/>
                    <w:right w:w="28" w:type="dxa"/>
                  </w:tcMar>
                  <w:vAlign w:val="center"/>
                </w:tcPr>
                <w:p w14:paraId="137962E3">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lang w:val="en-US" w:eastAsia="zh-CN"/>
                    </w:rPr>
                    <w:t>生态空间管控区域范围</w:t>
                  </w:r>
                </w:p>
              </w:tc>
              <w:tc>
                <w:tcPr>
                  <w:tcW w:w="394" w:type="pct"/>
                  <w:tcBorders>
                    <w:tl2br w:val="nil"/>
                    <w:tr2bl w:val="nil"/>
                  </w:tcBorders>
                  <w:noWrap w:val="0"/>
                  <w:tcMar>
                    <w:top w:w="0" w:type="dxa"/>
                    <w:left w:w="28" w:type="dxa"/>
                    <w:bottom w:w="0" w:type="dxa"/>
                    <w:right w:w="28" w:type="dxa"/>
                  </w:tcMar>
                  <w:vAlign w:val="center"/>
                </w:tcPr>
                <w:p w14:paraId="69DBD7FA">
                  <w:pPr>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kern w:val="2"/>
                      <w:sz w:val="21"/>
                      <w:szCs w:val="21"/>
                    </w:rPr>
                    <w:t>总面积</w:t>
                  </w:r>
                </w:p>
              </w:tc>
              <w:tc>
                <w:tcPr>
                  <w:tcW w:w="544" w:type="pct"/>
                  <w:vMerge w:val="continue"/>
                  <w:tcBorders>
                    <w:tl2br w:val="nil"/>
                    <w:tr2bl w:val="nil"/>
                  </w:tcBorders>
                  <w:noWrap w:val="0"/>
                  <w:tcMar>
                    <w:top w:w="0" w:type="dxa"/>
                    <w:left w:w="28" w:type="dxa"/>
                    <w:bottom w:w="0" w:type="dxa"/>
                    <w:right w:w="28" w:type="dxa"/>
                  </w:tcMar>
                  <w:vAlign w:val="center"/>
                </w:tcPr>
                <w:p w14:paraId="2C1BE0C2">
                  <w:pPr>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p>
              </w:tc>
            </w:tr>
            <w:tr w14:paraId="7848C0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tcBorders>
                    <w:tl2br w:val="nil"/>
                    <w:tr2bl w:val="nil"/>
                  </w:tcBorders>
                  <w:noWrap w:val="0"/>
                  <w:tcMar>
                    <w:top w:w="0" w:type="dxa"/>
                    <w:left w:w="28" w:type="dxa"/>
                    <w:bottom w:w="0" w:type="dxa"/>
                    <w:right w:w="28" w:type="dxa"/>
                  </w:tcMar>
                  <w:vAlign w:val="center"/>
                </w:tcPr>
                <w:p w14:paraId="079D6528">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color w:val="auto"/>
                      <w:w w:val="100"/>
                      <w:kern w:val="0"/>
                      <w:sz w:val="21"/>
                      <w:szCs w:val="21"/>
                      <w:lang w:val="en-US" w:eastAsia="zh-CN" w:bidi="ar"/>
                    </w:rPr>
                    <w:t>淮阴区生态公益林</w:t>
                  </w:r>
                </w:p>
              </w:tc>
              <w:tc>
                <w:tcPr>
                  <w:tcW w:w="328" w:type="pct"/>
                  <w:tcBorders>
                    <w:tl2br w:val="nil"/>
                    <w:tr2bl w:val="nil"/>
                  </w:tcBorders>
                  <w:noWrap w:val="0"/>
                  <w:tcMar>
                    <w:top w:w="0" w:type="dxa"/>
                    <w:left w:w="28" w:type="dxa"/>
                    <w:bottom w:w="0" w:type="dxa"/>
                    <w:right w:w="28" w:type="dxa"/>
                  </w:tcMar>
                  <w:vAlign w:val="center"/>
                </w:tcPr>
                <w:p w14:paraId="3280CF85">
                  <w:pPr>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水土保持</w:t>
                  </w:r>
                </w:p>
              </w:tc>
              <w:tc>
                <w:tcPr>
                  <w:tcW w:w="1160" w:type="pct"/>
                  <w:tcBorders>
                    <w:tl2br w:val="nil"/>
                    <w:tr2bl w:val="nil"/>
                  </w:tcBorders>
                  <w:noWrap w:val="0"/>
                  <w:tcMar>
                    <w:top w:w="0" w:type="dxa"/>
                    <w:left w:w="28" w:type="dxa"/>
                    <w:bottom w:w="0" w:type="dxa"/>
                    <w:right w:w="28" w:type="dxa"/>
                  </w:tcMar>
                  <w:vAlign w:val="center"/>
                </w:tcPr>
                <w:p w14:paraId="08B1AB4F">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1000" w:type="pct"/>
                  <w:tcBorders>
                    <w:tl2br w:val="nil"/>
                    <w:tr2bl w:val="nil"/>
                  </w:tcBorders>
                  <w:noWrap w:val="0"/>
                  <w:tcMar>
                    <w:top w:w="0" w:type="dxa"/>
                    <w:left w:w="28" w:type="dxa"/>
                    <w:bottom w:w="0" w:type="dxa"/>
                    <w:right w:w="28" w:type="dxa"/>
                  </w:tcMar>
                  <w:vAlign w:val="center"/>
                </w:tcPr>
                <w:p w14:paraId="005EC473">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位于淮阴区21个乡镇及高速路边</w:t>
                  </w:r>
                </w:p>
              </w:tc>
              <w:tc>
                <w:tcPr>
                  <w:tcW w:w="532" w:type="pct"/>
                  <w:tcBorders>
                    <w:tl2br w:val="nil"/>
                    <w:tr2bl w:val="nil"/>
                  </w:tcBorders>
                  <w:noWrap w:val="0"/>
                  <w:tcMar>
                    <w:top w:w="0" w:type="dxa"/>
                    <w:left w:w="28" w:type="dxa"/>
                    <w:bottom w:w="0" w:type="dxa"/>
                    <w:right w:w="28" w:type="dxa"/>
                  </w:tcMar>
                  <w:vAlign w:val="center"/>
                </w:tcPr>
                <w:p w14:paraId="7E3BDD0E">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532" w:type="pct"/>
                  <w:tcBorders>
                    <w:tl2br w:val="nil"/>
                    <w:tr2bl w:val="nil"/>
                  </w:tcBorders>
                  <w:noWrap w:val="0"/>
                  <w:tcMar>
                    <w:top w:w="0" w:type="dxa"/>
                    <w:left w:w="28" w:type="dxa"/>
                    <w:bottom w:w="0" w:type="dxa"/>
                    <w:right w:w="28" w:type="dxa"/>
                  </w:tcMar>
                  <w:vAlign w:val="center"/>
                </w:tcPr>
                <w:p w14:paraId="30FFFDC9">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38.63</w:t>
                  </w:r>
                </w:p>
              </w:tc>
              <w:tc>
                <w:tcPr>
                  <w:tcW w:w="394" w:type="pct"/>
                  <w:tcBorders>
                    <w:tl2br w:val="nil"/>
                    <w:tr2bl w:val="nil"/>
                  </w:tcBorders>
                  <w:noWrap w:val="0"/>
                  <w:tcMar>
                    <w:top w:w="0" w:type="dxa"/>
                    <w:left w:w="28" w:type="dxa"/>
                    <w:bottom w:w="0" w:type="dxa"/>
                    <w:right w:w="28" w:type="dxa"/>
                  </w:tcMar>
                  <w:vAlign w:val="center"/>
                </w:tcPr>
                <w:p w14:paraId="6A45BDD7">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38.63</w:t>
                  </w:r>
                </w:p>
              </w:tc>
              <w:tc>
                <w:tcPr>
                  <w:tcW w:w="544" w:type="pct"/>
                  <w:tcBorders>
                    <w:tl2br w:val="nil"/>
                    <w:tr2bl w:val="nil"/>
                  </w:tcBorders>
                  <w:noWrap w:val="0"/>
                  <w:tcMar>
                    <w:top w:w="0" w:type="dxa"/>
                    <w:left w:w="28" w:type="dxa"/>
                    <w:bottom w:w="0" w:type="dxa"/>
                    <w:right w:w="28" w:type="dxa"/>
                  </w:tcMar>
                  <w:vAlign w:val="center"/>
                </w:tcPr>
                <w:p w14:paraId="210AA444">
                  <w:pPr>
                    <w:pStyle w:val="79"/>
                    <w:keepNext w:val="0"/>
                    <w:keepLines w:val="0"/>
                    <w:pageBreakBefore w:val="0"/>
                    <w:widowControl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位于项目西侧0.61km</w:t>
                  </w:r>
                </w:p>
              </w:tc>
            </w:tr>
            <w:tr w14:paraId="050655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tcBorders>
                    <w:tl2br w:val="nil"/>
                    <w:tr2bl w:val="nil"/>
                  </w:tcBorders>
                  <w:noWrap w:val="0"/>
                  <w:tcMar>
                    <w:top w:w="0" w:type="dxa"/>
                    <w:left w:w="28" w:type="dxa"/>
                    <w:bottom w:w="0" w:type="dxa"/>
                    <w:right w:w="28" w:type="dxa"/>
                  </w:tcMar>
                  <w:vAlign w:val="center"/>
                </w:tcPr>
                <w:p w14:paraId="465700B3">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淮沭河洪水调蓄区</w:t>
                  </w:r>
                </w:p>
              </w:tc>
              <w:tc>
                <w:tcPr>
                  <w:tcW w:w="328" w:type="pct"/>
                  <w:tcBorders>
                    <w:tl2br w:val="nil"/>
                    <w:tr2bl w:val="nil"/>
                  </w:tcBorders>
                  <w:noWrap w:val="0"/>
                  <w:tcMar>
                    <w:top w:w="0" w:type="dxa"/>
                    <w:left w:w="28" w:type="dxa"/>
                    <w:bottom w:w="0" w:type="dxa"/>
                    <w:right w:w="28" w:type="dxa"/>
                  </w:tcMar>
                  <w:vAlign w:val="center"/>
                </w:tcPr>
                <w:p w14:paraId="53FD8A20">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洪水</w:t>
                  </w:r>
                </w:p>
                <w:p w14:paraId="3376C112">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调蓄</w:t>
                  </w:r>
                </w:p>
              </w:tc>
              <w:tc>
                <w:tcPr>
                  <w:tcW w:w="1160" w:type="pct"/>
                  <w:tcBorders>
                    <w:tl2br w:val="nil"/>
                    <w:tr2bl w:val="nil"/>
                  </w:tcBorders>
                  <w:noWrap w:val="0"/>
                  <w:tcMar>
                    <w:top w:w="0" w:type="dxa"/>
                    <w:left w:w="28" w:type="dxa"/>
                    <w:bottom w:w="0" w:type="dxa"/>
                    <w:right w:w="28" w:type="dxa"/>
                  </w:tcMar>
                  <w:vAlign w:val="center"/>
                </w:tcPr>
                <w:p w14:paraId="77CED8BF">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1000" w:type="pct"/>
                  <w:tcBorders>
                    <w:tl2br w:val="nil"/>
                    <w:tr2bl w:val="nil"/>
                  </w:tcBorders>
                  <w:noWrap w:val="0"/>
                  <w:tcMar>
                    <w:top w:w="0" w:type="dxa"/>
                    <w:left w:w="28" w:type="dxa"/>
                    <w:bottom w:w="0" w:type="dxa"/>
                    <w:right w:w="28" w:type="dxa"/>
                  </w:tcMar>
                  <w:vAlign w:val="center"/>
                </w:tcPr>
                <w:p w14:paraId="6C40BBE0">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left"/>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位于淮沭河东西偏泓之间，西偏泓及西偏泓向西100米，东偏泓及东偏泓向东700米。包括渔沟水厂饮用水水源保护区。</w:t>
                  </w:r>
                </w:p>
              </w:tc>
              <w:tc>
                <w:tcPr>
                  <w:tcW w:w="532" w:type="pct"/>
                  <w:tcBorders>
                    <w:tl2br w:val="nil"/>
                    <w:tr2bl w:val="nil"/>
                  </w:tcBorders>
                  <w:noWrap w:val="0"/>
                  <w:tcMar>
                    <w:top w:w="0" w:type="dxa"/>
                    <w:left w:w="28" w:type="dxa"/>
                    <w:bottom w:w="0" w:type="dxa"/>
                    <w:right w:w="28" w:type="dxa"/>
                  </w:tcMar>
                  <w:vAlign w:val="center"/>
                </w:tcPr>
                <w:p w14:paraId="1E74807C">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532" w:type="pct"/>
                  <w:tcBorders>
                    <w:tl2br w:val="nil"/>
                    <w:tr2bl w:val="nil"/>
                  </w:tcBorders>
                  <w:noWrap w:val="0"/>
                  <w:tcMar>
                    <w:top w:w="0" w:type="dxa"/>
                    <w:left w:w="28" w:type="dxa"/>
                    <w:bottom w:w="0" w:type="dxa"/>
                    <w:right w:w="28" w:type="dxa"/>
                  </w:tcMar>
                  <w:vAlign w:val="center"/>
                </w:tcPr>
                <w:p w14:paraId="47CFFDD7">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74.71</w:t>
                  </w:r>
                </w:p>
              </w:tc>
              <w:tc>
                <w:tcPr>
                  <w:tcW w:w="394" w:type="pct"/>
                  <w:tcBorders>
                    <w:tl2br w:val="nil"/>
                    <w:tr2bl w:val="nil"/>
                  </w:tcBorders>
                  <w:noWrap w:val="0"/>
                  <w:tcMar>
                    <w:top w:w="0" w:type="dxa"/>
                    <w:left w:w="28" w:type="dxa"/>
                    <w:bottom w:w="0" w:type="dxa"/>
                    <w:right w:w="28" w:type="dxa"/>
                  </w:tcMar>
                  <w:vAlign w:val="center"/>
                </w:tcPr>
                <w:p w14:paraId="224A1965">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74.71</w:t>
                  </w:r>
                </w:p>
              </w:tc>
              <w:tc>
                <w:tcPr>
                  <w:tcW w:w="544" w:type="pct"/>
                  <w:tcBorders>
                    <w:tl2br w:val="nil"/>
                    <w:tr2bl w:val="nil"/>
                  </w:tcBorders>
                  <w:noWrap w:val="0"/>
                  <w:tcMar>
                    <w:top w:w="0" w:type="dxa"/>
                    <w:left w:w="28" w:type="dxa"/>
                    <w:bottom w:w="0" w:type="dxa"/>
                    <w:right w:w="28" w:type="dxa"/>
                  </w:tcMar>
                  <w:vAlign w:val="center"/>
                </w:tcPr>
                <w:p w14:paraId="1CDFED3A">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位于项目西侧0.793km</w:t>
                  </w:r>
                </w:p>
              </w:tc>
            </w:tr>
            <w:tr w14:paraId="6F700FF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tcBorders>
                    <w:tl2br w:val="nil"/>
                    <w:tr2bl w:val="nil"/>
                  </w:tcBorders>
                  <w:noWrap w:val="0"/>
                  <w:tcMar>
                    <w:top w:w="0" w:type="dxa"/>
                    <w:left w:w="28" w:type="dxa"/>
                    <w:bottom w:w="0" w:type="dxa"/>
                    <w:right w:w="28" w:type="dxa"/>
                  </w:tcMar>
                  <w:vAlign w:val="center"/>
                </w:tcPr>
                <w:p w14:paraId="290D6A69">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民便河洪水调蓄区</w:t>
                  </w:r>
                </w:p>
              </w:tc>
              <w:tc>
                <w:tcPr>
                  <w:tcW w:w="328" w:type="pct"/>
                  <w:tcBorders>
                    <w:tl2br w:val="nil"/>
                    <w:tr2bl w:val="nil"/>
                  </w:tcBorders>
                  <w:noWrap w:val="0"/>
                  <w:tcMar>
                    <w:top w:w="0" w:type="dxa"/>
                    <w:left w:w="28" w:type="dxa"/>
                    <w:bottom w:w="0" w:type="dxa"/>
                    <w:right w:w="28" w:type="dxa"/>
                  </w:tcMar>
                  <w:vAlign w:val="center"/>
                </w:tcPr>
                <w:p w14:paraId="2D73EC79">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洪水</w:t>
                  </w:r>
                </w:p>
                <w:p w14:paraId="5A0CE7B3">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调蓄</w:t>
                  </w:r>
                </w:p>
              </w:tc>
              <w:tc>
                <w:tcPr>
                  <w:tcW w:w="1160" w:type="pct"/>
                  <w:tcBorders>
                    <w:tl2br w:val="nil"/>
                    <w:tr2bl w:val="nil"/>
                  </w:tcBorders>
                  <w:noWrap w:val="0"/>
                  <w:tcMar>
                    <w:top w:w="0" w:type="dxa"/>
                    <w:left w:w="28" w:type="dxa"/>
                    <w:bottom w:w="0" w:type="dxa"/>
                    <w:right w:w="28" w:type="dxa"/>
                  </w:tcMar>
                  <w:vAlign w:val="center"/>
                </w:tcPr>
                <w:p w14:paraId="6FC9F02B">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1000" w:type="pct"/>
                  <w:tcBorders>
                    <w:tl2br w:val="nil"/>
                    <w:tr2bl w:val="nil"/>
                  </w:tcBorders>
                  <w:noWrap w:val="0"/>
                  <w:tcMar>
                    <w:top w:w="0" w:type="dxa"/>
                    <w:left w:w="28" w:type="dxa"/>
                    <w:bottom w:w="0" w:type="dxa"/>
                    <w:right w:w="28" w:type="dxa"/>
                  </w:tcMar>
                  <w:vAlign w:val="center"/>
                </w:tcPr>
                <w:p w14:paraId="4009B23B">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left"/>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民便河（一干闸至北六塘河，全长36.2公里）范围内两岸各100米。</w:t>
                  </w:r>
                </w:p>
              </w:tc>
              <w:tc>
                <w:tcPr>
                  <w:tcW w:w="532" w:type="pct"/>
                  <w:tcBorders>
                    <w:tl2br w:val="nil"/>
                    <w:tr2bl w:val="nil"/>
                  </w:tcBorders>
                  <w:noWrap w:val="0"/>
                  <w:tcMar>
                    <w:top w:w="0" w:type="dxa"/>
                    <w:left w:w="28" w:type="dxa"/>
                    <w:bottom w:w="0" w:type="dxa"/>
                    <w:right w:w="28" w:type="dxa"/>
                  </w:tcMar>
                  <w:vAlign w:val="center"/>
                </w:tcPr>
                <w:p w14:paraId="759A543B">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w:t>
                  </w:r>
                </w:p>
              </w:tc>
              <w:tc>
                <w:tcPr>
                  <w:tcW w:w="532" w:type="pct"/>
                  <w:tcBorders>
                    <w:tl2br w:val="nil"/>
                    <w:tr2bl w:val="nil"/>
                  </w:tcBorders>
                  <w:noWrap w:val="0"/>
                  <w:tcMar>
                    <w:top w:w="0" w:type="dxa"/>
                    <w:left w:w="28" w:type="dxa"/>
                    <w:bottom w:w="0" w:type="dxa"/>
                    <w:right w:w="28" w:type="dxa"/>
                  </w:tcMar>
                  <w:vAlign w:val="center"/>
                </w:tcPr>
                <w:p w14:paraId="3133F03B">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4.22</w:t>
                  </w:r>
                </w:p>
              </w:tc>
              <w:tc>
                <w:tcPr>
                  <w:tcW w:w="394" w:type="pct"/>
                  <w:tcBorders>
                    <w:tl2br w:val="nil"/>
                    <w:tr2bl w:val="nil"/>
                  </w:tcBorders>
                  <w:noWrap w:val="0"/>
                  <w:tcMar>
                    <w:top w:w="0" w:type="dxa"/>
                    <w:left w:w="28" w:type="dxa"/>
                    <w:bottom w:w="0" w:type="dxa"/>
                    <w:right w:w="28" w:type="dxa"/>
                  </w:tcMar>
                  <w:vAlign w:val="center"/>
                </w:tcPr>
                <w:p w14:paraId="3653C0EA">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4.22</w:t>
                  </w:r>
                </w:p>
              </w:tc>
              <w:tc>
                <w:tcPr>
                  <w:tcW w:w="544" w:type="pct"/>
                  <w:tcBorders>
                    <w:tl2br w:val="nil"/>
                    <w:tr2bl w:val="nil"/>
                  </w:tcBorders>
                  <w:noWrap w:val="0"/>
                  <w:tcMar>
                    <w:top w:w="0" w:type="dxa"/>
                    <w:left w:w="28" w:type="dxa"/>
                    <w:bottom w:w="0" w:type="dxa"/>
                    <w:right w:w="28" w:type="dxa"/>
                  </w:tcMar>
                  <w:vAlign w:val="center"/>
                </w:tcPr>
                <w:p w14:paraId="67F4C41B">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位于项目东侧3.709km</w:t>
                  </w:r>
                </w:p>
              </w:tc>
            </w:tr>
            <w:tr w14:paraId="2D7AA4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57" w:type="dxa"/>
                  <w:bottom w:w="28" w:type="dxa"/>
                  <w:right w:w="57" w:type="dxa"/>
                </w:tblCellMar>
              </w:tblPrEx>
              <w:trPr>
                <w:cantSplit/>
                <w:trHeight w:val="454" w:hRule="atLeast"/>
                <w:jc w:val="center"/>
              </w:trPr>
              <w:tc>
                <w:tcPr>
                  <w:tcW w:w="507" w:type="pct"/>
                  <w:tcBorders>
                    <w:tl2br w:val="nil"/>
                    <w:tr2bl w:val="nil"/>
                  </w:tcBorders>
                  <w:noWrap w:val="0"/>
                  <w:tcMar>
                    <w:top w:w="0" w:type="dxa"/>
                    <w:left w:w="28" w:type="dxa"/>
                    <w:bottom w:w="0" w:type="dxa"/>
                    <w:right w:w="28" w:type="dxa"/>
                  </w:tcMar>
                  <w:vAlign w:val="center"/>
                </w:tcPr>
                <w:p w14:paraId="37CC0A14">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cs="Times New Roman"/>
                      <w:color w:val="auto"/>
                    </w:rPr>
                    <w:t>淮阴区渔沟水厂饮用水水源保护区</w:t>
                  </w:r>
                </w:p>
              </w:tc>
              <w:tc>
                <w:tcPr>
                  <w:tcW w:w="328" w:type="pct"/>
                  <w:tcBorders>
                    <w:tl2br w:val="nil"/>
                    <w:tr2bl w:val="nil"/>
                  </w:tcBorders>
                  <w:noWrap w:val="0"/>
                  <w:tcMar>
                    <w:top w:w="0" w:type="dxa"/>
                    <w:left w:w="28" w:type="dxa"/>
                    <w:bottom w:w="0" w:type="dxa"/>
                    <w:right w:w="28" w:type="dxa"/>
                  </w:tcMar>
                  <w:vAlign w:val="center"/>
                </w:tcPr>
                <w:p w14:paraId="090BCCBC">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cs="Times New Roman"/>
                      <w:color w:val="auto"/>
                    </w:rPr>
                    <w:t>水源水质保护</w:t>
                  </w:r>
                </w:p>
              </w:tc>
              <w:tc>
                <w:tcPr>
                  <w:tcW w:w="1160" w:type="pct"/>
                  <w:tcBorders>
                    <w:tl2br w:val="nil"/>
                    <w:tr2bl w:val="nil"/>
                  </w:tcBorders>
                  <w:noWrap w:val="0"/>
                  <w:tcMar>
                    <w:top w:w="0" w:type="dxa"/>
                    <w:left w:w="28" w:type="dxa"/>
                    <w:bottom w:w="0" w:type="dxa"/>
                    <w:right w:w="28" w:type="dxa"/>
                  </w:tcMar>
                  <w:vAlign w:val="center"/>
                </w:tcPr>
                <w:p w14:paraId="4AD93521">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cs="Times New Roman"/>
                      <w:color w:val="auto"/>
                    </w:rPr>
                    <w:t>取水口设在新325省道淮沭河大桥北约350米处的东岸。一级保护区：取水口上游1000米至下游500米，及其岸背水坡之间的水域范围和一级保护区水域与两岸背水坡堤脚之间的陆域范围。二级保护区：一级保护区以外上溯1500米、下延500米的水域范围和二级保护区水域与两岸背水坡堤脚之间的陆域范围</w:t>
                  </w:r>
                </w:p>
              </w:tc>
              <w:tc>
                <w:tcPr>
                  <w:tcW w:w="1000" w:type="pct"/>
                  <w:tcBorders>
                    <w:tl2br w:val="nil"/>
                    <w:tr2bl w:val="nil"/>
                  </w:tcBorders>
                  <w:noWrap w:val="0"/>
                  <w:tcMar>
                    <w:top w:w="0" w:type="dxa"/>
                    <w:left w:w="28" w:type="dxa"/>
                    <w:bottom w:w="0" w:type="dxa"/>
                    <w:right w:w="28" w:type="dxa"/>
                  </w:tcMar>
                  <w:vAlign w:val="center"/>
                </w:tcPr>
                <w:p w14:paraId="0BFAED5C">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p>
              </w:tc>
              <w:tc>
                <w:tcPr>
                  <w:tcW w:w="532" w:type="pct"/>
                  <w:tcBorders>
                    <w:tl2br w:val="nil"/>
                    <w:tr2bl w:val="nil"/>
                  </w:tcBorders>
                  <w:noWrap w:val="0"/>
                  <w:tcMar>
                    <w:top w:w="0" w:type="dxa"/>
                    <w:left w:w="28" w:type="dxa"/>
                    <w:bottom w:w="0" w:type="dxa"/>
                    <w:right w:w="28" w:type="dxa"/>
                  </w:tcMar>
                  <w:vAlign w:val="center"/>
                </w:tcPr>
                <w:p w14:paraId="2EC2D236">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cs="Times New Roman"/>
                      <w:color w:val="auto"/>
                    </w:rPr>
                    <w:t>0.45km</w:t>
                  </w:r>
                  <w:r>
                    <w:rPr>
                      <w:rFonts w:cs="Times New Roman"/>
                      <w:color w:val="auto"/>
                      <w:vertAlign w:val="superscript"/>
                    </w:rPr>
                    <w:t>2</w:t>
                  </w:r>
                </w:p>
              </w:tc>
              <w:tc>
                <w:tcPr>
                  <w:tcW w:w="532" w:type="pct"/>
                  <w:tcBorders>
                    <w:tl2br w:val="nil"/>
                    <w:tr2bl w:val="nil"/>
                  </w:tcBorders>
                  <w:noWrap w:val="0"/>
                  <w:tcMar>
                    <w:top w:w="0" w:type="dxa"/>
                    <w:left w:w="28" w:type="dxa"/>
                    <w:bottom w:w="0" w:type="dxa"/>
                    <w:right w:w="28" w:type="dxa"/>
                  </w:tcMar>
                  <w:vAlign w:val="center"/>
                </w:tcPr>
                <w:p w14:paraId="26317E4C">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eastAsia" w:cs="Times New Roman"/>
                      <w:b w:val="0"/>
                      <w:color w:val="auto"/>
                      <w:w w:val="100"/>
                      <w:kern w:val="0"/>
                      <w:sz w:val="21"/>
                      <w:szCs w:val="21"/>
                      <w:lang w:val="en-US" w:eastAsia="zh-CN" w:bidi="ar"/>
                    </w:rPr>
                    <w:t>/</w:t>
                  </w:r>
                </w:p>
              </w:tc>
              <w:tc>
                <w:tcPr>
                  <w:tcW w:w="394" w:type="pct"/>
                  <w:tcBorders>
                    <w:tl2br w:val="nil"/>
                    <w:tr2bl w:val="nil"/>
                  </w:tcBorders>
                  <w:noWrap w:val="0"/>
                  <w:tcMar>
                    <w:top w:w="0" w:type="dxa"/>
                    <w:left w:w="28" w:type="dxa"/>
                    <w:bottom w:w="0" w:type="dxa"/>
                    <w:right w:w="28" w:type="dxa"/>
                  </w:tcMar>
                  <w:vAlign w:val="center"/>
                </w:tcPr>
                <w:p w14:paraId="03F4BA93">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cs="Times New Roman"/>
                      <w:color w:val="auto"/>
                    </w:rPr>
                    <w:t>0.45km</w:t>
                  </w:r>
                  <w:r>
                    <w:rPr>
                      <w:rFonts w:cs="Times New Roman"/>
                      <w:color w:val="auto"/>
                      <w:vertAlign w:val="superscript"/>
                    </w:rPr>
                    <w:t>2</w:t>
                  </w:r>
                </w:p>
              </w:tc>
              <w:tc>
                <w:tcPr>
                  <w:tcW w:w="544" w:type="pct"/>
                  <w:tcBorders>
                    <w:tl2br w:val="nil"/>
                    <w:tr2bl w:val="nil"/>
                  </w:tcBorders>
                  <w:noWrap w:val="0"/>
                  <w:tcMar>
                    <w:top w:w="0" w:type="dxa"/>
                    <w:left w:w="28" w:type="dxa"/>
                    <w:bottom w:w="0" w:type="dxa"/>
                    <w:right w:w="28" w:type="dxa"/>
                  </w:tcMar>
                  <w:vAlign w:val="center"/>
                </w:tcPr>
                <w:p w14:paraId="49E5B3BE">
                  <w:pPr>
                    <w:keepNext w:val="0"/>
                    <w:keepLines w:val="0"/>
                    <w:pageBreakBefore w:val="0"/>
                    <w:widowControl w:val="0"/>
                    <w:suppressLineNumbers w:val="0"/>
                    <w:kinsoku/>
                    <w:wordWrap/>
                    <w:overflowPunct/>
                    <w:topLinePunct w:val="0"/>
                    <w:autoSpaceDE/>
                    <w:autoSpaceDN/>
                    <w:bidi w:val="0"/>
                    <w:adjustRightInd/>
                    <w:snapToGrid/>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val="0"/>
                      <w:color w:val="auto"/>
                      <w:w w:val="100"/>
                      <w:kern w:val="0"/>
                      <w:sz w:val="21"/>
                      <w:szCs w:val="21"/>
                      <w:lang w:val="en-US" w:eastAsia="zh-CN" w:bidi="ar"/>
                    </w:rPr>
                  </w:pPr>
                  <w:r>
                    <w:rPr>
                      <w:rFonts w:hint="default" w:ascii="Times New Roman" w:hAnsi="Times New Roman" w:eastAsia="宋体" w:cs="Times New Roman"/>
                      <w:b w:val="0"/>
                      <w:color w:val="auto"/>
                      <w:w w:val="100"/>
                      <w:kern w:val="0"/>
                      <w:sz w:val="21"/>
                      <w:szCs w:val="21"/>
                      <w:lang w:val="en-US" w:eastAsia="zh-CN" w:bidi="ar"/>
                    </w:rPr>
                    <w:t>位于项目</w:t>
                  </w:r>
                  <w:r>
                    <w:rPr>
                      <w:rFonts w:hint="eastAsia" w:cs="Times New Roman"/>
                      <w:b w:val="0"/>
                      <w:color w:val="auto"/>
                      <w:w w:val="100"/>
                      <w:kern w:val="0"/>
                      <w:sz w:val="21"/>
                      <w:szCs w:val="21"/>
                      <w:lang w:val="en-US" w:eastAsia="zh-CN" w:bidi="ar"/>
                    </w:rPr>
                    <w:t>南</w:t>
                  </w:r>
                  <w:r>
                    <w:rPr>
                      <w:rFonts w:hint="default" w:ascii="Times New Roman" w:hAnsi="Times New Roman" w:eastAsia="宋体" w:cs="Times New Roman"/>
                      <w:b w:val="0"/>
                      <w:color w:val="auto"/>
                      <w:w w:val="100"/>
                      <w:kern w:val="0"/>
                      <w:sz w:val="21"/>
                      <w:szCs w:val="21"/>
                      <w:lang w:val="en-US" w:eastAsia="zh-CN" w:bidi="ar"/>
                    </w:rPr>
                    <w:t>侧</w:t>
                  </w:r>
                  <w:r>
                    <w:rPr>
                      <w:rFonts w:hint="eastAsia" w:cs="Times New Roman"/>
                      <w:b w:val="0"/>
                      <w:color w:val="auto"/>
                      <w:w w:val="100"/>
                      <w:kern w:val="0"/>
                      <w:sz w:val="21"/>
                      <w:szCs w:val="21"/>
                      <w:lang w:val="en-US" w:eastAsia="zh-CN" w:bidi="ar"/>
                    </w:rPr>
                    <w:t>15.8</w:t>
                  </w:r>
                  <w:r>
                    <w:rPr>
                      <w:rFonts w:hint="default" w:ascii="Times New Roman" w:hAnsi="Times New Roman" w:eastAsia="宋体" w:cs="Times New Roman"/>
                      <w:b w:val="0"/>
                      <w:color w:val="auto"/>
                      <w:w w:val="100"/>
                      <w:kern w:val="0"/>
                      <w:sz w:val="21"/>
                      <w:szCs w:val="21"/>
                      <w:lang w:val="en-US" w:eastAsia="zh-CN" w:bidi="ar"/>
                    </w:rPr>
                    <w:t>km</w:t>
                  </w:r>
                </w:p>
              </w:tc>
            </w:tr>
          </w:tbl>
          <w:p w14:paraId="665E8F00">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2" w:firstLineChars="200"/>
              <w:textAlignment w:val="auto"/>
              <w:outlineLvl w:val="9"/>
              <w:rPr>
                <w:rFonts w:hint="default" w:ascii="Times New Roman" w:hAnsi="Times New Roman" w:eastAsia="宋体" w:cs="Times New Roman"/>
                <w:b/>
                <w:bCs w:val="0"/>
                <w:color w:val="auto"/>
                <w:w w:val="100"/>
                <w:sz w:val="22"/>
                <w:szCs w:val="22"/>
              </w:rPr>
            </w:pPr>
            <w:r>
              <w:rPr>
                <w:rFonts w:hint="eastAsia" w:ascii="宋体" w:hAnsi="宋体" w:eastAsia="宋体" w:cs="宋体"/>
                <w:b/>
                <w:bCs w:val="0"/>
                <w:color w:val="auto"/>
                <w:w w:val="100"/>
                <w:sz w:val="22"/>
                <w:szCs w:val="22"/>
              </w:rPr>
              <w:t>⑵</w:t>
            </w:r>
            <w:r>
              <w:rPr>
                <w:rFonts w:hint="default" w:ascii="Times New Roman" w:hAnsi="Times New Roman" w:eastAsia="宋体" w:cs="Times New Roman"/>
                <w:b/>
                <w:bCs w:val="0"/>
                <w:color w:val="auto"/>
                <w:w w:val="100"/>
                <w:sz w:val="22"/>
                <w:szCs w:val="22"/>
              </w:rPr>
              <w:t>环境质量底线</w:t>
            </w:r>
          </w:p>
          <w:p w14:paraId="2A31C777">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根据《</w:t>
            </w:r>
            <w:r>
              <w:rPr>
                <w:rFonts w:hint="default" w:ascii="Times New Roman" w:hAnsi="Times New Roman" w:eastAsia="宋体" w:cs="Times New Roman"/>
                <w:b w:val="0"/>
                <w:bCs/>
                <w:color w:val="auto"/>
                <w:w w:val="100"/>
                <w:kern w:val="2"/>
                <w:sz w:val="22"/>
                <w:szCs w:val="22"/>
                <w:lang w:val="en-US" w:eastAsia="zh-CN" w:bidi="ar-SA"/>
              </w:rPr>
              <w:t>202</w:t>
            </w:r>
            <w:r>
              <w:rPr>
                <w:rFonts w:hint="eastAsia" w:cs="Times New Roman"/>
                <w:b w:val="0"/>
                <w:bCs/>
                <w:color w:val="auto"/>
                <w:w w:val="100"/>
                <w:kern w:val="2"/>
                <w:sz w:val="22"/>
                <w:szCs w:val="22"/>
                <w:lang w:val="en-US" w:eastAsia="zh-CN" w:bidi="ar-SA"/>
              </w:rPr>
              <w:t>4</w:t>
            </w:r>
            <w:r>
              <w:rPr>
                <w:rFonts w:hint="default" w:ascii="Times New Roman" w:hAnsi="Times New Roman" w:eastAsia="宋体" w:cs="Times New Roman"/>
                <w:b w:val="0"/>
                <w:bCs/>
                <w:color w:val="auto"/>
                <w:w w:val="100"/>
                <w:kern w:val="2"/>
                <w:sz w:val="22"/>
                <w:szCs w:val="22"/>
                <w:lang w:val="en-US" w:eastAsia="zh-CN" w:bidi="ar-SA"/>
              </w:rPr>
              <w:t>年淮安市生态环境状况公报</w:t>
            </w:r>
            <w:r>
              <w:rPr>
                <w:rFonts w:hint="default" w:ascii="Times New Roman" w:hAnsi="Times New Roman" w:eastAsia="宋体" w:cs="Times New Roman"/>
                <w:bCs/>
                <w:color w:val="auto"/>
                <w:w w:val="100"/>
                <w:kern w:val="2"/>
                <w:sz w:val="22"/>
                <w:szCs w:val="22"/>
                <w:lang w:val="en-US" w:eastAsia="zh-CN" w:bidi="ar-SA"/>
              </w:rPr>
              <w:t>》</w:t>
            </w:r>
            <w:r>
              <w:rPr>
                <w:rFonts w:hint="default" w:ascii="Times New Roman" w:hAnsi="Times New Roman" w:eastAsia="宋体" w:cs="Times New Roman"/>
                <w:b w:val="0"/>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2024年淮安市环境空气质量持续稳中向好，全市空气质量等级优良天数比率84.2%</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创历史最优</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)和可吸入颗粒物(PM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)浓度为“十四五”以来最低。可吸入颗粒物(PM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)、二氧化硫(SO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)、二氧化氮(NO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)、一氧化碳(CO)、臭氧(O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)浓度达到国家二级标准限值。</w:t>
            </w:r>
          </w:p>
          <w:p w14:paraId="2B955FD4">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2024年淮安市空气质量等级优良308天(扣除沙尘影响异常超标天)，优良率为84.2%。与 2023年相比，空气质量等级优良的天数增加18天，优良率比率提升4.7个百分点。县区优良天数比率介于83.6%~89.6%之间，淮阴区最高，金湖县最低。</w:t>
            </w:r>
          </w:p>
          <w:p w14:paraId="73E981D7">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全市细颗粒物(PM</w:t>
            </w:r>
            <w:r>
              <w:rPr>
                <w:rFonts w:hint="default" w:ascii="Times New Roman" w:hAnsi="Times New Roman" w:eastAsia="宋体" w:cs="Times New Roman"/>
                <w:bCs/>
                <w:color w:val="auto"/>
                <w:w w:val="100"/>
                <w:kern w:val="2"/>
                <w:sz w:val="22"/>
                <w:szCs w:val="22"/>
                <w:vertAlign w:val="subscript"/>
                <w:lang w:val="en-US" w:eastAsia="zh-CN" w:bidi="ar-SA"/>
              </w:rPr>
              <w:t>2.5</w:t>
            </w:r>
            <w:r>
              <w:rPr>
                <w:rFonts w:hint="default" w:ascii="Times New Roman" w:hAnsi="Times New Roman" w:eastAsia="宋体" w:cs="Times New Roman"/>
                <w:bCs/>
                <w:color w:val="auto"/>
                <w:w w:val="100"/>
                <w:kern w:val="2"/>
                <w:sz w:val="22"/>
                <w:szCs w:val="22"/>
                <w:lang w:val="en-US" w:eastAsia="zh-CN" w:bidi="ar-SA"/>
              </w:rPr>
              <w:t>)、可吸入颗粒物(PM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)、二氧化硫(SO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)、二氧化氮(NO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)、一氧化碳(CO)和臭氧(O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)浓度年均浓度分别为37微克/立方米、54微克/立方米、7微克/立方米、25微克/立方米、0.9毫克/立方米、152微克/立方米。PM</w:t>
            </w:r>
            <w:r>
              <w:rPr>
                <w:rFonts w:hint="default" w:ascii="Times New Roman" w:hAnsi="Times New Roman" w:eastAsia="宋体"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、CO、O</w:t>
            </w:r>
            <w:r>
              <w:rPr>
                <w:rFonts w:hint="eastAsia"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降幅分别为6.9%、12.5%、10%、3.8%。县区PM</w:t>
            </w:r>
            <w:r>
              <w:rPr>
                <w:rFonts w:hint="default" w:ascii="Times New Roman" w:hAnsi="Times New Roman" w:eastAsia="宋体" w:cs="Times New Roman"/>
                <w:bCs/>
                <w:color w:val="auto"/>
                <w:w w:val="100"/>
                <w:kern w:val="2"/>
                <w:sz w:val="22"/>
                <w:szCs w:val="22"/>
                <w:vertAlign w:val="subscript"/>
                <w:lang w:val="en-US" w:eastAsia="zh-CN" w:bidi="ar-SA"/>
              </w:rPr>
              <w:t>2.5</w:t>
            </w:r>
            <w:r>
              <w:rPr>
                <w:rFonts w:hint="default" w:ascii="Times New Roman" w:hAnsi="Times New Roman" w:eastAsia="宋体" w:cs="Times New Roman"/>
                <w:bCs/>
                <w:color w:val="auto"/>
                <w:w w:val="100"/>
                <w:kern w:val="2"/>
                <w:sz w:val="22"/>
                <w:szCs w:val="22"/>
                <w:lang w:val="en-US" w:eastAsia="zh-CN" w:bidi="ar-SA"/>
              </w:rPr>
              <w:t>年均浓度介于30-37微克/立方米之间，金湖县最低，清江浦区最高</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年均浓度介于43-59微克/立方米之间，经济开发区浓度最低，淮阴区浓度最高。</w:t>
            </w:r>
          </w:p>
          <w:p w14:paraId="768E84F7">
            <w:pPr>
              <w:keepNext w:val="0"/>
              <w:keepLines w:val="0"/>
              <w:pageBreakBefore w:val="0"/>
              <w:widowControl w:val="0"/>
              <w:kinsoku/>
              <w:wordWrap/>
              <w:overflowPunct/>
              <w:topLinePunct w:val="0"/>
              <w:autoSpaceDE/>
              <w:autoSpaceDN/>
              <w:bidi w:val="0"/>
              <w:adjustRightInd w:val="0"/>
              <w:snapToGrid w:val="0"/>
              <w:spacing w:line="500" w:lineRule="exact"/>
              <w:ind w:left="0" w:right="0" w:firstLine="440" w:firstLineChars="200"/>
              <w:jc w:val="left"/>
              <w:textAlignment w:val="auto"/>
              <w:outlineLvl w:val="9"/>
              <w:rPr>
                <w:rFonts w:hint="default" w:ascii="Times New Roman" w:hAnsi="Times New Roman" w:eastAsia="宋体" w:cs="Times New Roman"/>
                <w:color w:val="000000"/>
                <w:sz w:val="22"/>
                <w:szCs w:val="22"/>
                <w:lang w:val="en-US" w:eastAsia="zh-CN"/>
              </w:rPr>
            </w:pPr>
            <w:r>
              <w:rPr>
                <w:rFonts w:hint="default" w:ascii="Times New Roman" w:hAnsi="Times New Roman" w:eastAsia="宋体" w:cs="Times New Roman"/>
                <w:color w:val="auto"/>
                <w:sz w:val="22"/>
                <w:szCs w:val="22"/>
              </w:rPr>
              <w:t>针对202</w:t>
            </w:r>
            <w:r>
              <w:rPr>
                <w:rFonts w:hint="default"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rPr>
              <w:t>年淮安市环境空气质量PM</w:t>
            </w:r>
            <w:r>
              <w:rPr>
                <w:rFonts w:hint="default" w:ascii="Times New Roman" w:hAnsi="Times New Roman" w:eastAsia="宋体" w:cs="Times New Roman"/>
                <w:color w:val="auto"/>
                <w:sz w:val="22"/>
                <w:szCs w:val="22"/>
                <w:vertAlign w:val="subscript"/>
              </w:rPr>
              <w:t>2.5</w:t>
            </w:r>
            <w:r>
              <w:rPr>
                <w:rFonts w:hint="default" w:ascii="Times New Roman" w:hAnsi="Times New Roman" w:eastAsia="宋体" w:cs="Times New Roman"/>
                <w:color w:val="auto"/>
                <w:sz w:val="22"/>
                <w:szCs w:val="22"/>
              </w:rPr>
              <w:t>不达标问题，</w:t>
            </w:r>
            <w:r>
              <w:rPr>
                <w:rFonts w:hint="default" w:ascii="Times New Roman" w:hAnsi="Times New Roman" w:eastAsia="宋体" w:cs="Times New Roman"/>
                <w:color w:val="000000"/>
                <w:sz w:val="22"/>
                <w:szCs w:val="22"/>
                <w:lang w:val="en-US" w:eastAsia="zh-CN"/>
              </w:rPr>
              <w:t>《淮安市2025年大气污染防治工作计划》（淮生态办发〔2025〕32号）明确了工作目标：2025年全市PM</w:t>
            </w:r>
            <w:r>
              <w:rPr>
                <w:rFonts w:hint="default" w:ascii="Times New Roman" w:hAnsi="Times New Roman" w:eastAsia="宋体" w:cs="Times New Roman"/>
                <w:color w:val="000000"/>
                <w:sz w:val="22"/>
                <w:szCs w:val="22"/>
                <w:vertAlign w:val="subscript"/>
                <w:lang w:val="en-US" w:eastAsia="zh-CN"/>
              </w:rPr>
              <w:t>2.5</w:t>
            </w:r>
            <w:r>
              <w:rPr>
                <w:rFonts w:hint="default" w:ascii="Times New Roman" w:hAnsi="Times New Roman" w:eastAsia="宋体" w:cs="Times New Roman"/>
                <w:color w:val="000000"/>
                <w:sz w:val="22"/>
                <w:szCs w:val="22"/>
                <w:lang w:val="en-US" w:eastAsia="zh-CN"/>
              </w:rPr>
              <w:t>浓度不高于36微克/立方米，优良天数比率达到82.4%，重污染天数1天；完成国家下达的氮氧化物、挥发性有机物重点工程减排量目标。并提出以下重点任务：（一）源头治理推动全市行业产业提升；（二）推动重点行业大气污染深度治理；（三）强化VOCs全过程综合治理；（四）推进老旧柴油货车和非道路移动机械淘汰；（五）推动各类移动源新能源使用率；（六）推动清洁运输比例提升；（七）加强移动源全链条监督管理；（八）严格合理控制煤炭消费总量；（九）加强秸秆综合利用和禁烧；（十）有序推进烟花爆竹禁燃限放；（十一）深化“两治一提升”专项行动；（十二）加强扬尘污染防治；（十三）全面强化空气质量管理；（十四）完善重污染天气应对机制；（十五）提升大气环境监测监控执法能力。</w:t>
            </w:r>
          </w:p>
          <w:p w14:paraId="369ACA45">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FF0000"/>
                <w:w w:val="100"/>
                <w:kern w:val="2"/>
                <w:sz w:val="22"/>
                <w:szCs w:val="22"/>
                <w:lang w:val="en-US" w:eastAsia="zh-CN" w:bidi="ar-SA"/>
              </w:rPr>
            </w:pPr>
            <w:r>
              <w:rPr>
                <w:rFonts w:hint="default" w:ascii="Times New Roman" w:hAnsi="Times New Roman" w:eastAsia="宋体" w:cs="Times New Roman"/>
                <w:color w:val="000000"/>
                <w:kern w:val="0"/>
                <w:sz w:val="22"/>
                <w:szCs w:val="22"/>
                <w:lang w:val="en-US" w:eastAsia="zh-CN" w:bidi="ar"/>
              </w:rPr>
              <w:t>随着</w:t>
            </w:r>
            <w:r>
              <w:rPr>
                <w:rFonts w:hint="default" w:ascii="Times New Roman" w:hAnsi="Times New Roman" w:eastAsia="宋体" w:cs="Times New Roman"/>
                <w:color w:val="000000"/>
                <w:sz w:val="22"/>
                <w:szCs w:val="22"/>
                <w:lang w:val="en-US" w:eastAsia="zh-CN"/>
              </w:rPr>
              <w:t>计划</w:t>
            </w:r>
            <w:r>
              <w:rPr>
                <w:rFonts w:hint="default" w:ascii="Times New Roman" w:hAnsi="Times New Roman" w:eastAsia="宋体" w:cs="Times New Roman"/>
                <w:color w:val="000000"/>
                <w:kern w:val="0"/>
                <w:sz w:val="22"/>
                <w:szCs w:val="22"/>
                <w:lang w:val="en-US" w:eastAsia="zh-CN" w:bidi="ar"/>
              </w:rPr>
              <w:t>的逐步落实，淮安市环境空气质量将逐渐得到改善，能够满足区域环境质量改善目标管理的要求</w:t>
            </w:r>
            <w:r>
              <w:rPr>
                <w:rFonts w:hint="default" w:ascii="Times New Roman" w:hAnsi="Times New Roman" w:eastAsia="宋体" w:cs="Times New Roman"/>
                <w:color w:val="000000"/>
                <w:kern w:val="2"/>
                <w:sz w:val="22"/>
                <w:szCs w:val="22"/>
                <w:lang w:val="en-US" w:eastAsia="zh-CN" w:bidi="ar-SA"/>
              </w:rPr>
              <w:t>。</w:t>
            </w:r>
          </w:p>
          <w:p w14:paraId="4862A7CC">
            <w:pPr>
              <w:autoSpaceDE w:val="0"/>
              <w:autoSpaceDN w:val="0"/>
              <w:adjustRightInd w:val="0"/>
              <w:snapToGrid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根据《202</w:t>
            </w:r>
            <w:r>
              <w:rPr>
                <w:rFonts w:hint="default"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rPr>
              <w:t>年淮安市环境质量状况公报》，2024年淮安市水环境质量总体保持稳定，25条主要河流断面整体水质状况达到优良，全市57个国省考断面优</w:t>
            </w:r>
            <w:r>
              <w:rPr>
                <w:rFonts w:hint="default" w:ascii="Times New Roman" w:hAnsi="Times New Roman" w:eastAsia="宋体" w:cs="Times New Roman"/>
                <w:color w:val="auto"/>
                <w:sz w:val="22"/>
                <w:szCs w:val="22"/>
                <w:lang w:eastAsia="zh-CN"/>
              </w:rPr>
              <w:t>Ⅲ</w:t>
            </w:r>
            <w:r>
              <w:rPr>
                <w:rFonts w:hint="default" w:ascii="Times New Roman" w:hAnsi="Times New Roman" w:eastAsia="宋体" w:cs="Times New Roman"/>
                <w:color w:val="auto"/>
                <w:sz w:val="22"/>
                <w:szCs w:val="22"/>
              </w:rPr>
              <w:t>比例 93%，优</w:t>
            </w:r>
            <w:r>
              <w:rPr>
                <w:rFonts w:hint="default" w:ascii="Times New Roman" w:hAnsi="Times New Roman" w:eastAsia="宋体" w:cs="Times New Roman"/>
                <w:color w:val="auto"/>
                <w:sz w:val="22"/>
                <w:szCs w:val="22"/>
                <w:lang w:eastAsia="zh-CN"/>
              </w:rPr>
              <w:t>Ⅱ</w:t>
            </w:r>
            <w:r>
              <w:rPr>
                <w:rFonts w:hint="default" w:ascii="Times New Roman" w:hAnsi="Times New Roman" w:eastAsia="宋体" w:cs="Times New Roman"/>
                <w:color w:val="auto"/>
                <w:sz w:val="22"/>
                <w:szCs w:val="22"/>
              </w:rPr>
              <w:t>比例28.1%，水环境质量稳中有升，主要湖泊水质保持稳定，总磷浓度有所下降，饮用水源地水质稳定达标，地下水水质稳中趋好。</w:t>
            </w:r>
          </w:p>
          <w:p w14:paraId="4832ABAD">
            <w:pPr>
              <w:autoSpaceDE w:val="0"/>
              <w:autoSpaceDN w:val="0"/>
              <w:adjustRightInd w:val="0"/>
              <w:snapToGrid w:val="0"/>
              <w:spacing w:line="500" w:lineRule="exact"/>
              <w:ind w:firstLine="440" w:firstLineChars="200"/>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国省考断面</w:t>
            </w:r>
            <w:r>
              <w:rPr>
                <w:rFonts w:hint="default" w:ascii="Times New Roman" w:hAnsi="Times New Roman" w:eastAsia="宋体" w:cs="Times New Roman"/>
                <w:color w:val="auto"/>
                <w:sz w:val="22"/>
                <w:szCs w:val="22"/>
                <w:lang w:eastAsia="zh-CN"/>
              </w:rPr>
              <w:t>：纳入“十四五”国家地表水环境质量考核的11个国考断面中，年均水质达到或好于Ⅲ类标准的断面9个(Ⅱ类断面4个)，优Ⅲ比例81.8%；纳入江苏省“十四五”水环境质量目标考核的57个断面中水质达到或好于Ⅲ类标准的断面有53个，优Ⅲ比例93%。国省考断面达标率100%，优Ⅲ比例与2023年同比持平，无V类和劣V类断面。国考断面Ⅱ类好水比例为45.5%，较2023年上升9.1%，省考断面Ⅱ类好水比例为28.1%，较2023年上升5.3%。</w:t>
            </w:r>
          </w:p>
          <w:p w14:paraId="2A404D0B">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饮用水水源地</w:t>
            </w:r>
            <w:r>
              <w:rPr>
                <w:rFonts w:hint="default" w:ascii="Times New Roman" w:hAnsi="Times New Roman" w:eastAsia="宋体" w:cs="Times New Roman"/>
                <w:color w:val="auto"/>
                <w:sz w:val="22"/>
                <w:szCs w:val="22"/>
                <w:lang w:eastAsia="zh-CN"/>
              </w:rPr>
              <w:t>：全市城镇饮用水以集中式供水为主。淮安市集中式饮用水水源地取水总量35230万吨，主要取水水源为淮河、古淮河、里运河、洪泽湖、二河、淮沭河和入江水道。12个集中式饮用水水源地(2024年8月核销了涟水县古淮河涟城水源地)水质状况稳定，除盱眙县淮河河桥水源地达Ⅲ类水质外，其余水源地均达Ⅱ类水质，达标率为100%。淮安市城市集中式饮用水水源地水质能满足饮用水水质标准要求，保持较好状态。</w:t>
            </w:r>
          </w:p>
          <w:p w14:paraId="01106366">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主要河流</w:t>
            </w:r>
            <w:r>
              <w:rPr>
                <w:rFonts w:hint="default" w:ascii="Times New Roman" w:hAnsi="Times New Roman" w:eastAsia="宋体" w:cs="Times New Roman"/>
                <w:color w:val="auto"/>
                <w:sz w:val="22"/>
                <w:szCs w:val="22"/>
                <w:lang w:eastAsia="zh-CN"/>
              </w:rPr>
              <w:t>：2024年，27条主要河流水质保持稳定，其中淮河、京杭大运河、苏北灌溉总渠、淮河入江水道、分淮入沂水道水质状况为优；南淮泗河、维桥河、张福河、团结河、高桥河、池河、淮河入海水道、盐河、黄河故道、金宝航道、南六塘河、草泽河、唐响河、头溪河、汪木排河、运西河-新河、浔河、一帆河、跃进河、周桥灌区总干渠为良好；公兴河、赵公河水质状况为轻度污染。</w:t>
            </w:r>
          </w:p>
          <w:p w14:paraId="0AC14C85">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湖库</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2024年，洪泽湖淮安片区总体水质达到地表水IV类标准，水质状况保持稳定，总磷、总氮年均浓度为0.062毫克/升、1.85毫克/升，总磷浓度同比下降18.4%，总氮浓度同比上升22.2%。综合营养状态指数54.1，处于轻度富营养状态，与2023年相比，综合营养状态指数下降了0.6。</w:t>
            </w:r>
          </w:p>
          <w:p w14:paraId="6F51E097">
            <w:pPr>
              <w:keepNext w:val="0"/>
              <w:keepLines w:val="0"/>
              <w:pageBreakBefore w:val="0"/>
              <w:widowControl w:val="0"/>
              <w:kinsoku/>
              <w:wordWrap/>
              <w:overflowPunct/>
              <w:topLinePunct w:val="0"/>
              <w:autoSpaceDN/>
              <w:bidi w:val="0"/>
              <w:spacing w:line="500" w:lineRule="exact"/>
              <w:ind w:left="0" w:right="0" w:firstLine="440" w:firstLineChars="200"/>
              <w:jc w:val="both"/>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根据《202</w:t>
            </w:r>
            <w:r>
              <w:rPr>
                <w:rFonts w:hint="eastAsia" w:cs="Times New Roman"/>
                <w:color w:val="auto"/>
                <w:w w:val="100"/>
                <w:sz w:val="22"/>
                <w:szCs w:val="22"/>
                <w:lang w:val="en-US" w:eastAsia="zh-CN"/>
              </w:rPr>
              <w:t>4</w:t>
            </w:r>
            <w:r>
              <w:rPr>
                <w:rFonts w:hint="default" w:ascii="Times New Roman" w:hAnsi="Times New Roman" w:eastAsia="宋体" w:cs="Times New Roman"/>
                <w:color w:val="auto"/>
                <w:w w:val="100"/>
                <w:sz w:val="22"/>
                <w:szCs w:val="22"/>
              </w:rPr>
              <w:t>年淮安市生态环境状况公报》显示，202</w:t>
            </w:r>
            <w:r>
              <w:rPr>
                <w:rFonts w:hint="eastAsia" w:cs="Times New Roman"/>
                <w:color w:val="auto"/>
                <w:w w:val="100"/>
                <w:sz w:val="22"/>
                <w:szCs w:val="22"/>
                <w:lang w:val="en-US" w:eastAsia="zh-CN"/>
              </w:rPr>
              <w:t>4</w:t>
            </w:r>
            <w:r>
              <w:rPr>
                <w:rFonts w:hint="default" w:ascii="Times New Roman" w:hAnsi="Times New Roman" w:eastAsia="宋体" w:cs="Times New Roman"/>
                <w:color w:val="auto"/>
                <w:w w:val="100"/>
                <w:sz w:val="22"/>
                <w:szCs w:val="22"/>
              </w:rPr>
              <w:t>年，淮安市声环境总体较好，全市各功能区昼、夜平均等效声级均达标，按达标点次统计，昼、夜间达标率分别为100%、97.2%，同比分别上升1.1%、8.3%。全市区域环境昼间噪声均值为55.3dB(A)，保持稳定，处于城市区域声环境质量“一般”水平</w:t>
            </w:r>
            <w:r>
              <w:rPr>
                <w:rFonts w:hint="eastAsia" w:cs="Times New Roman"/>
                <w:color w:val="auto"/>
                <w:w w:val="100"/>
                <w:sz w:val="22"/>
                <w:szCs w:val="22"/>
                <w:lang w:eastAsia="zh-CN"/>
              </w:rPr>
              <w:t>；</w:t>
            </w:r>
            <w:r>
              <w:rPr>
                <w:rFonts w:hint="default" w:ascii="Times New Roman" w:hAnsi="Times New Roman" w:eastAsia="宋体" w:cs="Times New Roman"/>
                <w:color w:val="auto"/>
                <w:w w:val="100"/>
                <w:sz w:val="22"/>
                <w:szCs w:val="22"/>
              </w:rPr>
              <w:t>全市昼间交通噪声均值为65.2dB(A)，同比下降0.2dB(A)，同比改善，处于“好”水平，昼间超过70dB(A)的路段长度显著减少。</w:t>
            </w:r>
          </w:p>
          <w:p w14:paraId="43A16F8B">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0" w:firstLineChars="200"/>
              <w:textAlignment w:val="auto"/>
              <w:outlineLvl w:val="9"/>
              <w:rPr>
                <w:rFonts w:hint="default" w:ascii="Times New Roman" w:hAnsi="Times New Roman" w:eastAsia="宋体" w:cs="Times New Roman"/>
                <w:bCs/>
                <w:color w:val="auto"/>
                <w:w w:val="100"/>
                <w:sz w:val="22"/>
                <w:szCs w:val="22"/>
                <w:highlight w:val="none"/>
              </w:rPr>
            </w:pPr>
            <w:r>
              <w:rPr>
                <w:rFonts w:hint="default" w:ascii="Times New Roman" w:hAnsi="Times New Roman" w:eastAsia="宋体" w:cs="Times New Roman"/>
                <w:bCs/>
                <w:color w:val="auto"/>
                <w:w w:val="100"/>
                <w:sz w:val="22"/>
                <w:szCs w:val="22"/>
                <w:highlight w:val="none"/>
              </w:rPr>
              <w:t>项目废气、废水、噪声、固体废弃物等经有效处理后，对环境影响较小，不会改变环境质量现状。</w:t>
            </w:r>
          </w:p>
          <w:p w14:paraId="520D1351">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0" w:firstLineChars="200"/>
              <w:jc w:val="left"/>
              <w:textAlignment w:val="auto"/>
              <w:outlineLvl w:val="9"/>
              <w:rPr>
                <w:rFonts w:hint="default" w:ascii="Times New Roman" w:hAnsi="Times New Roman" w:eastAsia="宋体" w:cs="Times New Roman"/>
                <w:bCs/>
                <w:color w:val="auto"/>
                <w:w w:val="100"/>
                <w:sz w:val="22"/>
                <w:szCs w:val="22"/>
              </w:rPr>
            </w:pPr>
            <w:r>
              <w:rPr>
                <w:rFonts w:hint="default" w:ascii="Times New Roman" w:hAnsi="Times New Roman" w:eastAsia="宋体" w:cs="Times New Roman"/>
                <w:bCs/>
                <w:color w:val="auto"/>
                <w:w w:val="100"/>
                <w:sz w:val="22"/>
                <w:szCs w:val="22"/>
              </w:rPr>
              <w:t>因此项目的建设符合环境质量底线要求。</w:t>
            </w:r>
          </w:p>
          <w:p w14:paraId="55BC0777">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2" w:firstLineChars="200"/>
              <w:jc w:val="left"/>
              <w:textAlignment w:val="auto"/>
              <w:outlineLvl w:val="9"/>
              <w:rPr>
                <w:rFonts w:hint="default" w:ascii="Times New Roman" w:hAnsi="Times New Roman" w:eastAsia="宋体" w:cs="Times New Roman"/>
                <w:b/>
                <w:bCs w:val="0"/>
                <w:color w:val="auto"/>
                <w:w w:val="100"/>
                <w:sz w:val="22"/>
                <w:szCs w:val="22"/>
              </w:rPr>
            </w:pPr>
            <w:r>
              <w:rPr>
                <w:rFonts w:hint="eastAsia" w:ascii="宋体" w:hAnsi="宋体" w:eastAsia="宋体" w:cs="宋体"/>
                <w:b/>
                <w:bCs w:val="0"/>
                <w:color w:val="auto"/>
                <w:w w:val="100"/>
                <w:sz w:val="22"/>
                <w:szCs w:val="22"/>
              </w:rPr>
              <w:t>⑶</w:t>
            </w:r>
            <w:r>
              <w:rPr>
                <w:rFonts w:hint="default" w:ascii="Times New Roman" w:hAnsi="Times New Roman" w:eastAsia="宋体" w:cs="Times New Roman"/>
                <w:b/>
                <w:bCs w:val="0"/>
                <w:color w:val="auto"/>
                <w:w w:val="100"/>
                <w:sz w:val="22"/>
                <w:szCs w:val="22"/>
              </w:rPr>
              <w:t>资源利用上线相符性分析</w:t>
            </w:r>
          </w:p>
          <w:p w14:paraId="10D511ED">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0" w:firstLineChars="200"/>
              <w:textAlignment w:val="auto"/>
              <w:outlineLvl w:val="9"/>
              <w:rPr>
                <w:rFonts w:hint="default" w:ascii="Times New Roman" w:hAnsi="Times New Roman" w:eastAsia="宋体" w:cs="Times New Roman"/>
                <w:bCs/>
                <w:color w:val="auto"/>
                <w:w w:val="100"/>
                <w:sz w:val="22"/>
                <w:szCs w:val="22"/>
              </w:rPr>
            </w:pPr>
            <w:r>
              <w:rPr>
                <w:rFonts w:hint="default" w:ascii="Times New Roman" w:hAnsi="Times New Roman" w:eastAsia="宋体" w:cs="Times New Roman"/>
                <w:bCs/>
                <w:color w:val="auto"/>
                <w:w w:val="100"/>
                <w:sz w:val="22"/>
                <w:szCs w:val="22"/>
              </w:rPr>
              <w:t>建设项目所用原辅料均从其他企业购买，未从环境资源中直接获取，市场供应量充足；项目水、电等能源来自市政管网供应，余量充足。不会突破当地资源利用上线。</w:t>
            </w:r>
          </w:p>
          <w:p w14:paraId="58BF86D3">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0" w:firstLineChars="200"/>
              <w:textAlignment w:val="auto"/>
              <w:outlineLvl w:val="9"/>
              <w:rPr>
                <w:rFonts w:hint="default" w:ascii="Times New Roman" w:hAnsi="Times New Roman" w:eastAsia="宋体" w:cs="Times New Roman"/>
                <w:bCs/>
                <w:color w:val="auto"/>
                <w:w w:val="100"/>
                <w:sz w:val="22"/>
                <w:szCs w:val="22"/>
              </w:rPr>
            </w:pPr>
            <w:r>
              <w:rPr>
                <w:rFonts w:hint="default" w:ascii="Times New Roman" w:hAnsi="Times New Roman" w:eastAsia="宋体" w:cs="Times New Roman"/>
                <w:bCs/>
                <w:color w:val="auto"/>
                <w:w w:val="100"/>
                <w:sz w:val="22"/>
                <w:szCs w:val="22"/>
              </w:rPr>
              <w:t>因此，项目的建设符合资源利用上线的要求。</w:t>
            </w:r>
          </w:p>
          <w:p w14:paraId="19AECBAD">
            <w:pPr>
              <w:keepNext w:val="0"/>
              <w:keepLines w:val="0"/>
              <w:pageBreakBefore w:val="0"/>
              <w:widowControl w:val="0"/>
              <w:kinsoku/>
              <w:wordWrap/>
              <w:overflowPunct/>
              <w:topLinePunct w:val="0"/>
              <w:autoSpaceDE/>
              <w:autoSpaceDN/>
              <w:bidi w:val="0"/>
              <w:spacing w:beforeAutospacing="0" w:afterAutospacing="0" w:line="500" w:lineRule="exact"/>
              <w:ind w:left="0" w:leftChars="0" w:firstLine="442" w:firstLineChars="200"/>
              <w:textAlignment w:val="auto"/>
              <w:outlineLvl w:val="9"/>
              <w:rPr>
                <w:rFonts w:hint="default" w:ascii="Times New Roman" w:hAnsi="Times New Roman" w:eastAsia="宋体" w:cs="Times New Roman"/>
                <w:b/>
                <w:bCs w:val="0"/>
                <w:color w:val="auto"/>
                <w:w w:val="100"/>
                <w:sz w:val="22"/>
                <w:szCs w:val="22"/>
              </w:rPr>
            </w:pPr>
            <w:r>
              <w:rPr>
                <w:rFonts w:hint="eastAsia" w:ascii="宋体" w:hAnsi="宋体" w:eastAsia="宋体" w:cs="宋体"/>
                <w:b/>
                <w:bCs w:val="0"/>
                <w:color w:val="auto"/>
                <w:w w:val="100"/>
                <w:sz w:val="22"/>
                <w:szCs w:val="22"/>
              </w:rPr>
              <w:t>⑷</w:t>
            </w:r>
            <w:r>
              <w:rPr>
                <w:rFonts w:hint="default" w:ascii="Times New Roman" w:hAnsi="Times New Roman" w:eastAsia="宋体" w:cs="Times New Roman"/>
                <w:b/>
                <w:bCs w:val="0"/>
                <w:color w:val="auto"/>
                <w:w w:val="100"/>
                <w:sz w:val="22"/>
                <w:szCs w:val="22"/>
              </w:rPr>
              <w:t>环境准入负面清单相符性分析</w:t>
            </w:r>
          </w:p>
          <w:p w14:paraId="6BDAE1B1">
            <w:pPr>
              <w:keepNext w:val="0"/>
              <w:keepLines w:val="0"/>
              <w:pageBreakBefore w:val="0"/>
              <w:widowControl w:val="0"/>
              <w:kinsoku/>
              <w:wordWrap/>
              <w:overflowPunct/>
              <w:topLinePunct w:val="0"/>
              <w:autoSpaceDE/>
              <w:autoSpaceDN/>
              <w:bidi w:val="0"/>
              <w:adjustRightInd w:val="0"/>
              <w:snapToGrid w:val="0"/>
              <w:spacing w:beforeAutospacing="0" w:afterAutospacing="0" w:line="500" w:lineRule="exact"/>
              <w:ind w:left="0" w:leftChars="0" w:firstLine="440" w:firstLineChars="200"/>
              <w:jc w:val="left"/>
              <w:textAlignment w:val="auto"/>
              <w:outlineLvl w:val="9"/>
              <w:rPr>
                <w:rFonts w:hint="default" w:ascii="Times New Roman" w:hAnsi="Times New Roman" w:eastAsia="宋体" w:cs="Times New Roman"/>
                <w:bCs/>
                <w:color w:val="auto"/>
                <w:w w:val="100"/>
                <w:kern w:val="0"/>
                <w:sz w:val="22"/>
                <w:szCs w:val="22"/>
                <w:lang w:val="en-US" w:eastAsia="zh-CN" w:bidi="ar-SA"/>
              </w:rPr>
            </w:pPr>
            <w:r>
              <w:rPr>
                <w:rFonts w:hint="default" w:ascii="Times New Roman" w:hAnsi="Times New Roman" w:eastAsia="宋体" w:cs="Times New Roman"/>
                <w:bCs/>
                <w:color w:val="auto"/>
                <w:w w:val="100"/>
                <w:kern w:val="0"/>
                <w:sz w:val="22"/>
                <w:szCs w:val="22"/>
                <w:lang w:val="en-US" w:eastAsia="zh-CN" w:bidi="ar-SA"/>
              </w:rPr>
              <w:t>本项目为电子专用材料制造</w:t>
            </w:r>
            <w:r>
              <w:rPr>
                <w:rFonts w:hint="eastAsia" w:ascii="Times New Roman" w:hAnsi="Times New Roman" w:eastAsia="宋体" w:cs="Times New Roman"/>
                <w:bCs/>
                <w:color w:val="auto"/>
                <w:w w:val="100"/>
                <w:kern w:val="0"/>
                <w:sz w:val="22"/>
                <w:szCs w:val="22"/>
                <w:lang w:val="en-US" w:eastAsia="zh-CN" w:bidi="ar-SA"/>
              </w:rPr>
              <w:t>和橡胶板、管、带制造</w:t>
            </w:r>
            <w:r>
              <w:rPr>
                <w:rFonts w:hint="default" w:ascii="Times New Roman" w:hAnsi="Times New Roman" w:eastAsia="宋体" w:cs="Times New Roman"/>
                <w:bCs/>
                <w:color w:val="auto"/>
                <w:w w:val="100"/>
                <w:kern w:val="0"/>
                <w:sz w:val="22"/>
                <w:szCs w:val="22"/>
                <w:lang w:val="en-US" w:eastAsia="zh-CN" w:bidi="ar-SA"/>
              </w:rPr>
              <w:t>。</w:t>
            </w:r>
            <w:r>
              <w:rPr>
                <w:rFonts w:hint="eastAsia" w:cs="Times New Roman"/>
                <w:bCs/>
                <w:color w:val="auto"/>
                <w:w w:val="100"/>
                <w:kern w:val="0"/>
                <w:sz w:val="22"/>
                <w:szCs w:val="22"/>
                <w:lang w:val="en-US" w:eastAsia="zh-CN" w:bidi="ar-SA"/>
              </w:rPr>
              <w:t>本项目环境准入负面清单相符性详</w:t>
            </w:r>
            <w:r>
              <w:rPr>
                <w:rFonts w:hint="default" w:ascii="Times New Roman" w:hAnsi="Times New Roman" w:eastAsia="宋体" w:cs="Times New Roman"/>
                <w:bCs/>
                <w:color w:val="auto"/>
                <w:w w:val="100"/>
                <w:kern w:val="0"/>
                <w:sz w:val="22"/>
                <w:szCs w:val="22"/>
                <w:lang w:val="en-US" w:eastAsia="zh-CN" w:bidi="ar-SA"/>
              </w:rPr>
              <w:t>见</w:t>
            </w:r>
            <w:r>
              <w:rPr>
                <w:rFonts w:hint="eastAsia" w:ascii="Times New Roman" w:hAnsi="Times New Roman" w:eastAsia="宋体" w:cs="Times New Roman"/>
                <w:bCs/>
                <w:color w:val="auto"/>
                <w:w w:val="100"/>
                <w:kern w:val="0"/>
                <w:sz w:val="22"/>
                <w:szCs w:val="22"/>
                <w:lang w:val="en-US" w:eastAsia="zh-CN" w:bidi="ar-SA"/>
              </w:rPr>
              <w:t>下</w:t>
            </w:r>
            <w:r>
              <w:rPr>
                <w:rFonts w:hint="default" w:ascii="Times New Roman" w:hAnsi="Times New Roman" w:eastAsia="宋体" w:cs="Times New Roman"/>
                <w:bCs/>
                <w:color w:val="auto"/>
                <w:w w:val="100"/>
                <w:kern w:val="0"/>
                <w:sz w:val="22"/>
                <w:szCs w:val="22"/>
                <w:lang w:val="en-US" w:eastAsia="zh-CN" w:bidi="ar-SA"/>
              </w:rPr>
              <w:t>表。</w:t>
            </w:r>
          </w:p>
          <w:p w14:paraId="7C3429D5">
            <w:pPr>
              <w:keepNext w:val="0"/>
              <w:keepLines w:val="0"/>
              <w:pageBreakBefore w:val="0"/>
              <w:widowControl w:val="0"/>
              <w:kinsoku/>
              <w:wordWrap/>
              <w:overflowPunct/>
              <w:topLinePunct w:val="0"/>
              <w:autoSpaceDE/>
              <w:autoSpaceDN/>
              <w:bidi w:val="0"/>
              <w:adjustRightInd w:val="0"/>
              <w:snapToGrid w:val="0"/>
              <w:spacing w:beforeAutospacing="0" w:afterAutospacing="0" w:line="500" w:lineRule="exact"/>
              <w:ind w:left="0" w:leftChars="0" w:firstLine="0" w:firstLineChars="0"/>
              <w:jc w:val="center"/>
              <w:textAlignment w:val="auto"/>
              <w:outlineLvl w:val="9"/>
              <w:rPr>
                <w:rFonts w:hint="default" w:ascii="Times New Roman" w:hAnsi="Times New Roman" w:eastAsia="宋体" w:cs="Times New Roman"/>
                <w:b/>
                <w:color w:val="auto"/>
                <w:w w:val="100"/>
                <w:kern w:val="0"/>
                <w:sz w:val="22"/>
                <w:szCs w:val="22"/>
                <w:lang w:val="en-US" w:eastAsia="zh-CN" w:bidi="ar-SA"/>
              </w:rPr>
            </w:pPr>
            <w:r>
              <w:rPr>
                <w:rFonts w:hint="default" w:ascii="Times New Roman" w:hAnsi="Times New Roman" w:eastAsia="宋体" w:cs="Times New Roman"/>
                <w:b/>
                <w:color w:val="auto"/>
                <w:w w:val="100"/>
                <w:kern w:val="0"/>
                <w:sz w:val="22"/>
                <w:szCs w:val="22"/>
                <w:lang w:val="en-US" w:eastAsia="zh-CN" w:bidi="ar-SA"/>
              </w:rPr>
              <w:t>表1</w:t>
            </w:r>
            <w:r>
              <w:rPr>
                <w:rFonts w:hint="eastAsia" w:ascii="Times New Roman" w:hAnsi="Times New Roman" w:eastAsia="宋体" w:cs="Times New Roman"/>
                <w:b/>
                <w:color w:val="auto"/>
                <w:w w:val="100"/>
                <w:kern w:val="0"/>
                <w:sz w:val="22"/>
                <w:szCs w:val="22"/>
                <w:lang w:val="en-US" w:eastAsia="zh-CN" w:bidi="ar-SA"/>
              </w:rPr>
              <w:t>.1</w:t>
            </w:r>
            <w:r>
              <w:rPr>
                <w:rFonts w:hint="default" w:ascii="Times New Roman" w:hAnsi="Times New Roman" w:eastAsia="宋体" w:cs="Times New Roman"/>
                <w:b/>
                <w:color w:val="auto"/>
                <w:w w:val="100"/>
                <w:kern w:val="0"/>
                <w:sz w:val="22"/>
                <w:szCs w:val="22"/>
                <w:lang w:val="en-US" w:eastAsia="zh-CN" w:bidi="ar-SA"/>
              </w:rPr>
              <w:t>-</w:t>
            </w:r>
            <w:r>
              <w:rPr>
                <w:rFonts w:hint="eastAsia" w:ascii="Times New Roman" w:hAnsi="Times New Roman" w:eastAsia="宋体" w:cs="Times New Roman"/>
                <w:b/>
                <w:color w:val="auto"/>
                <w:w w:val="100"/>
                <w:kern w:val="0"/>
                <w:sz w:val="22"/>
                <w:szCs w:val="22"/>
                <w:lang w:val="en-US" w:eastAsia="zh-CN" w:bidi="ar-SA"/>
              </w:rPr>
              <w:t>2</w:t>
            </w:r>
            <w:r>
              <w:rPr>
                <w:rFonts w:hint="default" w:ascii="Times New Roman" w:hAnsi="Times New Roman" w:eastAsia="宋体" w:cs="Times New Roman"/>
                <w:b/>
                <w:color w:val="auto"/>
                <w:w w:val="100"/>
                <w:kern w:val="0"/>
                <w:sz w:val="22"/>
                <w:szCs w:val="22"/>
                <w:lang w:val="en-US" w:eastAsia="zh-CN" w:bidi="ar-SA"/>
              </w:rPr>
              <w:t xml:space="preserve">  项目与环境准入负面清单相符性分析一览表</w:t>
            </w:r>
          </w:p>
          <w:tbl>
            <w:tblPr>
              <w:tblStyle w:val="43"/>
              <w:tblW w:w="4996"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97"/>
              <w:gridCol w:w="5481"/>
              <w:gridCol w:w="2847"/>
            </w:tblGrid>
            <w:tr w14:paraId="741253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35" w:type="pct"/>
                  <w:noWrap w:val="0"/>
                  <w:tcMar>
                    <w:top w:w="0" w:type="dxa"/>
                    <w:left w:w="28" w:type="dxa"/>
                    <w:bottom w:w="0" w:type="dxa"/>
                    <w:right w:w="28" w:type="dxa"/>
                  </w:tcMar>
                  <w:vAlign w:val="center"/>
                </w:tcPr>
                <w:p w14:paraId="2C29D4BD">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序号</w:t>
                  </w:r>
                </w:p>
              </w:tc>
              <w:tc>
                <w:tcPr>
                  <w:tcW w:w="3069" w:type="pct"/>
                  <w:noWrap w:val="0"/>
                  <w:tcMar>
                    <w:top w:w="0" w:type="dxa"/>
                    <w:left w:w="28" w:type="dxa"/>
                    <w:bottom w:w="0" w:type="dxa"/>
                    <w:right w:w="28" w:type="dxa"/>
                  </w:tcMar>
                  <w:vAlign w:val="center"/>
                </w:tcPr>
                <w:p w14:paraId="00F4316D">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内</w:t>
                  </w:r>
                  <w:r>
                    <w:rPr>
                      <w:rFonts w:hint="default" w:ascii="Times New Roman" w:hAnsi="Times New Roman" w:eastAsia="宋体" w:cs="Times New Roman"/>
                      <w:b/>
                      <w:bCs/>
                      <w:color w:val="auto"/>
                      <w:w w:val="100"/>
                      <w:sz w:val="21"/>
                      <w:szCs w:val="21"/>
                      <w:lang w:val="en-US" w:eastAsia="zh-CN"/>
                    </w:rPr>
                    <w:t xml:space="preserve">     </w:t>
                  </w:r>
                  <w:r>
                    <w:rPr>
                      <w:rFonts w:hint="default" w:ascii="Times New Roman" w:hAnsi="Times New Roman" w:eastAsia="宋体" w:cs="Times New Roman"/>
                      <w:b/>
                      <w:bCs/>
                      <w:color w:val="auto"/>
                      <w:w w:val="100"/>
                      <w:sz w:val="21"/>
                      <w:szCs w:val="21"/>
                    </w:rPr>
                    <w:t>容</w:t>
                  </w:r>
                </w:p>
              </w:tc>
              <w:tc>
                <w:tcPr>
                  <w:tcW w:w="1594" w:type="pct"/>
                  <w:noWrap w:val="0"/>
                  <w:tcMar>
                    <w:top w:w="0" w:type="dxa"/>
                    <w:left w:w="28" w:type="dxa"/>
                    <w:bottom w:w="0" w:type="dxa"/>
                    <w:right w:w="28" w:type="dxa"/>
                  </w:tcMar>
                  <w:vAlign w:val="center"/>
                </w:tcPr>
                <w:p w14:paraId="0FC77FEC">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相符性</w:t>
                  </w:r>
                </w:p>
              </w:tc>
            </w:tr>
            <w:tr w14:paraId="7233A1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35" w:type="pct"/>
                  <w:noWrap w:val="0"/>
                  <w:tcMar>
                    <w:top w:w="0" w:type="dxa"/>
                    <w:left w:w="28" w:type="dxa"/>
                    <w:bottom w:w="0" w:type="dxa"/>
                    <w:right w:w="28" w:type="dxa"/>
                  </w:tcMar>
                  <w:vAlign w:val="center"/>
                </w:tcPr>
                <w:p w14:paraId="136D9FD2">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1</w:t>
                  </w:r>
                </w:p>
              </w:tc>
              <w:tc>
                <w:tcPr>
                  <w:tcW w:w="3069" w:type="pct"/>
                  <w:noWrap w:val="0"/>
                  <w:tcMar>
                    <w:top w:w="0" w:type="dxa"/>
                    <w:left w:w="28" w:type="dxa"/>
                    <w:bottom w:w="0" w:type="dxa"/>
                    <w:right w:w="28" w:type="dxa"/>
                  </w:tcMar>
                  <w:vAlign w:val="center"/>
                </w:tcPr>
                <w:p w14:paraId="3CF7BCE6">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《产业结构调整指导目录（20</w:t>
                  </w:r>
                  <w:r>
                    <w:rPr>
                      <w:rFonts w:hint="eastAsia" w:ascii="Times New Roman" w:hAnsi="Times New Roman" w:eastAsia="宋体" w:cs="Times New Roman"/>
                      <w:color w:val="auto"/>
                      <w:w w:val="100"/>
                      <w:sz w:val="21"/>
                      <w:szCs w:val="21"/>
                      <w:lang w:val="en-US" w:eastAsia="zh-CN"/>
                    </w:rPr>
                    <w:t>24</w:t>
                  </w:r>
                  <w:r>
                    <w:rPr>
                      <w:rFonts w:hint="default" w:ascii="Times New Roman" w:hAnsi="Times New Roman" w:eastAsia="宋体" w:cs="Times New Roman"/>
                      <w:color w:val="auto"/>
                      <w:w w:val="100"/>
                      <w:sz w:val="21"/>
                      <w:szCs w:val="21"/>
                    </w:rPr>
                    <w:t>年本）》</w:t>
                  </w:r>
                </w:p>
              </w:tc>
              <w:tc>
                <w:tcPr>
                  <w:tcW w:w="1594" w:type="pct"/>
                  <w:noWrap w:val="0"/>
                  <w:tcMar>
                    <w:top w:w="0" w:type="dxa"/>
                    <w:left w:w="28" w:type="dxa"/>
                    <w:bottom w:w="0" w:type="dxa"/>
                    <w:right w:w="28" w:type="dxa"/>
                  </w:tcMar>
                  <w:vAlign w:val="center"/>
                </w:tcPr>
                <w:p w14:paraId="55147E41">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default" w:ascii="Times New Roman" w:hAnsi="Times New Roman" w:eastAsia="宋体" w:cs="Times New Roman"/>
                      <w:color w:val="auto"/>
                      <w:w w:val="100"/>
                      <w:sz w:val="21"/>
                      <w:szCs w:val="21"/>
                      <w:lang w:eastAsia="zh-CN"/>
                    </w:rPr>
                    <w:t>符合</w:t>
                  </w:r>
                </w:p>
              </w:tc>
            </w:tr>
            <w:tr w14:paraId="1B75EB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48" w:hRule="atLeast"/>
                <w:jc w:val="center"/>
              </w:trPr>
              <w:tc>
                <w:tcPr>
                  <w:tcW w:w="335" w:type="pct"/>
                  <w:noWrap w:val="0"/>
                  <w:tcMar>
                    <w:top w:w="0" w:type="dxa"/>
                    <w:left w:w="28" w:type="dxa"/>
                    <w:bottom w:w="0" w:type="dxa"/>
                    <w:right w:w="28" w:type="dxa"/>
                  </w:tcMar>
                  <w:vAlign w:val="center"/>
                </w:tcPr>
                <w:p w14:paraId="1E4F9B7F">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eastAsia"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2</w:t>
                  </w:r>
                </w:p>
              </w:tc>
              <w:tc>
                <w:tcPr>
                  <w:tcW w:w="3069" w:type="pct"/>
                  <w:noWrap w:val="0"/>
                  <w:tcMar>
                    <w:top w:w="0" w:type="dxa"/>
                    <w:left w:w="28" w:type="dxa"/>
                    <w:bottom w:w="0" w:type="dxa"/>
                    <w:right w:w="28" w:type="dxa"/>
                  </w:tcMar>
                  <w:vAlign w:val="center"/>
                </w:tcPr>
                <w:p w14:paraId="1ECE2B46">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《限制用地项目目录（2012年本）》、《禁止用地项目目录（2012年本）》</w:t>
                  </w:r>
                </w:p>
              </w:tc>
              <w:tc>
                <w:tcPr>
                  <w:tcW w:w="1594" w:type="pct"/>
                  <w:noWrap w:val="0"/>
                  <w:tcMar>
                    <w:top w:w="0" w:type="dxa"/>
                    <w:left w:w="28" w:type="dxa"/>
                    <w:bottom w:w="0" w:type="dxa"/>
                    <w:right w:w="28" w:type="dxa"/>
                  </w:tcMar>
                  <w:vAlign w:val="center"/>
                </w:tcPr>
                <w:p w14:paraId="7B119D86">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default" w:ascii="Times New Roman" w:hAnsi="Times New Roman" w:eastAsia="宋体" w:cs="Times New Roman"/>
                      <w:color w:val="auto"/>
                      <w:w w:val="100"/>
                      <w:sz w:val="21"/>
                      <w:szCs w:val="21"/>
                      <w:lang w:eastAsia="zh-CN"/>
                    </w:rPr>
                    <w:t>符合</w:t>
                  </w:r>
                </w:p>
              </w:tc>
            </w:tr>
            <w:tr w14:paraId="5078E2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35" w:type="pct"/>
                  <w:shd w:val="clear" w:color="auto" w:fill="auto"/>
                  <w:noWrap w:val="0"/>
                  <w:tcMar>
                    <w:top w:w="0" w:type="dxa"/>
                    <w:left w:w="28" w:type="dxa"/>
                    <w:bottom w:w="0" w:type="dxa"/>
                    <w:right w:w="28" w:type="dxa"/>
                  </w:tcMar>
                  <w:vAlign w:val="center"/>
                </w:tcPr>
                <w:p w14:paraId="780CA218">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3</w:t>
                  </w:r>
                </w:p>
              </w:tc>
              <w:tc>
                <w:tcPr>
                  <w:tcW w:w="3069" w:type="pct"/>
                  <w:noWrap w:val="0"/>
                  <w:tcMar>
                    <w:top w:w="0" w:type="dxa"/>
                    <w:left w:w="28" w:type="dxa"/>
                    <w:bottom w:w="0" w:type="dxa"/>
                    <w:right w:w="28" w:type="dxa"/>
                  </w:tcMar>
                  <w:vAlign w:val="center"/>
                </w:tcPr>
                <w:p w14:paraId="1F6815BC">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《江苏省限制用地项目目录</w:t>
                  </w:r>
                  <w:r>
                    <w:rPr>
                      <w:rFonts w:hint="eastAsia" w:cs="Times New Roman"/>
                      <w:color w:val="auto"/>
                      <w:w w:val="100"/>
                      <w:sz w:val="21"/>
                      <w:szCs w:val="21"/>
                      <w:lang w:eastAsia="zh-CN"/>
                    </w:rPr>
                    <w:t>（</w:t>
                  </w:r>
                  <w:r>
                    <w:rPr>
                      <w:rFonts w:hint="default" w:ascii="Times New Roman" w:hAnsi="Times New Roman" w:eastAsia="宋体" w:cs="Times New Roman"/>
                      <w:color w:val="auto"/>
                      <w:w w:val="100"/>
                      <w:sz w:val="21"/>
                      <w:szCs w:val="21"/>
                    </w:rPr>
                    <w:t>2013年本</w:t>
                  </w:r>
                  <w:r>
                    <w:rPr>
                      <w:rFonts w:hint="eastAsia" w:cs="Times New Roman"/>
                      <w:color w:val="auto"/>
                      <w:w w:val="100"/>
                      <w:sz w:val="21"/>
                      <w:szCs w:val="21"/>
                      <w:lang w:eastAsia="zh-CN"/>
                    </w:rPr>
                    <w:t>）</w:t>
                  </w:r>
                  <w:r>
                    <w:rPr>
                      <w:rFonts w:hint="default" w:ascii="Times New Roman" w:hAnsi="Times New Roman" w:eastAsia="宋体" w:cs="Times New Roman"/>
                      <w:color w:val="auto"/>
                      <w:w w:val="100"/>
                      <w:sz w:val="21"/>
                      <w:szCs w:val="21"/>
                    </w:rPr>
                    <w:t>》、</w:t>
                  </w:r>
                </w:p>
                <w:p w14:paraId="004FCA58">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《江苏省禁止用地项目目录</w:t>
                  </w:r>
                  <w:r>
                    <w:rPr>
                      <w:rFonts w:hint="eastAsia" w:cs="Times New Roman"/>
                      <w:color w:val="auto"/>
                      <w:w w:val="100"/>
                      <w:sz w:val="21"/>
                      <w:szCs w:val="21"/>
                      <w:lang w:eastAsia="zh-CN"/>
                    </w:rPr>
                    <w:t>（</w:t>
                  </w:r>
                  <w:r>
                    <w:rPr>
                      <w:rFonts w:hint="default" w:ascii="Times New Roman" w:hAnsi="Times New Roman" w:eastAsia="宋体" w:cs="Times New Roman"/>
                      <w:color w:val="auto"/>
                      <w:w w:val="100"/>
                      <w:sz w:val="21"/>
                      <w:szCs w:val="21"/>
                    </w:rPr>
                    <w:t>2013年本</w:t>
                  </w:r>
                  <w:r>
                    <w:rPr>
                      <w:rFonts w:hint="eastAsia" w:cs="Times New Roman"/>
                      <w:color w:val="auto"/>
                      <w:w w:val="100"/>
                      <w:sz w:val="21"/>
                      <w:szCs w:val="21"/>
                      <w:lang w:eastAsia="zh-CN"/>
                    </w:rPr>
                    <w:t>）</w:t>
                  </w:r>
                  <w:r>
                    <w:rPr>
                      <w:rFonts w:hint="default" w:ascii="Times New Roman" w:hAnsi="Times New Roman" w:eastAsia="宋体" w:cs="Times New Roman"/>
                      <w:color w:val="auto"/>
                      <w:w w:val="100"/>
                      <w:sz w:val="21"/>
                      <w:szCs w:val="21"/>
                    </w:rPr>
                    <w:t>》</w:t>
                  </w:r>
                </w:p>
              </w:tc>
              <w:tc>
                <w:tcPr>
                  <w:tcW w:w="1594" w:type="pct"/>
                  <w:noWrap w:val="0"/>
                  <w:tcMar>
                    <w:top w:w="0" w:type="dxa"/>
                    <w:left w:w="28" w:type="dxa"/>
                    <w:bottom w:w="0" w:type="dxa"/>
                    <w:right w:w="28" w:type="dxa"/>
                  </w:tcMar>
                  <w:vAlign w:val="center"/>
                </w:tcPr>
                <w:p w14:paraId="194BDB3F">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default" w:ascii="Times New Roman" w:hAnsi="Times New Roman" w:eastAsia="宋体" w:cs="Times New Roman"/>
                      <w:color w:val="auto"/>
                      <w:w w:val="100"/>
                      <w:sz w:val="21"/>
                      <w:szCs w:val="21"/>
                      <w:lang w:eastAsia="zh-CN"/>
                    </w:rPr>
                    <w:t>符合</w:t>
                  </w:r>
                </w:p>
              </w:tc>
            </w:tr>
            <w:tr w14:paraId="63CF17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35" w:type="pct"/>
                  <w:shd w:val="clear" w:color="auto" w:fill="auto"/>
                  <w:noWrap w:val="0"/>
                  <w:tcMar>
                    <w:top w:w="0" w:type="dxa"/>
                    <w:left w:w="28" w:type="dxa"/>
                    <w:bottom w:w="0" w:type="dxa"/>
                    <w:right w:w="28" w:type="dxa"/>
                  </w:tcMar>
                  <w:vAlign w:val="center"/>
                </w:tcPr>
                <w:p w14:paraId="0966DD2A">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4</w:t>
                  </w:r>
                </w:p>
              </w:tc>
              <w:tc>
                <w:tcPr>
                  <w:tcW w:w="3069" w:type="pct"/>
                  <w:noWrap w:val="0"/>
                  <w:tcMar>
                    <w:top w:w="0" w:type="dxa"/>
                    <w:left w:w="28" w:type="dxa"/>
                    <w:bottom w:w="0" w:type="dxa"/>
                    <w:right w:w="28" w:type="dxa"/>
                  </w:tcMar>
                  <w:vAlign w:val="center"/>
                </w:tcPr>
                <w:p w14:paraId="05F3B452">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w:t>
                  </w:r>
                  <w:r>
                    <w:rPr>
                      <w:rFonts w:hint="default" w:ascii="Times New Roman" w:hAnsi="Times New Roman" w:eastAsia="宋体" w:cs="Times New Roman"/>
                      <w:color w:val="auto"/>
                      <w:w w:val="100"/>
                      <w:sz w:val="21"/>
                      <w:szCs w:val="21"/>
                      <w:lang w:eastAsia="zh-CN"/>
                    </w:rPr>
                    <w:t>市场准入负面清单（20</w:t>
                  </w:r>
                  <w:r>
                    <w:rPr>
                      <w:rFonts w:hint="eastAsia" w:ascii="Times New Roman" w:hAnsi="Times New Roman" w:eastAsia="宋体" w:cs="Times New Roman"/>
                      <w:color w:val="auto"/>
                      <w:w w:val="100"/>
                      <w:sz w:val="21"/>
                      <w:szCs w:val="21"/>
                      <w:lang w:val="en-US" w:eastAsia="zh-CN"/>
                    </w:rPr>
                    <w:t>22</w:t>
                  </w:r>
                  <w:r>
                    <w:rPr>
                      <w:rFonts w:hint="default" w:ascii="Times New Roman" w:hAnsi="Times New Roman" w:eastAsia="宋体" w:cs="Times New Roman"/>
                      <w:color w:val="auto"/>
                      <w:w w:val="100"/>
                      <w:sz w:val="21"/>
                      <w:szCs w:val="21"/>
                      <w:lang w:eastAsia="zh-CN"/>
                    </w:rPr>
                    <w:t>年版）</w:t>
                  </w:r>
                  <w:r>
                    <w:rPr>
                      <w:rFonts w:hint="default" w:ascii="Times New Roman" w:hAnsi="Times New Roman" w:eastAsia="宋体" w:cs="Times New Roman"/>
                      <w:color w:val="auto"/>
                      <w:w w:val="100"/>
                      <w:sz w:val="21"/>
                      <w:szCs w:val="21"/>
                    </w:rPr>
                    <w:t>》</w:t>
                  </w:r>
                </w:p>
              </w:tc>
              <w:tc>
                <w:tcPr>
                  <w:tcW w:w="1594" w:type="pct"/>
                  <w:noWrap w:val="0"/>
                  <w:tcMar>
                    <w:top w:w="0" w:type="dxa"/>
                    <w:left w:w="28" w:type="dxa"/>
                    <w:bottom w:w="0" w:type="dxa"/>
                    <w:right w:w="28" w:type="dxa"/>
                  </w:tcMar>
                  <w:vAlign w:val="center"/>
                </w:tcPr>
                <w:p w14:paraId="1F6512A0">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default" w:ascii="Times New Roman" w:hAnsi="Times New Roman" w:eastAsia="宋体" w:cs="Times New Roman"/>
                      <w:color w:val="auto"/>
                      <w:w w:val="100"/>
                      <w:sz w:val="21"/>
                      <w:szCs w:val="21"/>
                      <w:lang w:eastAsia="zh-CN"/>
                    </w:rPr>
                    <w:t>符合</w:t>
                  </w:r>
                </w:p>
              </w:tc>
            </w:tr>
            <w:tr w14:paraId="6A480B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35" w:type="pct"/>
                  <w:shd w:val="clear" w:color="auto" w:fill="auto"/>
                  <w:noWrap w:val="0"/>
                  <w:tcMar>
                    <w:top w:w="0" w:type="dxa"/>
                    <w:left w:w="28" w:type="dxa"/>
                    <w:bottom w:w="0" w:type="dxa"/>
                    <w:right w:w="28" w:type="dxa"/>
                  </w:tcMar>
                  <w:vAlign w:val="center"/>
                </w:tcPr>
                <w:p w14:paraId="4618D207">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5</w:t>
                  </w:r>
                </w:p>
              </w:tc>
              <w:tc>
                <w:tcPr>
                  <w:tcW w:w="3069" w:type="pct"/>
                  <w:noWrap w:val="0"/>
                  <w:tcMar>
                    <w:top w:w="0" w:type="dxa"/>
                    <w:left w:w="28" w:type="dxa"/>
                    <w:bottom w:w="0" w:type="dxa"/>
                    <w:right w:w="28" w:type="dxa"/>
                  </w:tcMar>
                  <w:vAlign w:val="center"/>
                </w:tcPr>
                <w:p w14:paraId="3FB8C21D">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eastAsia" w:ascii="Times New Roman" w:hAnsi="Times New Roman" w:eastAsia="宋体" w:cs="Times New Roman"/>
                      <w:color w:val="auto"/>
                      <w:w w:val="100"/>
                      <w:sz w:val="21"/>
                      <w:szCs w:val="21"/>
                      <w:lang w:eastAsia="zh-CN"/>
                    </w:rPr>
                    <w:t>《淮安高新区循环经济产业园生态环境准入清单》</w:t>
                  </w:r>
                </w:p>
              </w:tc>
              <w:tc>
                <w:tcPr>
                  <w:tcW w:w="1594" w:type="pct"/>
                  <w:noWrap w:val="0"/>
                  <w:tcMar>
                    <w:top w:w="0" w:type="dxa"/>
                    <w:left w:w="28" w:type="dxa"/>
                    <w:bottom w:w="0" w:type="dxa"/>
                    <w:right w:w="28" w:type="dxa"/>
                  </w:tcMar>
                  <w:vAlign w:val="center"/>
                </w:tcPr>
                <w:p w14:paraId="1ABBC3FF">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exact"/>
                    <w:ind w:left="0" w:leftChars="0" w:firstLine="0" w:firstLineChars="0"/>
                    <w:jc w:val="center"/>
                    <w:textAlignment w:val="auto"/>
                    <w:outlineLvl w:val="9"/>
                    <w:rPr>
                      <w:rFonts w:hint="default" w:ascii="Times New Roman" w:hAnsi="Times New Roman" w:eastAsia="宋体" w:cs="Times New Roman"/>
                      <w:color w:val="auto"/>
                      <w:w w:val="100"/>
                      <w:sz w:val="21"/>
                      <w:szCs w:val="21"/>
                      <w:lang w:eastAsia="zh-CN"/>
                    </w:rPr>
                  </w:pPr>
                  <w:r>
                    <w:rPr>
                      <w:rFonts w:hint="eastAsia" w:cs="Times New Roman"/>
                      <w:color w:val="auto"/>
                      <w:w w:val="100"/>
                      <w:sz w:val="21"/>
                      <w:szCs w:val="21"/>
                      <w:lang w:eastAsia="zh-CN"/>
                    </w:rPr>
                    <w:t>符合，本项</w:t>
                  </w:r>
                  <w:r>
                    <w:rPr>
                      <w:rFonts w:hint="eastAsia" w:ascii="Times New Roman" w:hAnsi="Times New Roman" w:eastAsia="宋体" w:cs="Times New Roman"/>
                      <w:color w:val="auto"/>
                      <w:w w:val="100"/>
                      <w:sz w:val="21"/>
                      <w:szCs w:val="21"/>
                      <w:lang w:eastAsia="zh-CN"/>
                    </w:rPr>
                    <w:t>目已取得</w:t>
                  </w:r>
                  <w:r>
                    <w:rPr>
                      <w:rFonts w:hint="default" w:ascii="Times New Roman" w:hAnsi="Times New Roman" w:eastAsia="宋体" w:cs="Times New Roman"/>
                      <w:color w:val="auto"/>
                      <w:w w:val="100"/>
                      <w:sz w:val="21"/>
                      <w:szCs w:val="21"/>
                      <w:lang w:eastAsia="zh-CN"/>
                    </w:rPr>
                    <w:t>淮安市淮阴区工业和信息化局</w:t>
                  </w:r>
                  <w:r>
                    <w:rPr>
                      <w:rFonts w:hint="eastAsia" w:cs="Times New Roman"/>
                      <w:color w:val="auto"/>
                      <w:w w:val="100"/>
                      <w:sz w:val="21"/>
                      <w:szCs w:val="21"/>
                      <w:lang w:eastAsia="zh-CN"/>
                    </w:rPr>
                    <w:t>备案，备案证号</w:t>
                  </w:r>
                  <w:r>
                    <w:rPr>
                      <w:rFonts w:hint="eastAsia" w:ascii="Times New Roman" w:hAnsi="Times New Roman" w:eastAsia="宋体" w:cs="Times New Roman"/>
                      <w:color w:val="auto"/>
                      <w:w w:val="100"/>
                      <w:sz w:val="21"/>
                      <w:szCs w:val="21"/>
                      <w:lang w:eastAsia="zh-CN"/>
                    </w:rPr>
                    <w:t>：</w:t>
                  </w:r>
                  <w:r>
                    <w:rPr>
                      <w:rFonts w:hint="eastAsia" w:cs="Times New Roman"/>
                      <w:color w:val="auto"/>
                      <w:w w:val="100"/>
                      <w:sz w:val="21"/>
                      <w:szCs w:val="21"/>
                      <w:lang w:eastAsia="zh-CN"/>
                    </w:rPr>
                    <w:t>淮阴区工信备〔2025〕25号</w:t>
                  </w:r>
                </w:p>
              </w:tc>
            </w:tr>
          </w:tbl>
          <w:p w14:paraId="05DA3CDE">
            <w:pPr>
              <w:keepNext w:val="0"/>
              <w:keepLines w:val="0"/>
              <w:pageBreakBefore w:val="0"/>
              <w:widowControl w:val="0"/>
              <w:kinsoku/>
              <w:wordWrap/>
              <w:overflowPunct/>
              <w:topLinePunct w:val="0"/>
              <w:autoSpaceDE/>
              <w:autoSpaceDN/>
              <w:bidi w:val="0"/>
              <w:spacing w:line="500" w:lineRule="exact"/>
              <w:ind w:left="0" w:firstLine="442" w:firstLineChars="200"/>
              <w:textAlignment w:val="auto"/>
              <w:outlineLvl w:val="9"/>
              <w:rPr>
                <w:rFonts w:hint="default" w:ascii="Times New Roman" w:hAnsi="Times New Roman" w:eastAsia="宋体" w:cs="Times New Roman"/>
                <w:b/>
                <w:bCs/>
                <w:color w:val="auto"/>
                <w:sz w:val="22"/>
                <w:szCs w:val="22"/>
              </w:rPr>
            </w:pPr>
            <w:r>
              <w:rPr>
                <w:rFonts w:hint="eastAsia" w:ascii="仿宋" w:hAnsi="仿宋" w:eastAsia="仿宋" w:cs="仿宋"/>
                <w:b/>
                <w:bCs/>
                <w:color w:val="auto"/>
                <w:sz w:val="22"/>
                <w:szCs w:val="22"/>
              </w:rPr>
              <w:t>⑸</w:t>
            </w:r>
            <w:r>
              <w:rPr>
                <w:rFonts w:hint="default" w:ascii="Times New Roman" w:hAnsi="Times New Roman" w:eastAsia="宋体" w:cs="Times New Roman"/>
                <w:b/>
                <w:bCs/>
                <w:color w:val="auto"/>
                <w:sz w:val="22"/>
                <w:szCs w:val="22"/>
              </w:rPr>
              <w:t>与江苏省“三线一单”生态环境分区管控方案相符性分析</w:t>
            </w:r>
          </w:p>
          <w:p w14:paraId="6C4B6252">
            <w:pPr>
              <w:keepNext w:val="0"/>
              <w:keepLines w:val="0"/>
              <w:pageBreakBefore w:val="0"/>
              <w:widowControl w:val="0"/>
              <w:kinsoku/>
              <w:wordWrap/>
              <w:overflowPunct/>
              <w:topLinePunct w:val="0"/>
              <w:autoSpaceDE/>
              <w:autoSpaceDN/>
              <w:bidi w:val="0"/>
              <w:spacing w:line="500" w:lineRule="exact"/>
              <w:ind w:left="0" w:firstLine="440" w:firstLineChars="200"/>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w:t>
            </w:r>
            <w:r>
              <w:rPr>
                <w:rFonts w:hint="eastAsia" w:ascii="Times New Roman" w:hAnsi="Times New Roman" w:eastAsia="宋体" w:cs="Times New Roman"/>
                <w:color w:val="auto"/>
                <w:sz w:val="22"/>
                <w:szCs w:val="22"/>
                <w:lang w:val="en-US" w:eastAsia="zh-CN"/>
              </w:rPr>
              <w:t>《省政府关于印发江苏省“三线一单”生态环境分区管控方案的通知》（苏政发[2020]49号）和</w:t>
            </w:r>
            <w:r>
              <w:rPr>
                <w:rFonts w:hint="eastAsia" w:ascii="Times New Roman" w:hAnsi="Times New Roman" w:eastAsia="宋体" w:cs="Times New Roman"/>
                <w:color w:val="auto"/>
                <w:sz w:val="22"/>
                <w:szCs w:val="22"/>
                <w:lang w:eastAsia="zh-CN"/>
              </w:rPr>
              <w:t>《江苏</w:t>
            </w:r>
            <w:r>
              <w:rPr>
                <w:rFonts w:hint="eastAsia" w:cs="Times New Roman"/>
                <w:color w:val="auto"/>
                <w:sz w:val="22"/>
                <w:szCs w:val="22"/>
                <w:lang w:eastAsia="zh-CN"/>
              </w:rPr>
              <w:t>省2023年度生态环境分区管控动态更新成果》</w:t>
            </w:r>
            <w:r>
              <w:rPr>
                <w:rFonts w:hint="default" w:ascii="Times New Roman" w:hAnsi="Times New Roman" w:eastAsia="宋体" w:cs="Times New Roman"/>
                <w:color w:val="auto"/>
                <w:sz w:val="22"/>
                <w:szCs w:val="22"/>
              </w:rPr>
              <w:t>，对本项目进行分析，具体分析说明见表1.1-</w:t>
            </w:r>
            <w:r>
              <w:rPr>
                <w:rFonts w:hint="default" w:ascii="Times New Roman" w:hAnsi="Times New Roman" w:eastAsia="宋体" w:cs="Times New Roman"/>
                <w:color w:val="auto"/>
                <w:sz w:val="22"/>
                <w:szCs w:val="22"/>
                <w:lang w:val="en-US" w:eastAsia="zh-CN"/>
              </w:rPr>
              <w:t>3</w:t>
            </w:r>
            <w:r>
              <w:rPr>
                <w:rFonts w:hint="default" w:ascii="Times New Roman" w:hAnsi="Times New Roman" w:eastAsia="宋体" w:cs="Times New Roman"/>
                <w:color w:val="auto"/>
                <w:sz w:val="22"/>
                <w:szCs w:val="22"/>
              </w:rPr>
              <w:t>。</w:t>
            </w:r>
          </w:p>
          <w:p w14:paraId="0A50CEE6">
            <w:pPr>
              <w:pStyle w:val="34"/>
              <w:keepNext w:val="0"/>
              <w:keepLines w:val="0"/>
              <w:pageBreakBefore w:val="0"/>
              <w:widowControl w:val="0"/>
              <w:kinsoku/>
              <w:wordWrap/>
              <w:overflowPunct/>
              <w:topLinePunct w:val="0"/>
              <w:autoSpaceDE w:val="0"/>
              <w:autoSpaceDN w:val="0"/>
              <w:bidi w:val="0"/>
              <w:adjustRightInd/>
              <w:snapToGrid/>
              <w:spacing w:beforeAutospacing="0" w:afterAutospacing="0" w:line="400" w:lineRule="exact"/>
              <w:ind w:left="0" w:leftChars="0" w:firstLine="0" w:firstLineChars="0"/>
              <w:textAlignment w:val="auto"/>
              <w:outlineLvl w:val="9"/>
              <w:rPr>
                <w:rFonts w:hint="default" w:ascii="Times New Roman" w:hAnsi="Times New Roman" w:eastAsia="宋体" w:cs="Times New Roman"/>
                <w:b w:val="0"/>
                <w:bCs/>
                <w:color w:val="auto"/>
                <w:sz w:val="22"/>
                <w:szCs w:val="22"/>
                <w:lang w:val="en-US" w:eastAsia="zh-CN"/>
              </w:rPr>
            </w:pPr>
          </w:p>
        </w:tc>
      </w:tr>
    </w:tbl>
    <w:p w14:paraId="4B8E8F7C">
      <w:pPr>
        <w:spacing w:line="360" w:lineRule="auto"/>
        <w:outlineLvl w:val="9"/>
        <w:rPr>
          <w:rFonts w:eastAsia="黑体"/>
          <w:color w:val="auto"/>
          <w:sz w:val="30"/>
        </w:rPr>
        <w:sectPr>
          <w:headerReference r:id="rId5" w:type="default"/>
          <w:footerReference r:id="rId6" w:type="default"/>
          <w:pgSz w:w="11906" w:h="16838"/>
          <w:pgMar w:top="1134" w:right="1134" w:bottom="1134" w:left="1134" w:header="851" w:footer="1077" w:gutter="0"/>
          <w:pgBorders>
            <w:top w:val="none" w:sz="0" w:space="0"/>
            <w:left w:val="none" w:sz="0" w:space="0"/>
            <w:bottom w:val="none" w:sz="0" w:space="0"/>
            <w:right w:val="none" w:sz="0" w:space="0"/>
          </w:pgBorders>
          <w:pgNumType w:fmt="decimal"/>
          <w:cols w:space="720" w:num="1"/>
          <w:docGrid w:linePitch="312" w:charSpace="0"/>
        </w:sectPr>
      </w:pPr>
    </w:p>
    <w:tbl>
      <w:tblPr>
        <w:tblStyle w:val="44"/>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57" w:type="dxa"/>
          <w:bottom w:w="0" w:type="dxa"/>
          <w:right w:w="57" w:type="dxa"/>
        </w:tblCellMar>
      </w:tblPr>
      <w:tblGrid>
        <w:gridCol w:w="637"/>
        <w:gridCol w:w="14047"/>
      </w:tblGrid>
      <w:tr w14:paraId="562B2D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9147" w:hRule="atLeast"/>
        </w:trPr>
        <w:tc>
          <w:tcPr>
            <w:tcW w:w="217" w:type="pct"/>
            <w:tcBorders>
              <w:tl2br w:val="nil"/>
              <w:tr2bl w:val="nil"/>
            </w:tcBorders>
            <w:vAlign w:val="center"/>
          </w:tcPr>
          <w:p w14:paraId="696F662A">
            <w:pPr>
              <w:keepNext w:val="0"/>
              <w:keepLines w:val="0"/>
              <w:pageBreakBefore w:val="0"/>
              <w:widowControl w:val="0"/>
              <w:kinsoku/>
              <w:wordWrap/>
              <w:overflowPunct/>
              <w:topLinePunct w:val="0"/>
              <w:autoSpaceDE/>
              <w:autoSpaceDN/>
              <w:bidi w:val="0"/>
              <w:adjustRightInd/>
              <w:snapToGrid/>
              <w:spacing w:line="500" w:lineRule="exact"/>
              <w:jc w:val="center"/>
              <w:textAlignment w:val="auto"/>
              <w:outlineLvl w:val="9"/>
              <w:rPr>
                <w:rFonts w:hint="default" w:ascii="Times New Roman" w:hAnsi="Times New Roman" w:eastAsia="宋体" w:cs="Times New Roman"/>
                <w:color w:val="auto"/>
                <w:sz w:val="22"/>
                <w:szCs w:val="21"/>
                <w:vertAlign w:val="baseline"/>
              </w:rPr>
            </w:pPr>
            <w:r>
              <w:rPr>
                <w:rFonts w:hint="default" w:ascii="Times New Roman" w:hAnsi="Times New Roman" w:eastAsia="宋体" w:cs="Times New Roman"/>
                <w:b/>
                <w:bCs/>
                <w:color w:val="auto"/>
                <w:kern w:val="0"/>
                <w:sz w:val="22"/>
                <w:szCs w:val="22"/>
              </w:rPr>
              <w:t>其他符合性分析</w:t>
            </w:r>
          </w:p>
        </w:tc>
        <w:tc>
          <w:tcPr>
            <w:tcW w:w="4782" w:type="pct"/>
            <w:tcBorders>
              <w:tl2br w:val="nil"/>
              <w:tr2bl w:val="nil"/>
            </w:tcBorders>
            <w:vAlign w:val="top"/>
          </w:tcPr>
          <w:p w14:paraId="718FF9C1">
            <w:pPr>
              <w:keepNext w:val="0"/>
              <w:keepLines w:val="0"/>
              <w:pageBreakBefore w:val="0"/>
              <w:widowControl w:val="0"/>
              <w:kinsoku/>
              <w:wordWrap/>
              <w:overflowPunct/>
              <w:topLinePunct w:val="0"/>
              <w:autoSpaceDE/>
              <w:autoSpaceDN/>
              <w:bidi w:val="0"/>
              <w:adjustRightInd w:val="0"/>
              <w:snapToGrid w:val="0"/>
              <w:spacing w:line="500" w:lineRule="exact"/>
              <w:ind w:left="0" w:firstLine="0" w:firstLineChars="0"/>
              <w:contextualSpacing/>
              <w:jc w:val="center"/>
              <w:textAlignment w:val="auto"/>
              <w:outlineLvl w:val="9"/>
              <w:rPr>
                <w:rFonts w:hint="eastAsia" w:ascii="Times New Roman" w:hAnsi="Times New Roman" w:eastAsia="宋体" w:cs="Times New Roman"/>
                <w:b/>
                <w:bCs/>
                <w:color w:val="auto"/>
                <w:sz w:val="22"/>
                <w:szCs w:val="22"/>
                <w:lang w:val="en-US" w:eastAsia="zh-CN"/>
              </w:rPr>
            </w:pPr>
            <w:r>
              <w:rPr>
                <w:rFonts w:hint="default" w:ascii="Times New Roman" w:hAnsi="Times New Roman" w:eastAsia="宋体" w:cs="Times New Roman"/>
                <w:b/>
                <w:bCs w:val="0"/>
                <w:color w:val="auto"/>
                <w:kern w:val="2"/>
                <w:sz w:val="22"/>
                <w:szCs w:val="22"/>
                <w:lang w:val="en-US" w:eastAsia="zh-CN" w:bidi="ar-SA"/>
              </w:rPr>
              <w:t>表1.1-3  与</w:t>
            </w:r>
            <w:r>
              <w:rPr>
                <w:rFonts w:hint="eastAsia" w:ascii="Times New Roman" w:hAnsi="Times New Roman" w:eastAsia="宋体" w:cs="Times New Roman"/>
                <w:b/>
                <w:bCs/>
                <w:color w:val="auto"/>
                <w:sz w:val="22"/>
                <w:szCs w:val="22"/>
                <w:lang w:val="en-US" w:eastAsia="zh-CN"/>
              </w:rPr>
              <w:t>《省政府关于印发江苏省“三线一单”生态环境分区管控方案的通知》（苏政发[2020]49号）和</w:t>
            </w:r>
          </w:p>
          <w:p w14:paraId="7CED36A5">
            <w:pPr>
              <w:keepNext w:val="0"/>
              <w:keepLines w:val="0"/>
              <w:pageBreakBefore w:val="0"/>
              <w:widowControl w:val="0"/>
              <w:kinsoku/>
              <w:wordWrap/>
              <w:overflowPunct/>
              <w:topLinePunct w:val="0"/>
              <w:autoSpaceDE/>
              <w:autoSpaceDN/>
              <w:bidi w:val="0"/>
              <w:adjustRightInd w:val="0"/>
              <w:snapToGrid w:val="0"/>
              <w:spacing w:line="500" w:lineRule="exact"/>
              <w:ind w:left="0" w:firstLine="0" w:firstLineChars="0"/>
              <w:contextualSpacing/>
              <w:jc w:val="center"/>
              <w:textAlignment w:val="auto"/>
              <w:outlineLvl w:val="9"/>
              <w:rPr>
                <w:rFonts w:hint="default" w:ascii="Times New Roman" w:hAnsi="Times New Roman" w:eastAsia="宋体" w:cs="Times New Roman"/>
                <w:b/>
                <w:bCs w:val="0"/>
                <w:color w:val="auto"/>
                <w:kern w:val="2"/>
                <w:sz w:val="22"/>
                <w:szCs w:val="22"/>
                <w:lang w:val="en-US" w:eastAsia="zh-CN" w:bidi="ar-SA"/>
              </w:rPr>
            </w:pPr>
            <w:r>
              <w:rPr>
                <w:rFonts w:hint="default" w:ascii="Times New Roman" w:hAnsi="Times New Roman" w:eastAsia="宋体" w:cs="Times New Roman"/>
                <w:b/>
                <w:bCs w:val="0"/>
                <w:color w:val="auto"/>
                <w:sz w:val="22"/>
                <w:szCs w:val="22"/>
                <w:lang w:eastAsia="zh-CN"/>
              </w:rPr>
              <w:t>《江苏省2023年度生态环境分区管控动态更新成果》</w:t>
            </w:r>
            <w:r>
              <w:rPr>
                <w:rFonts w:hint="default" w:ascii="Times New Roman" w:hAnsi="Times New Roman" w:eastAsia="宋体" w:cs="Times New Roman"/>
                <w:b/>
                <w:bCs w:val="0"/>
                <w:color w:val="auto"/>
                <w:kern w:val="2"/>
                <w:sz w:val="22"/>
                <w:szCs w:val="22"/>
                <w:lang w:val="en-US" w:eastAsia="zh-CN" w:bidi="ar-SA"/>
              </w:rPr>
              <w:t>的相符性分析</w:t>
            </w:r>
          </w:p>
          <w:tbl>
            <w:tblPr>
              <w:tblStyle w:val="43"/>
              <w:tblpPr w:leftFromText="180" w:rightFromText="180" w:vertAnchor="text" w:tblpXSpec="center" w:tblpY="1"/>
              <w:tblOverlap w:val="never"/>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763"/>
              <w:gridCol w:w="954"/>
              <w:gridCol w:w="8274"/>
              <w:gridCol w:w="3175"/>
              <w:gridCol w:w="767"/>
            </w:tblGrid>
            <w:tr w14:paraId="3A7C068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7" w:hRule="atLeast"/>
                <w:tblHeader/>
                <w:jc w:val="center"/>
              </w:trPr>
              <w:tc>
                <w:tcPr>
                  <w:tcW w:w="1717" w:type="dxa"/>
                  <w:gridSpan w:val="2"/>
                  <w:noWrap w:val="0"/>
                  <w:vAlign w:val="center"/>
                </w:tcPr>
                <w:p w14:paraId="5549241F">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类别</w:t>
                  </w:r>
                </w:p>
              </w:tc>
              <w:tc>
                <w:tcPr>
                  <w:tcW w:w="8274" w:type="dxa"/>
                  <w:noWrap w:val="0"/>
                  <w:vAlign w:val="center"/>
                </w:tcPr>
                <w:p w14:paraId="0CC46688">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公告要求</w:t>
                  </w:r>
                </w:p>
              </w:tc>
              <w:tc>
                <w:tcPr>
                  <w:tcW w:w="3175" w:type="dxa"/>
                  <w:noWrap w:val="0"/>
                  <w:vAlign w:val="center"/>
                </w:tcPr>
                <w:p w14:paraId="031B85B1">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本项目情况</w:t>
                  </w:r>
                </w:p>
              </w:tc>
              <w:tc>
                <w:tcPr>
                  <w:tcW w:w="767" w:type="dxa"/>
                  <w:noWrap w:val="0"/>
                  <w:vAlign w:val="center"/>
                </w:tcPr>
                <w:p w14:paraId="36E1AD5E">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相符性</w:t>
                  </w:r>
                </w:p>
              </w:tc>
            </w:tr>
            <w:tr w14:paraId="4EA026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restart"/>
                  <w:noWrap w:val="0"/>
                  <w:vAlign w:val="center"/>
                </w:tcPr>
                <w:p w14:paraId="35F65246">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省域生态环境管控要求</w:t>
                  </w:r>
                </w:p>
              </w:tc>
              <w:tc>
                <w:tcPr>
                  <w:tcW w:w="954" w:type="dxa"/>
                  <w:noWrap w:val="0"/>
                  <w:vAlign w:val="center"/>
                </w:tcPr>
                <w:p w14:paraId="7232813A">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空间布局约束</w:t>
                  </w:r>
                </w:p>
              </w:tc>
              <w:tc>
                <w:tcPr>
                  <w:tcW w:w="8274" w:type="dxa"/>
                  <w:noWrap w:val="0"/>
                  <w:vAlign w:val="center"/>
                </w:tcPr>
                <w:p w14:paraId="30A0A26B">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按照《自然资源部生态环境部国家林业和草原局关于加强生态保护红线管理的通知（试行）》（自然资发〔2022〕142号）、《省政府关于印发江苏省生态空间管控区域规划的通知》（苏政发〔2020〕1号）、《关于进一步加强生态保护红线监督管理的通知》（苏自然函（2023）880号）、《江苏省国土空间规划（2021</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rPr>
                    <w:t>2035年）》（国函〔2023〕69号），坚持节约优先、保护优先、自然恢复为主的方针，以改善生态环境质量为核心，以保障和维护生态功能为主线，统筹山水林田湖草</w:t>
                  </w:r>
                  <w:r>
                    <w:rPr>
                      <w:rFonts w:hint="eastAsia" w:ascii="Times New Roman" w:hAnsi="Times New Roman" w:eastAsia="宋体" w:cs="Times New Roman"/>
                      <w:color w:val="auto"/>
                      <w:sz w:val="21"/>
                      <w:szCs w:val="21"/>
                      <w:lang w:eastAsia="zh-CN"/>
                    </w:rPr>
                    <w:t>一</w:t>
                  </w:r>
                  <w:r>
                    <w:rPr>
                      <w:rFonts w:hint="default" w:ascii="Times New Roman" w:hAnsi="Times New Roman" w:eastAsia="宋体" w:cs="Times New Roman"/>
                      <w:color w:val="auto"/>
                      <w:sz w:val="21"/>
                      <w:szCs w:val="21"/>
                    </w:rPr>
                    <w:t>体化保护和修复，严守生态保护红线，实行最严格的生态空间管控制度，确保全省生态功能不降低、面积不减少、性质不改变，切实维护生态安全。生态保护红线不低于1.82万平方千米，其中海洋生态保护红线不低于0.95万平方千米。</w:t>
                  </w:r>
                </w:p>
                <w:p w14:paraId="50C32675">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牢牢把握推动长江经济带发展“共抓大保护，不搞大开发”战略导向，对省域范围内需要重点保护的岸线、河段和区域实行严格管控，管住控好排放量大、耗能高、产能过剩的产业，推动长江经济带高质量发展。</w:t>
                  </w:r>
                </w:p>
                <w:p w14:paraId="504D73BF">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3.大幅压减沿长江干支流两侧1公里范围内、环境敏感区域、城镇人口密集区、化工园区外和规模以下化工生产企业，着力破解“重化围江”突出问题，高起点同步推进沿江地区战略性转型和沿海地区战略性布局。</w:t>
                  </w:r>
                </w:p>
                <w:p w14:paraId="63EA7B60">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全省钢铁行业坚持布局调整和产能整合相结合，坚持企业搬迁与转型升级相结合，鼓励有条件的企业实施跨地区、跨所有制的兼并重组，高起点、高标准规划建设沿海精品钢基地，做精做优沿江特钢产业基地，加快推动全省钢铁行业转型升级优化布局。</w:t>
                  </w:r>
                </w:p>
                <w:p w14:paraId="02171D5D">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对列入国家和省规划，涉及生态保护红线和相关法定保护区的重大民生项目、重大基础设施项目（交通基础设施项目等），应优化空间布局（选线）、主动避让；确实无法避让的，应采取无害化方式（如无害化穿、跨越方式等），依法依规履行行政审批手续，强化减缓生态环境影响和生态补偿措施。</w:t>
                  </w:r>
                </w:p>
              </w:tc>
              <w:tc>
                <w:tcPr>
                  <w:tcW w:w="3175" w:type="dxa"/>
                  <w:noWrap w:val="0"/>
                  <w:vAlign w:val="center"/>
                </w:tcPr>
                <w:p w14:paraId="74F2603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1.本项目位于</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sz w:val="21"/>
                      <w:szCs w:val="21"/>
                    </w:rPr>
                    <w:t>，所在地不属于生态空间管控区、生态红线保护区，符合苏政发</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2020</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1号等文件要求。</w:t>
                  </w:r>
                </w:p>
                <w:p w14:paraId="1B36C7FE">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lang w:val="en-US" w:eastAsia="zh-CN"/>
                    </w:rPr>
                    <w:t>2.</w:t>
                  </w:r>
                  <w:r>
                    <w:rPr>
                      <w:rFonts w:hint="eastAsia" w:ascii="Times New Roman" w:hAnsi="Times New Roman" w:eastAsia="宋体" w:cs="Times New Roman"/>
                      <w:color w:val="auto"/>
                      <w:sz w:val="21"/>
                      <w:szCs w:val="21"/>
                      <w:highlight w:val="none"/>
                      <w:lang w:val="en-US" w:eastAsia="zh-CN"/>
                    </w:rPr>
                    <w:t>本</w:t>
                  </w:r>
                  <w:r>
                    <w:rPr>
                      <w:rFonts w:hint="default" w:ascii="Times New Roman" w:hAnsi="Times New Roman" w:eastAsia="宋体" w:cs="Times New Roman"/>
                      <w:b w:val="0"/>
                      <w:bCs/>
                      <w:color w:val="auto"/>
                      <w:sz w:val="21"/>
                      <w:szCs w:val="21"/>
                    </w:rPr>
                    <w:t>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b w:val="0"/>
                      <w:bCs/>
                      <w:color w:val="auto"/>
                      <w:sz w:val="21"/>
                      <w:szCs w:val="21"/>
                      <w:lang w:val="en-US" w:eastAsia="zh-CN"/>
                    </w:rPr>
                    <w:t>，</w:t>
                  </w:r>
                  <w:r>
                    <w:rPr>
                      <w:rFonts w:hint="default" w:ascii="Times New Roman" w:hAnsi="Times New Roman" w:eastAsia="宋体" w:cs="Times New Roman"/>
                      <w:color w:val="auto"/>
                      <w:sz w:val="21"/>
                      <w:szCs w:val="21"/>
                    </w:rPr>
                    <w:t>不在《环境保护综合名录（2021年版）》“高污染、高环境风险”产品名录中，不属于国家产能置换要求的严重过剩产能行业的项目。</w:t>
                  </w:r>
                </w:p>
                <w:p w14:paraId="3E7C7DAC">
                  <w:pPr>
                    <w:pStyle w:val="92"/>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outlineLvl w:val="9"/>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3.本项目不在长江干支流两侧1公里范围内；</w:t>
                  </w:r>
                </w:p>
                <w:p w14:paraId="7BF1BD43">
                  <w:pPr>
                    <w:pStyle w:val="92"/>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outlineLvl w:val="9"/>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4.本项目不属于钢铁行业；</w:t>
                  </w:r>
                </w:p>
                <w:p w14:paraId="291D61CB">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lang w:val="en-US" w:eastAsia="zh-CN"/>
                    </w:rPr>
                    <w:t>5.不属于国家和省规划，涉及生态保护红线和相关法定保护区的重大民生项目、重大基础设施项目。</w:t>
                  </w:r>
                </w:p>
              </w:tc>
              <w:tc>
                <w:tcPr>
                  <w:tcW w:w="767" w:type="dxa"/>
                  <w:noWrap w:val="0"/>
                  <w:vAlign w:val="center"/>
                </w:tcPr>
                <w:p w14:paraId="1D290623">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73950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763" w:type="dxa"/>
                  <w:vMerge w:val="continue"/>
                  <w:noWrap w:val="0"/>
                  <w:vAlign w:val="center"/>
                </w:tcPr>
                <w:p w14:paraId="183E7485">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5B96BF1E">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污染物排放管控</w:t>
                  </w:r>
                </w:p>
              </w:tc>
              <w:tc>
                <w:tcPr>
                  <w:tcW w:w="8274" w:type="dxa"/>
                  <w:noWrap w:val="0"/>
                  <w:vAlign w:val="center"/>
                </w:tcPr>
                <w:p w14:paraId="1F2F6949">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1.坚持生态环境质量只能更好、不能变坏，实施污染物总量控制，以环境容量定产业、定项目、定规模，确保开发建设行为不突破生态环境承载力。</w:t>
                  </w:r>
                </w:p>
                <w:p w14:paraId="5304CD13">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2.2025年，主要污染物排放减排完成国家下达任务，单位工业增加值二氧化碳排放量下降20%，主要高耗能行业单位产品二氧化碳排放达到世界先进水平。实施氮氧化物（NOx）和VOCs协同减排，推进多污染物和关联区域连防联控。</w:t>
                  </w:r>
                </w:p>
              </w:tc>
              <w:tc>
                <w:tcPr>
                  <w:tcW w:w="3175" w:type="dxa"/>
                  <w:noWrap w:val="0"/>
                  <w:vAlign w:val="center"/>
                </w:tcPr>
                <w:p w14:paraId="29FA9993">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1.本项目污染物总量在</w:t>
                  </w:r>
                  <w:r>
                    <w:rPr>
                      <w:rFonts w:hint="default" w:ascii="Times New Roman" w:hAnsi="Times New Roman" w:eastAsia="宋体" w:cs="Times New Roman"/>
                      <w:color w:val="auto"/>
                      <w:sz w:val="21"/>
                      <w:szCs w:val="21"/>
                      <w:lang w:eastAsia="zh-CN"/>
                    </w:rPr>
                    <w:t>淮阴区范围</w:t>
                  </w:r>
                  <w:r>
                    <w:rPr>
                      <w:rFonts w:hint="default" w:ascii="Times New Roman" w:hAnsi="Times New Roman" w:eastAsia="宋体" w:cs="Times New Roman"/>
                      <w:color w:val="auto"/>
                      <w:sz w:val="21"/>
                      <w:szCs w:val="21"/>
                    </w:rPr>
                    <w:t>内平衡</w:t>
                  </w:r>
                  <w:r>
                    <w:rPr>
                      <w:rFonts w:hint="default" w:ascii="Times New Roman" w:hAnsi="Times New Roman" w:eastAsia="宋体" w:cs="Times New Roman"/>
                      <w:color w:val="auto"/>
                      <w:sz w:val="21"/>
                      <w:szCs w:val="21"/>
                      <w:lang w:eastAsia="zh-CN"/>
                    </w:rPr>
                    <w:t>，不会突破生态环境承载力。</w:t>
                  </w:r>
                </w:p>
                <w:p w14:paraId="6F3F8068">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2.本项目</w:t>
                  </w:r>
                  <w:r>
                    <w:rPr>
                      <w:rFonts w:hint="eastAsia" w:ascii="Times New Roman" w:hAnsi="Times New Roman" w:eastAsia="宋体" w:cs="Times New Roman"/>
                      <w:color w:val="auto"/>
                      <w:sz w:val="21"/>
                      <w:szCs w:val="21"/>
                      <w:lang w:eastAsia="zh-CN"/>
                    </w:rPr>
                    <w:t>采取有效措施处理有机废气减少</w:t>
                  </w:r>
                  <w:r>
                    <w:rPr>
                      <w:rFonts w:hint="default" w:ascii="Times New Roman" w:hAnsi="Times New Roman" w:eastAsia="宋体" w:cs="Times New Roman"/>
                      <w:color w:val="auto"/>
                      <w:sz w:val="21"/>
                      <w:szCs w:val="21"/>
                    </w:rPr>
                    <w:t>VOCs排放。</w:t>
                  </w:r>
                </w:p>
              </w:tc>
              <w:tc>
                <w:tcPr>
                  <w:tcW w:w="767" w:type="dxa"/>
                  <w:noWrap w:val="0"/>
                  <w:vAlign w:val="center"/>
                </w:tcPr>
                <w:p w14:paraId="7EA2C59B">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70713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continue"/>
                  <w:noWrap w:val="0"/>
                  <w:vAlign w:val="center"/>
                </w:tcPr>
                <w:p w14:paraId="1A5700B9">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7BB8204C">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环境风险防控</w:t>
                  </w:r>
                </w:p>
              </w:tc>
              <w:tc>
                <w:tcPr>
                  <w:tcW w:w="8274" w:type="dxa"/>
                  <w:noWrap w:val="0"/>
                  <w:vAlign w:val="center"/>
                </w:tcPr>
                <w:p w14:paraId="42A5F58D">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1.强化饮用水水源环境风险管控。县级以上城市全部建成应急水源或双源供水。</w:t>
                  </w:r>
                </w:p>
                <w:p w14:paraId="6C2A458E">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强化化工行业环境风险管控。重点加强化学工业园区、涉及大宗危化品使用企业、贮存和运输危化品的港口码头、尾矿库、集中式污水处理厂、危废处理企业的环境风险防控；严厉打击危险废物非法转移、处置和倾倒行为；加强关闭搬迁化工企业及遗留地块的调查评估、风险管控、治理修复。</w:t>
                  </w:r>
                </w:p>
                <w:p w14:paraId="63F3030B">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3.强化环境事故应急管理。深化跨部门、跨区域环境应急协调联动，分区域建立环境应急物资储备库。各级工业园区（集聚区）和企业的环境应急装备和储备物资应纳入储备体系。</w:t>
                  </w:r>
                </w:p>
                <w:p w14:paraId="15024BFB">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强化环境风险防控能力建设。按照统一信息平台、统一监管力度、统一应急等级、协同应急救援的思路，在沿江发展带、沿海发展带、环太湖等地区构建区域性环境风险预警应急响应机制，实施区域突发环境风险预警联防联控。</w:t>
                  </w:r>
                </w:p>
              </w:tc>
              <w:tc>
                <w:tcPr>
                  <w:tcW w:w="3175" w:type="dxa"/>
                  <w:noWrap w:val="0"/>
                  <w:vAlign w:val="center"/>
                </w:tcPr>
                <w:p w14:paraId="60EA1267">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本</w:t>
                  </w:r>
                  <w:r>
                    <w:rPr>
                      <w:rFonts w:hint="default" w:ascii="Times New Roman" w:hAnsi="Times New Roman" w:eastAsia="宋体" w:cs="Times New Roman"/>
                      <w:b w:val="0"/>
                      <w:bCs/>
                      <w:color w:val="auto"/>
                      <w:sz w:val="21"/>
                      <w:szCs w:val="21"/>
                    </w:rPr>
                    <w:t>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color w:val="auto"/>
                      <w:sz w:val="21"/>
                      <w:szCs w:val="21"/>
                    </w:rPr>
                    <w:t>，不属于化工行业，项目建成后及时开展突发环境事件应急预案编制并备案，配备相应的应急物资，并加强与区域应急管理部门之间的联动。</w:t>
                  </w:r>
                </w:p>
              </w:tc>
              <w:tc>
                <w:tcPr>
                  <w:tcW w:w="767" w:type="dxa"/>
                  <w:noWrap w:val="0"/>
                  <w:vAlign w:val="center"/>
                </w:tcPr>
                <w:p w14:paraId="7DC91EFE">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5D9C9A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continue"/>
                  <w:noWrap w:val="0"/>
                  <w:vAlign w:val="center"/>
                </w:tcPr>
                <w:p w14:paraId="296E0609">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6CD7910A">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资源利用效率要求</w:t>
                  </w:r>
                </w:p>
              </w:tc>
              <w:tc>
                <w:tcPr>
                  <w:tcW w:w="8274" w:type="dxa"/>
                  <w:noWrap w:val="0"/>
                  <w:vAlign w:val="center"/>
                </w:tcPr>
                <w:p w14:paraId="39428172">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1.水资源利用总量及效率要求：到2025年，全省用水总量控制在525.9亿立方米以内，万元地区生产总值用水量、万元工业增加值用水量下降完成国家下达目标，农田灌溉水有效利用系数提高到0.625。</w:t>
                  </w:r>
                </w:p>
                <w:p w14:paraId="4FDDD56A">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2.土地资源总量要求：到2025年，江苏省耕地保有量不低于5977万亩，其中永久基本农田保护面积不低于5344万亩。</w:t>
                  </w:r>
                </w:p>
                <w:p w14:paraId="5F4D36AF">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3.禁燃区要求：在禁燃区内，禁止销售、燃用高污染燃料；禁止新建、扩建燃用高污染燃料的设施，已建成的，应当在城市人民政府规定的期限内改用天然气、页岩气、液化石油气、电或者其他清洁能源。</w:t>
                  </w:r>
                </w:p>
              </w:tc>
              <w:tc>
                <w:tcPr>
                  <w:tcW w:w="3175" w:type="dxa"/>
                  <w:noWrap w:val="0"/>
                  <w:vAlign w:val="center"/>
                </w:tcPr>
                <w:p w14:paraId="7C6D0FB1">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1.本项目不属于高耗水企业。</w:t>
                  </w:r>
                </w:p>
                <w:p w14:paraId="304E3579">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2.本项目位于</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sz w:val="21"/>
                      <w:szCs w:val="21"/>
                    </w:rPr>
                    <w:t>，用地性质为</w:t>
                  </w:r>
                  <w:r>
                    <w:rPr>
                      <w:rFonts w:hint="eastAsia" w:ascii="Times New Roman" w:hAnsi="Times New Roman" w:eastAsia="宋体" w:cs="Times New Roman"/>
                      <w:color w:val="auto"/>
                      <w:sz w:val="21"/>
                      <w:szCs w:val="21"/>
                      <w:lang w:eastAsia="zh-CN"/>
                    </w:rPr>
                    <w:t>建设用地</w:t>
                  </w:r>
                  <w:r>
                    <w:rPr>
                      <w:rFonts w:hint="default" w:ascii="Times New Roman" w:hAnsi="Times New Roman" w:eastAsia="宋体" w:cs="Times New Roman"/>
                      <w:color w:val="auto"/>
                      <w:sz w:val="21"/>
                      <w:szCs w:val="21"/>
                    </w:rPr>
                    <w:t>，不占用基本农田，不影响区域土地资源总量。</w:t>
                  </w:r>
                </w:p>
                <w:p w14:paraId="0C28676A">
                  <w:pPr>
                    <w:keepNext w:val="0"/>
                    <w:keepLines w:val="0"/>
                    <w:pageBreakBefore w:val="0"/>
                    <w:kinsoku/>
                    <w:wordWrap/>
                    <w:overflowPunct/>
                    <w:topLinePunct w:val="0"/>
                    <w:bidi w:val="0"/>
                    <w:adjustRightInd w:val="0"/>
                    <w:snapToGrid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3、本项目不使用高污染燃料。</w:t>
                  </w:r>
                </w:p>
              </w:tc>
              <w:tc>
                <w:tcPr>
                  <w:tcW w:w="767" w:type="dxa"/>
                  <w:noWrap w:val="0"/>
                  <w:vAlign w:val="center"/>
                </w:tcPr>
                <w:p w14:paraId="6189E388">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07F529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restart"/>
                  <w:noWrap w:val="0"/>
                  <w:vAlign w:val="center"/>
                </w:tcPr>
                <w:p w14:paraId="4B0F70C8">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重点区域（流域）-淮河流域</w:t>
                  </w:r>
                </w:p>
              </w:tc>
              <w:tc>
                <w:tcPr>
                  <w:tcW w:w="954" w:type="dxa"/>
                  <w:noWrap w:val="0"/>
                  <w:vAlign w:val="center"/>
                </w:tcPr>
                <w:p w14:paraId="12C8A56D">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空间布局约束</w:t>
                  </w:r>
                </w:p>
              </w:tc>
              <w:tc>
                <w:tcPr>
                  <w:tcW w:w="8274" w:type="dxa"/>
                  <w:noWrap w:val="0"/>
                  <w:vAlign w:val="center"/>
                </w:tcPr>
                <w:p w14:paraId="6FEE9491">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1.禁止在淮河流域新建化学制浆造纸企业，禁止在淮河流域新建制革、化工、印染、电镀、酿造等污染严重的小型企业。</w:t>
                  </w:r>
                </w:p>
                <w:p w14:paraId="6B57AC90">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落实《江苏省通榆河水污染防治条例》，在通榆河一级保护区、二级保护区，禁止新建、改建、扩建制浆、造纸、化工、制革、酿造、染料、印染、电镀、炼油、铅酸蓄电池和排放水污染物的黑色金属冶炼及压延加工项目、有色金属冶炼及压延加工项目、金属制品项目等污染环境的项目。</w:t>
                  </w:r>
                </w:p>
                <w:p w14:paraId="4BEDFEA3">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3.在通榆河一级保护区，禁止新建、扩建直接或者间接向水体排放污染物的项目，禁止建设工业固体废物集中贮存、利用、处置设施或者场所以及城市生活垃圾填埋场，禁止新建规模化畜禽养殖场。</w:t>
                  </w:r>
                </w:p>
              </w:tc>
              <w:tc>
                <w:tcPr>
                  <w:tcW w:w="3175" w:type="dxa"/>
                  <w:noWrap w:val="0"/>
                  <w:vAlign w:val="center"/>
                </w:tcPr>
                <w:p w14:paraId="23B6EA4A">
                  <w:pPr>
                    <w:pStyle w:val="34"/>
                    <w:keepNext w:val="0"/>
                    <w:keepLines w:val="0"/>
                    <w:pageBreakBefore w:val="0"/>
                    <w:kinsoku/>
                    <w:wordWrap/>
                    <w:overflowPunct/>
                    <w:topLinePunct w:val="0"/>
                    <w:bidi w:val="0"/>
                    <w:spacing w:line="360" w:lineRule="exact"/>
                    <w:jc w:val="both"/>
                    <w:textAlignment w:val="auto"/>
                    <w:outlineLvl w:val="9"/>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1、项目为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b w:val="0"/>
                      <w:bCs/>
                      <w:color w:val="auto"/>
                      <w:sz w:val="21"/>
                      <w:szCs w:val="21"/>
                    </w:rPr>
                    <w:t>，不属于制革、化工、印染、电镀、酿造等项目。</w:t>
                  </w:r>
                </w:p>
                <w:p w14:paraId="61544599">
                  <w:pPr>
                    <w:pStyle w:val="34"/>
                    <w:keepNext w:val="0"/>
                    <w:keepLines w:val="0"/>
                    <w:pageBreakBefore w:val="0"/>
                    <w:kinsoku/>
                    <w:wordWrap/>
                    <w:overflowPunct/>
                    <w:topLinePunct w:val="0"/>
                    <w:bidi w:val="0"/>
                    <w:spacing w:line="360" w:lineRule="exact"/>
                    <w:jc w:val="both"/>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b w:val="0"/>
                      <w:bCs/>
                      <w:color w:val="auto"/>
                      <w:sz w:val="21"/>
                      <w:szCs w:val="21"/>
                    </w:rPr>
                    <w:t>2、项目位于</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b w:val="0"/>
                      <w:bCs/>
                      <w:snapToGrid w:val="0"/>
                      <w:color w:val="auto"/>
                      <w:sz w:val="21"/>
                      <w:szCs w:val="21"/>
                    </w:rPr>
                    <w:t>，</w:t>
                  </w:r>
                  <w:r>
                    <w:rPr>
                      <w:rFonts w:hint="default" w:ascii="Times New Roman" w:hAnsi="Times New Roman" w:eastAsia="宋体" w:cs="Times New Roman"/>
                      <w:b w:val="0"/>
                      <w:bCs/>
                      <w:color w:val="auto"/>
                      <w:sz w:val="21"/>
                      <w:szCs w:val="21"/>
                    </w:rPr>
                    <w:t>不在通榆河一、二级保护区范围内。</w:t>
                  </w:r>
                </w:p>
              </w:tc>
              <w:tc>
                <w:tcPr>
                  <w:tcW w:w="767" w:type="dxa"/>
                  <w:noWrap w:val="0"/>
                  <w:vAlign w:val="center"/>
                </w:tcPr>
                <w:p w14:paraId="253CDB62">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1CB851C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continue"/>
                  <w:noWrap w:val="0"/>
                  <w:vAlign w:val="center"/>
                </w:tcPr>
                <w:p w14:paraId="3934BF4A">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0685256C">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污染物排放管控</w:t>
                  </w:r>
                </w:p>
              </w:tc>
              <w:tc>
                <w:tcPr>
                  <w:tcW w:w="8274" w:type="dxa"/>
                  <w:noWrap w:val="0"/>
                  <w:vAlign w:val="center"/>
                </w:tcPr>
                <w:p w14:paraId="3FF9D2B7">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按照《淮河流域水污染防治暂行条例》实施排污总量控制制度。</w:t>
                  </w:r>
                </w:p>
              </w:tc>
              <w:tc>
                <w:tcPr>
                  <w:tcW w:w="3175" w:type="dxa"/>
                  <w:noWrap w:val="0"/>
                  <w:vAlign w:val="center"/>
                </w:tcPr>
                <w:p w14:paraId="7BE77AA3">
                  <w:pPr>
                    <w:pStyle w:val="34"/>
                    <w:keepNext w:val="0"/>
                    <w:keepLines w:val="0"/>
                    <w:pageBreakBefore w:val="0"/>
                    <w:kinsoku/>
                    <w:wordWrap/>
                    <w:overflowPunct/>
                    <w:topLinePunct w:val="0"/>
                    <w:bidi w:val="0"/>
                    <w:spacing w:line="360" w:lineRule="exact"/>
                    <w:jc w:val="both"/>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b w:val="0"/>
                      <w:bCs/>
                      <w:color w:val="auto"/>
                      <w:sz w:val="21"/>
                      <w:szCs w:val="21"/>
                    </w:rPr>
                    <w:t>项目无</w:t>
                  </w:r>
                  <w:r>
                    <w:rPr>
                      <w:rFonts w:hint="eastAsia" w:ascii="Times New Roman" w:hAnsi="Times New Roman" w:eastAsia="宋体" w:cs="Times New Roman"/>
                      <w:b w:val="0"/>
                      <w:bCs/>
                      <w:color w:val="auto"/>
                      <w:sz w:val="21"/>
                      <w:szCs w:val="21"/>
                      <w:lang w:eastAsia="zh-CN"/>
                    </w:rPr>
                    <w:t>生产</w:t>
                  </w:r>
                  <w:r>
                    <w:rPr>
                      <w:rFonts w:hint="default" w:ascii="Times New Roman" w:hAnsi="Times New Roman" w:eastAsia="宋体" w:cs="Times New Roman"/>
                      <w:b w:val="0"/>
                      <w:bCs/>
                      <w:color w:val="auto"/>
                      <w:sz w:val="21"/>
                      <w:szCs w:val="21"/>
                    </w:rPr>
                    <w:t>废水外排，废水无需申请总量。</w:t>
                  </w:r>
                </w:p>
              </w:tc>
              <w:tc>
                <w:tcPr>
                  <w:tcW w:w="767" w:type="dxa"/>
                  <w:noWrap w:val="0"/>
                  <w:vAlign w:val="center"/>
                </w:tcPr>
                <w:p w14:paraId="688C9B54">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3C332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continue"/>
                  <w:noWrap w:val="0"/>
                  <w:vAlign w:val="center"/>
                </w:tcPr>
                <w:p w14:paraId="5129A6DE">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286A695A">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环境风险管控</w:t>
                  </w:r>
                </w:p>
              </w:tc>
              <w:tc>
                <w:tcPr>
                  <w:tcW w:w="8274" w:type="dxa"/>
                  <w:noWrap w:val="0"/>
                  <w:vAlign w:val="center"/>
                </w:tcPr>
                <w:p w14:paraId="29DEDB62">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禁止运输剧毒化学品以及国家规定禁止通过内河运输的其他危险化学品的船舶进入通榆河及主要供水河道。</w:t>
                  </w:r>
                </w:p>
              </w:tc>
              <w:tc>
                <w:tcPr>
                  <w:tcW w:w="3175" w:type="dxa"/>
                  <w:noWrap w:val="0"/>
                  <w:vAlign w:val="center"/>
                </w:tcPr>
                <w:p w14:paraId="38AFDD1E">
                  <w:pPr>
                    <w:pStyle w:val="34"/>
                    <w:keepNext w:val="0"/>
                    <w:keepLines w:val="0"/>
                    <w:pageBreakBefore w:val="0"/>
                    <w:kinsoku/>
                    <w:wordWrap/>
                    <w:overflowPunct/>
                    <w:topLinePunct w:val="0"/>
                    <w:bidi w:val="0"/>
                    <w:spacing w:line="360" w:lineRule="exact"/>
                    <w:jc w:val="both"/>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color w:val="auto"/>
                      <w:sz w:val="21"/>
                      <w:szCs w:val="21"/>
                    </w:rPr>
                    <w:t>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b w:val="0"/>
                      <w:bCs/>
                      <w:color w:val="auto"/>
                      <w:sz w:val="21"/>
                      <w:szCs w:val="21"/>
                    </w:rPr>
                    <w:t>，</w:t>
                  </w:r>
                  <w:r>
                    <w:rPr>
                      <w:rFonts w:hint="eastAsia" w:ascii="Times New Roman" w:cs="Times New Roman"/>
                      <w:b w:val="0"/>
                      <w:bCs/>
                      <w:color w:val="auto"/>
                      <w:sz w:val="21"/>
                      <w:szCs w:val="21"/>
                      <w:lang w:val="en-US" w:eastAsia="zh-CN"/>
                    </w:rPr>
                    <w:t>项目使用的原辅料均通过汽车进行运输</w:t>
                  </w:r>
                  <w:r>
                    <w:rPr>
                      <w:rFonts w:hint="eastAsia" w:ascii="Times New Roman" w:hAnsi="Times New Roman" w:eastAsia="宋体" w:cs="Times New Roman"/>
                      <w:b w:val="0"/>
                      <w:bCs/>
                      <w:color w:val="auto"/>
                      <w:sz w:val="21"/>
                      <w:szCs w:val="21"/>
                      <w:lang w:val="en-US" w:eastAsia="zh-CN"/>
                    </w:rPr>
                    <w:t>，不涉及内河运输。</w:t>
                  </w:r>
                </w:p>
              </w:tc>
              <w:tc>
                <w:tcPr>
                  <w:tcW w:w="767" w:type="dxa"/>
                  <w:noWrap w:val="0"/>
                  <w:vAlign w:val="center"/>
                </w:tcPr>
                <w:p w14:paraId="43D199A5">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3C59E3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63" w:type="dxa"/>
                  <w:vMerge w:val="continue"/>
                  <w:noWrap w:val="0"/>
                  <w:vAlign w:val="center"/>
                </w:tcPr>
                <w:p w14:paraId="1BE68CC6">
                  <w:pPr>
                    <w:keepNext w:val="0"/>
                    <w:keepLines w:val="0"/>
                    <w:pageBreakBefore w:val="0"/>
                    <w:widowControl/>
                    <w:kinsoku/>
                    <w:wordWrap/>
                    <w:overflowPunct/>
                    <w:topLinePunct w:val="0"/>
                    <w:bidi w:val="0"/>
                    <w:spacing w:line="360" w:lineRule="exact"/>
                    <w:ind w:firstLine="0" w:firstLineChars="0"/>
                    <w:jc w:val="left"/>
                    <w:textAlignment w:val="auto"/>
                    <w:outlineLvl w:val="9"/>
                    <w:rPr>
                      <w:rFonts w:hint="default" w:ascii="Times New Roman" w:hAnsi="Times New Roman" w:eastAsia="宋体" w:cs="Times New Roman"/>
                      <w:color w:val="auto"/>
                      <w:sz w:val="21"/>
                      <w:szCs w:val="21"/>
                    </w:rPr>
                  </w:pPr>
                </w:p>
              </w:tc>
              <w:tc>
                <w:tcPr>
                  <w:tcW w:w="954" w:type="dxa"/>
                  <w:noWrap w:val="0"/>
                  <w:vAlign w:val="center"/>
                </w:tcPr>
                <w:p w14:paraId="41AA6560">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资源利用效率要求</w:t>
                  </w:r>
                </w:p>
              </w:tc>
              <w:tc>
                <w:tcPr>
                  <w:tcW w:w="8274" w:type="dxa"/>
                  <w:noWrap w:val="0"/>
                  <w:vAlign w:val="center"/>
                </w:tcPr>
                <w:p w14:paraId="76625D07">
                  <w:pPr>
                    <w:keepNext w:val="0"/>
                    <w:keepLines w:val="0"/>
                    <w:pageBreakBefore w:val="0"/>
                    <w:kinsoku/>
                    <w:wordWrap/>
                    <w:overflowPunct/>
                    <w:topLinePunct w:val="0"/>
                    <w:bidi w:val="0"/>
                    <w:adjustRightInd w:val="0"/>
                    <w:snapToGrid w:val="0"/>
                    <w:spacing w:line="360" w:lineRule="exact"/>
                    <w:ind w:firstLine="0" w:firstLineChars="0"/>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限制缺水地区发展耗水型产业，调整缺水地区的产业结构，严格控制高耗水、高耗能和重污染的建设项目。</w:t>
                  </w:r>
                </w:p>
              </w:tc>
              <w:tc>
                <w:tcPr>
                  <w:tcW w:w="3175" w:type="dxa"/>
                  <w:noWrap w:val="0"/>
                  <w:vAlign w:val="center"/>
                </w:tcPr>
                <w:p w14:paraId="776A9203">
                  <w:pPr>
                    <w:pStyle w:val="34"/>
                    <w:keepNext w:val="0"/>
                    <w:keepLines w:val="0"/>
                    <w:pageBreakBefore w:val="0"/>
                    <w:kinsoku/>
                    <w:wordWrap/>
                    <w:overflowPunct/>
                    <w:topLinePunct w:val="0"/>
                    <w:bidi w:val="0"/>
                    <w:spacing w:line="360" w:lineRule="exact"/>
                    <w:jc w:val="both"/>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b w:val="0"/>
                      <w:bCs/>
                      <w:color w:val="auto"/>
                      <w:sz w:val="21"/>
                      <w:szCs w:val="21"/>
                    </w:rPr>
                    <w:t>项目所在的淮安市位于淮河流域，不属于缺水地区。项目为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b w:val="0"/>
                      <w:bCs/>
                      <w:color w:val="auto"/>
                      <w:sz w:val="21"/>
                      <w:szCs w:val="21"/>
                    </w:rPr>
                    <w:t>，不属于高耗水、高耗能和重污染的建设项目。</w:t>
                  </w:r>
                </w:p>
              </w:tc>
              <w:tc>
                <w:tcPr>
                  <w:tcW w:w="767" w:type="dxa"/>
                  <w:noWrap w:val="0"/>
                  <w:vAlign w:val="center"/>
                </w:tcPr>
                <w:p w14:paraId="4F05266E">
                  <w:pPr>
                    <w:keepNext w:val="0"/>
                    <w:keepLines w:val="0"/>
                    <w:pageBreakBefore w:val="0"/>
                    <w:kinsoku/>
                    <w:wordWrap/>
                    <w:overflowPunct/>
                    <w:topLinePunct w:val="0"/>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bl>
          <w:p w14:paraId="02D36787">
            <w:pPr>
              <w:keepNext w:val="0"/>
              <w:keepLines w:val="0"/>
              <w:pageBreakBefore w:val="0"/>
              <w:widowControl w:val="0"/>
              <w:kinsoku/>
              <w:wordWrap/>
              <w:overflowPunct/>
              <w:topLinePunct w:val="0"/>
              <w:autoSpaceDE/>
              <w:autoSpaceDN/>
              <w:bidi w:val="0"/>
              <w:adjustRightInd w:val="0"/>
              <w:snapToGrid w:val="0"/>
              <w:spacing w:line="500" w:lineRule="atLeast"/>
              <w:ind w:left="0" w:firstLine="440" w:firstLineChars="200"/>
              <w:contextualSpacing/>
              <w:jc w:val="left"/>
              <w:textAlignment w:val="auto"/>
              <w:outlineLvl w:val="9"/>
              <w:rPr>
                <w:rFonts w:hint="default" w:ascii="Times New Roman" w:hAnsi="Times New Roman" w:eastAsia="宋体" w:cs="Times New Roman"/>
                <w:b/>
                <w:color w:val="auto"/>
                <w:kern w:val="2"/>
                <w:sz w:val="22"/>
                <w:szCs w:val="22"/>
                <w:lang w:val="en-US" w:eastAsia="zh-CN" w:bidi="ar-SA"/>
              </w:rPr>
            </w:pPr>
            <w:r>
              <w:rPr>
                <w:rFonts w:hint="eastAsia" w:ascii="Times New Roman" w:hAnsi="Times New Roman" w:eastAsia="宋体" w:cs="Times New Roman"/>
                <w:color w:val="auto"/>
                <w:sz w:val="22"/>
                <w:szCs w:val="22"/>
                <w:lang w:val="zh-CN" w:eastAsia="zh-CN"/>
              </w:rPr>
              <w:t>综上，项目与《江苏省2023年度生态环境分区管控动态更新成果》文件要求相符。</w:t>
            </w:r>
          </w:p>
          <w:p w14:paraId="55D4C309">
            <w:pPr>
              <w:keepNext w:val="0"/>
              <w:keepLines w:val="0"/>
              <w:pageBreakBefore w:val="0"/>
              <w:widowControl w:val="0"/>
              <w:kinsoku/>
              <w:wordWrap/>
              <w:overflowPunct/>
              <w:topLinePunct w:val="0"/>
              <w:autoSpaceDE/>
              <w:autoSpaceDN/>
              <w:bidi w:val="0"/>
              <w:adjustRightInd/>
              <w:snapToGrid/>
              <w:spacing w:line="500" w:lineRule="atLeast"/>
              <w:ind w:left="0" w:firstLine="442" w:firstLineChars="200"/>
              <w:textAlignment w:val="auto"/>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⑹</w:t>
            </w:r>
            <w:r>
              <w:rPr>
                <w:rFonts w:hint="default" w:ascii="Times New Roman" w:hAnsi="Times New Roman" w:eastAsia="宋体" w:cs="Times New Roman"/>
                <w:b/>
                <w:bCs/>
                <w:color w:val="auto"/>
                <w:sz w:val="22"/>
                <w:szCs w:val="22"/>
                <w:lang w:val="en-US" w:eastAsia="zh-CN"/>
              </w:rPr>
              <w:t>与《淮安市生态环境分区管控动态更新成果》（2023版）的相符性分析</w:t>
            </w:r>
          </w:p>
          <w:p w14:paraId="587E539F">
            <w:pPr>
              <w:keepNext w:val="0"/>
              <w:keepLines w:val="0"/>
              <w:pageBreakBefore w:val="0"/>
              <w:widowControl w:val="0"/>
              <w:kinsoku/>
              <w:wordWrap/>
              <w:overflowPunct/>
              <w:topLinePunct w:val="0"/>
              <w:autoSpaceDE/>
              <w:autoSpaceDN/>
              <w:bidi w:val="0"/>
              <w:adjustRightInd/>
              <w:snapToGrid/>
              <w:spacing w:line="500" w:lineRule="atLeast"/>
              <w:ind w:left="0" w:firstLine="440" w:firstLineChars="200"/>
              <w:textAlignment w:val="auto"/>
              <w:outlineLvl w:val="9"/>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zh-CN" w:eastAsia="zh-CN"/>
              </w:rPr>
              <w:t>本</w:t>
            </w:r>
            <w:r>
              <w:rPr>
                <w:rFonts w:hint="default" w:ascii="Times New Roman" w:hAnsi="Times New Roman" w:eastAsia="宋体" w:cs="Times New Roman"/>
                <w:color w:val="auto"/>
                <w:sz w:val="22"/>
                <w:szCs w:val="22"/>
                <w:lang w:val="zh-CN" w:eastAsia="zh-CN"/>
              </w:rPr>
              <w:t>项目与《淮安市生态环境分区管控动态更新成果》（2023版）的相符性分析见表</w:t>
            </w:r>
            <w:r>
              <w:rPr>
                <w:rFonts w:hint="default" w:ascii="Times New Roman" w:hAnsi="Times New Roman" w:eastAsia="宋体" w:cs="Times New Roman"/>
                <w:color w:val="auto"/>
                <w:sz w:val="22"/>
                <w:szCs w:val="22"/>
              </w:rPr>
              <w:t>1.1-</w:t>
            </w:r>
            <w:r>
              <w:rPr>
                <w:rFonts w:hint="default"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rPr>
              <w:t>。</w:t>
            </w:r>
          </w:p>
          <w:p w14:paraId="740EB872">
            <w:pPr>
              <w:keepNext w:val="0"/>
              <w:keepLines w:val="0"/>
              <w:pageBreakBefore w:val="0"/>
              <w:widowControl w:val="0"/>
              <w:kinsoku/>
              <w:wordWrap/>
              <w:overflowPunct/>
              <w:topLinePunct w:val="0"/>
              <w:autoSpaceDE/>
              <w:autoSpaceDN/>
              <w:bidi w:val="0"/>
              <w:adjustRightInd/>
              <w:snapToGrid/>
              <w:spacing w:line="500" w:lineRule="atLeast"/>
              <w:ind w:left="0"/>
              <w:jc w:val="center"/>
              <w:textAlignment w:val="auto"/>
              <w:outlineLvl w:val="9"/>
              <w:rPr>
                <w:rFonts w:hint="default" w:ascii="Times New Roman" w:hAnsi="Times New Roman" w:eastAsia="宋体" w:cs="Times New Roman"/>
                <w:b/>
                <w:bCs/>
                <w:color w:val="auto"/>
                <w:sz w:val="22"/>
                <w:szCs w:val="22"/>
                <w:lang w:val="zh-CN" w:eastAsia="zh-CN"/>
              </w:rPr>
            </w:pPr>
            <w:r>
              <w:rPr>
                <w:rFonts w:hint="default" w:ascii="Times New Roman" w:hAnsi="Times New Roman" w:eastAsia="宋体" w:cs="Times New Roman"/>
                <w:b/>
                <w:bCs/>
                <w:color w:val="auto"/>
                <w:sz w:val="22"/>
                <w:szCs w:val="22"/>
                <w:lang w:val="zh-CN"/>
              </w:rPr>
              <w:t>表1.1-</w:t>
            </w:r>
            <w:r>
              <w:rPr>
                <w:rFonts w:hint="eastAsia" w:ascii="Times New Roman" w:hAnsi="Times New Roman" w:eastAsia="宋体" w:cs="Times New Roman"/>
                <w:b/>
                <w:bCs/>
                <w:color w:val="auto"/>
                <w:sz w:val="22"/>
                <w:szCs w:val="22"/>
                <w:lang w:val="en-US" w:eastAsia="zh-CN"/>
              </w:rPr>
              <w:t xml:space="preserve">4 </w:t>
            </w:r>
            <w:r>
              <w:rPr>
                <w:rFonts w:hint="default" w:ascii="Times New Roman" w:hAnsi="Times New Roman" w:eastAsia="宋体" w:cs="Times New Roman"/>
                <w:b/>
                <w:bCs/>
                <w:color w:val="auto"/>
                <w:sz w:val="22"/>
                <w:szCs w:val="22"/>
                <w:lang w:val="zh-CN"/>
              </w:rPr>
              <w:t xml:space="preserve"> </w:t>
            </w:r>
            <w:r>
              <w:rPr>
                <w:rFonts w:hint="default" w:ascii="Times New Roman" w:hAnsi="Times New Roman" w:eastAsia="宋体" w:cs="Times New Roman"/>
                <w:b/>
                <w:bCs/>
                <w:color w:val="auto"/>
                <w:sz w:val="22"/>
                <w:szCs w:val="22"/>
                <w:lang w:val="zh-CN" w:eastAsia="zh-CN"/>
              </w:rPr>
              <w:t>与《淮安市生态环境分区管控动态更新成果》（2023版）相符性分析</w:t>
            </w:r>
          </w:p>
          <w:tbl>
            <w:tblPr>
              <w:tblStyle w:val="43"/>
              <w:tblpPr w:leftFromText="180" w:rightFromText="180" w:vertAnchor="text" w:tblpXSpec="center" w:tblpY="1"/>
              <w:tblOverlap w:val="never"/>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980"/>
              <w:gridCol w:w="7885"/>
              <w:gridCol w:w="4077"/>
              <w:gridCol w:w="991"/>
            </w:tblGrid>
            <w:tr w14:paraId="4D7928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blHeader/>
              </w:trPr>
              <w:tc>
                <w:tcPr>
                  <w:tcW w:w="980" w:type="dxa"/>
                  <w:noWrap w:val="0"/>
                  <w:vAlign w:val="center"/>
                </w:tcPr>
                <w:p w14:paraId="5A32EADC">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管控类别</w:t>
                  </w:r>
                </w:p>
              </w:tc>
              <w:tc>
                <w:tcPr>
                  <w:tcW w:w="7885" w:type="dxa"/>
                  <w:noWrap w:val="0"/>
                  <w:vAlign w:val="center"/>
                </w:tcPr>
                <w:p w14:paraId="6584A70A">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重点管控要求</w:t>
                  </w:r>
                </w:p>
              </w:tc>
              <w:tc>
                <w:tcPr>
                  <w:tcW w:w="4077" w:type="dxa"/>
                  <w:noWrap w:val="0"/>
                  <w:vAlign w:val="center"/>
                </w:tcPr>
                <w:p w14:paraId="2B102DF0">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符合性分析</w:t>
                  </w:r>
                </w:p>
              </w:tc>
              <w:tc>
                <w:tcPr>
                  <w:tcW w:w="991" w:type="dxa"/>
                  <w:noWrap w:val="0"/>
                  <w:vAlign w:val="center"/>
                </w:tcPr>
                <w:p w14:paraId="18355CED">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符合情况</w:t>
                  </w:r>
                </w:p>
              </w:tc>
            </w:tr>
            <w:tr w14:paraId="528857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980" w:type="dxa"/>
                  <w:noWrap w:val="0"/>
                  <w:vAlign w:val="center"/>
                </w:tcPr>
                <w:p w14:paraId="618E7488">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空间布局约束</w:t>
                  </w:r>
                </w:p>
              </w:tc>
              <w:tc>
                <w:tcPr>
                  <w:tcW w:w="7885" w:type="dxa"/>
                  <w:noWrap w:val="0"/>
                  <w:vAlign w:val="center"/>
                </w:tcPr>
                <w:p w14:paraId="7C9EF469">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严格执行《中共江苏省委江苏省人民政府关于深入打好污染防治攻坚战的实施意见》（2022年1月24日）、《淮安市深入打好净土保卫战实施方案》（淮污防攻坚指办〔2023〕17号）、《淮安市生态碧水三年行动方案》（淮政发〔2022〕12号）等文件要求。</w:t>
                  </w:r>
                </w:p>
                <w:p w14:paraId="1A26C7DA">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2.严格执行《&lt;长江经济带发展负面清单指南（试行，2022年版）&gt;江苏省实施细则》（苏长江办发〔2022〕55号）中相关要求。</w:t>
                  </w:r>
                </w:p>
                <w:p w14:paraId="3E9C624B">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严格执行《淮安市国土空间总体规划（2021-2035年）》中相关要求，坚持最严格的耕地保护制度、生态保护制度和节约用地制度，严格保护耕地资源，落实耕地和永久基本农田保护红线。严格保护湿地资源，强化湿地建设与管理，加快保护区建设与管理；加强其他土地开发的生态影响评价，严禁在生态脆弱和环境敏感地区进行土地开发。</w:t>
                  </w:r>
                </w:p>
                <w:p w14:paraId="73E1A5C3">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4.根据《大运河淮安段核心监控区国土空间管控细则》（淮政规〔2022〕8号），核心监控区内，实行国土空间准入正负面清单管理制度，控制开发规模和强度，禁止不符合主体功能定位的各类开发活动。</w:t>
                  </w:r>
                </w:p>
              </w:tc>
              <w:tc>
                <w:tcPr>
                  <w:tcW w:w="4077" w:type="dxa"/>
                  <w:noWrap w:val="0"/>
                  <w:vAlign w:val="center"/>
                </w:tcPr>
                <w:p w14:paraId="702FCF41">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本项目严格执行《中共江苏省委江苏省人民政府关于深入打好污染防治攻坚战的实施意见》（2022年1月24日）、《淮安市深入打好净土保卫战实施方案》（淮污防攻坚指办〔2023〕17号）、《淮安市生态碧水三年行动方案》（淮政发〔2022〕12号）等文件要求。</w:t>
                  </w:r>
                </w:p>
                <w:p w14:paraId="40AC9FA8">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2.本项目不属于《&lt;长江经济带发展负面清单指南（试行，2022年版）&gt;江苏省实施细则》（苏长江办发〔2022〕55号）中禁止项目。</w:t>
                  </w:r>
                </w:p>
                <w:p w14:paraId="6F1DB60E">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3.本项目符合《淮安市国土空间总体规划（2021-2035年）》中“三区三线”管控要求，不涉及永久基本农田，不涉及生态红线。</w:t>
                  </w:r>
                </w:p>
                <w:p w14:paraId="0DBC43C8">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kern w:val="0"/>
                      <w:sz w:val="21"/>
                      <w:szCs w:val="21"/>
                    </w:rPr>
                    <w:t>4.本项目不在大运河淮安段核心监控区内。</w:t>
                  </w:r>
                </w:p>
              </w:tc>
              <w:tc>
                <w:tcPr>
                  <w:tcW w:w="991" w:type="dxa"/>
                  <w:noWrap w:val="0"/>
                  <w:vAlign w:val="center"/>
                </w:tcPr>
                <w:p w14:paraId="63C8D28D">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相符</w:t>
                  </w:r>
                </w:p>
              </w:tc>
            </w:tr>
            <w:tr w14:paraId="4CBA9E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980" w:type="dxa"/>
                  <w:noWrap w:val="0"/>
                  <w:vAlign w:val="center"/>
                </w:tcPr>
                <w:p w14:paraId="71C60FAD">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污染物排放管控</w:t>
                  </w:r>
                </w:p>
              </w:tc>
              <w:tc>
                <w:tcPr>
                  <w:tcW w:w="7885" w:type="dxa"/>
                  <w:noWrap w:val="0"/>
                  <w:vAlign w:val="center"/>
                </w:tcPr>
                <w:p w14:paraId="41D2823B">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根据《江苏省“十四五”节能减排综合实施方案》（苏政传发〔2022〕224号），到2025年，氮氧化物、挥发性有机物、化学需氧量、氨氮、总氮、总磷等主要污染物重点工程减排量分别达到5425吨、4333吨、10059吨、584吨、1225吨、134吨。</w:t>
                  </w:r>
                </w:p>
              </w:tc>
              <w:tc>
                <w:tcPr>
                  <w:tcW w:w="4077" w:type="dxa"/>
                  <w:noWrap w:val="0"/>
                  <w:vAlign w:val="center"/>
                </w:tcPr>
                <w:p w14:paraId="1AABC700">
                  <w:pPr>
                    <w:keepNext w:val="0"/>
                    <w:keepLines w:val="0"/>
                    <w:pageBreakBefore w:val="0"/>
                    <w:widowControl w:val="0"/>
                    <w:kinsoku/>
                    <w:wordWrap/>
                    <w:overflowPunct/>
                    <w:topLinePunct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本项目污染物总量在</w:t>
                  </w:r>
                  <w:r>
                    <w:rPr>
                      <w:rFonts w:hint="default" w:ascii="Times New Roman" w:hAnsi="Times New Roman" w:eastAsia="宋体" w:cs="Times New Roman"/>
                      <w:color w:val="auto"/>
                      <w:sz w:val="21"/>
                      <w:szCs w:val="21"/>
                      <w:lang w:eastAsia="zh-CN"/>
                    </w:rPr>
                    <w:t>淮阴区</w:t>
                  </w:r>
                  <w:r>
                    <w:rPr>
                      <w:rFonts w:hint="default" w:ascii="Times New Roman" w:hAnsi="Times New Roman" w:eastAsia="宋体" w:cs="Times New Roman"/>
                      <w:color w:val="auto"/>
                      <w:sz w:val="21"/>
                      <w:szCs w:val="21"/>
                    </w:rPr>
                    <w:t>内平衡。</w:t>
                  </w:r>
                </w:p>
              </w:tc>
              <w:tc>
                <w:tcPr>
                  <w:tcW w:w="991" w:type="dxa"/>
                  <w:noWrap w:val="0"/>
                  <w:vAlign w:val="center"/>
                </w:tcPr>
                <w:p w14:paraId="214F536B">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相符</w:t>
                  </w:r>
                </w:p>
              </w:tc>
            </w:tr>
            <w:tr w14:paraId="5B1003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980" w:type="dxa"/>
                  <w:noWrap w:val="0"/>
                  <w:vAlign w:val="center"/>
                </w:tcPr>
                <w:p w14:paraId="292A550B">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环境风险防控</w:t>
                  </w:r>
                </w:p>
              </w:tc>
              <w:tc>
                <w:tcPr>
                  <w:tcW w:w="7885" w:type="dxa"/>
                  <w:noWrap w:val="0"/>
                  <w:vAlign w:val="center"/>
                </w:tcPr>
                <w:p w14:paraId="7887C869">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严格执行《淮安市突发环境事件应急预案》（淮政复〔2020〕67号）、《淮安市集中式饮用水源突发污染事件应急预案》（淮污防攻坚指办〔2020〕58号）、《淮安市辐射事故应急预案》《淮安市重污染天气应急预案》（淮政复〔2021〕24号）等文件要求，建立区域监测预警系统，建立省市县上下联动、区域之间左右联动等联动应急响应体系，实行联防联控。</w:t>
                  </w:r>
                </w:p>
                <w:p w14:paraId="719E6E4C">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根据《中共江苏省委江苏省人民政府关于深入打好污染防治攻坚战的实施意见》（2022年1月24日），完善省、市、县三级环境应急管理体系，健全跨区域、跨部门突发生态环境事件联防联控机制，建成重点敏感保护目标突发水污染事件应急防范体系。开展涉危险废物涉重金属企业、园区等重点领域环境风险调查评估，完成重点河流突发水污染事件“一河一策一图”全覆盖，常态化推进环境风险企业隐患排查。完善环境应急指挥体系，建成区域环境应急基地和应急物资储备库。</w:t>
                  </w:r>
                </w:p>
              </w:tc>
              <w:tc>
                <w:tcPr>
                  <w:tcW w:w="4077" w:type="dxa"/>
                  <w:noWrap w:val="0"/>
                  <w:vAlign w:val="center"/>
                </w:tcPr>
                <w:p w14:paraId="28FF888B">
                  <w:pPr>
                    <w:keepNext w:val="0"/>
                    <w:keepLines w:val="0"/>
                    <w:pageBreakBefore w:val="0"/>
                    <w:widowControl w:val="0"/>
                    <w:kinsoku/>
                    <w:wordWrap w:val="0"/>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bCs/>
                      <w:color w:val="auto"/>
                      <w:kern w:val="2"/>
                      <w:sz w:val="21"/>
                      <w:szCs w:val="21"/>
                    </w:rPr>
                    <w:t>企业将制定并落实各类事故风险防范措施，可有效减少风险事故概率，减轻风险事故后果。企业投产前，按照《企事业单位和工业园区突发环境事件应急预案编制导则》（DB32/T3795-2020）、《江苏省突发环境事件应急预案管理办法》（苏环规</w:t>
                  </w:r>
                  <w:r>
                    <w:rPr>
                      <w:rFonts w:hint="eastAsia" w:cs="Times New Roman"/>
                      <w:bCs/>
                      <w:color w:val="auto"/>
                      <w:kern w:val="2"/>
                      <w:sz w:val="21"/>
                      <w:szCs w:val="21"/>
                      <w:lang w:eastAsia="zh-CN"/>
                    </w:rPr>
                    <w:t>〔</w:t>
                  </w:r>
                  <w:r>
                    <w:rPr>
                      <w:rFonts w:hint="default" w:ascii="Times New Roman" w:hAnsi="Times New Roman" w:eastAsia="宋体" w:cs="Times New Roman"/>
                      <w:bCs/>
                      <w:color w:val="auto"/>
                      <w:kern w:val="2"/>
                      <w:sz w:val="21"/>
                      <w:szCs w:val="21"/>
                    </w:rPr>
                    <w:t>2014</w:t>
                  </w:r>
                  <w:r>
                    <w:rPr>
                      <w:rFonts w:hint="eastAsia" w:cs="Times New Roman"/>
                      <w:bCs/>
                      <w:color w:val="auto"/>
                      <w:kern w:val="2"/>
                      <w:sz w:val="21"/>
                      <w:szCs w:val="21"/>
                      <w:lang w:eastAsia="zh-CN"/>
                    </w:rPr>
                    <w:t>〕</w:t>
                  </w:r>
                  <w:r>
                    <w:rPr>
                      <w:rFonts w:hint="default" w:ascii="Times New Roman" w:hAnsi="Times New Roman" w:eastAsia="宋体" w:cs="Times New Roman"/>
                      <w:bCs/>
                      <w:color w:val="auto"/>
                      <w:kern w:val="2"/>
                      <w:sz w:val="21"/>
                      <w:szCs w:val="21"/>
                    </w:rPr>
                    <w:t>2号）等文件要求编制《企业突发环境事件应急预案》并进行备案</w:t>
                  </w:r>
                  <w:r>
                    <w:rPr>
                      <w:rFonts w:hint="default" w:ascii="Times New Roman" w:hAnsi="Times New Roman" w:eastAsia="宋体" w:cs="Times New Roman"/>
                      <w:color w:val="auto"/>
                      <w:kern w:val="0"/>
                      <w:sz w:val="21"/>
                      <w:szCs w:val="21"/>
                    </w:rPr>
                    <w:t>，配备相应的应急物资，并加强与区域应急管理部门之间的联动。</w:t>
                  </w:r>
                </w:p>
              </w:tc>
              <w:tc>
                <w:tcPr>
                  <w:tcW w:w="991" w:type="dxa"/>
                  <w:noWrap w:val="0"/>
                  <w:vAlign w:val="center"/>
                </w:tcPr>
                <w:p w14:paraId="3DF67005">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相符</w:t>
                  </w:r>
                </w:p>
              </w:tc>
            </w:tr>
            <w:tr w14:paraId="0F9009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980" w:type="dxa"/>
                  <w:noWrap w:val="0"/>
                  <w:vAlign w:val="center"/>
                </w:tcPr>
                <w:p w14:paraId="12574E37">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资源利用效率要求</w:t>
                  </w:r>
                </w:p>
              </w:tc>
              <w:tc>
                <w:tcPr>
                  <w:tcW w:w="7885" w:type="dxa"/>
                  <w:noWrap w:val="0"/>
                  <w:vAlign w:val="center"/>
                </w:tcPr>
                <w:p w14:paraId="3B2BAD6C">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水资源利用总量及效率要求：根据《江苏省水利厅江苏省发改委关于印发十四五”用水总量和强度控制目标的通知》（苏水节〔2022〕6号）、《市水利局市发展和改革委员会关于下达“十四五”用水总量和强度控制目标的通知》（淮水资〔2022〕4号），到2025年，淮安市用水总量不得超过33亿立方米，万元地区生产总值用水量比2020年下降20%，万元工业增加值用水量比2020年下降19%，灌溉水有效利用系数达到0.617以上。</w:t>
                  </w:r>
                </w:p>
                <w:p w14:paraId="17056439">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2.土地资源利用总量及效率要求：根据《淮安市国土空间总体规划（2021-2035年）》，淮安市耕地保有量不少于697.3500万亩，永久基本农田保护面积不低于596.0050万亩，控制全市城镇开发边界扩展倍数不高于1.3599。</w:t>
                  </w:r>
                </w:p>
                <w:p w14:paraId="664B7F59">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能源利用总量及效率要求：根据《中共江苏省委江苏省人民政府关于深入打好污染防治攻坚战的实施意见》（2022年1月24日），到2025年，煤炭消费总量下降5%左右，煤炭占能源消费总量的比重下降至50%左右，非化石能源消费比重达到18%左右。</w:t>
                  </w:r>
                </w:p>
                <w:p w14:paraId="7AECEC72">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4.禁燃区要求：根据《江苏省大气污染防治条例》，禁燃区禁止新建、扩建燃用高污染燃料的项目和设施，已建成的应逐步或依法限期改用天然气、电或者其他清洁能源。</w:t>
                  </w:r>
                </w:p>
              </w:tc>
              <w:tc>
                <w:tcPr>
                  <w:tcW w:w="4077" w:type="dxa"/>
                  <w:noWrap w:val="0"/>
                  <w:vAlign w:val="center"/>
                </w:tcPr>
                <w:p w14:paraId="4A826D73">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1.本项目新鲜水用量</w:t>
                  </w:r>
                  <w:r>
                    <w:rPr>
                      <w:rFonts w:hint="default" w:ascii="Times New Roman" w:hAnsi="Times New Roman" w:eastAsia="宋体" w:cs="Times New Roman"/>
                      <w:color w:val="auto"/>
                      <w:kern w:val="0"/>
                      <w:sz w:val="21"/>
                      <w:szCs w:val="21"/>
                      <w:lang w:eastAsia="zh-CN"/>
                    </w:rPr>
                    <w:t>不大</w:t>
                  </w:r>
                  <w:r>
                    <w:rPr>
                      <w:rFonts w:hint="default" w:ascii="Times New Roman" w:hAnsi="Times New Roman" w:eastAsia="宋体" w:cs="Times New Roman"/>
                      <w:color w:val="auto"/>
                      <w:kern w:val="0"/>
                      <w:sz w:val="21"/>
                      <w:szCs w:val="21"/>
                    </w:rPr>
                    <w:t>，水源来自市政自来水，</w:t>
                  </w:r>
                  <w:r>
                    <w:rPr>
                      <w:rFonts w:hint="eastAsia" w:cs="Times New Roman"/>
                      <w:color w:val="auto"/>
                      <w:kern w:val="0"/>
                      <w:sz w:val="21"/>
                      <w:szCs w:val="21"/>
                      <w:lang w:val="en-US" w:eastAsia="zh-CN"/>
                    </w:rPr>
                    <w:t>水资源利用效率符合要求</w:t>
                  </w:r>
                  <w:r>
                    <w:rPr>
                      <w:rFonts w:hint="default" w:ascii="Times New Roman" w:hAnsi="Times New Roman" w:eastAsia="宋体" w:cs="Times New Roman"/>
                      <w:color w:val="auto"/>
                      <w:kern w:val="0"/>
                      <w:sz w:val="21"/>
                      <w:szCs w:val="21"/>
                    </w:rPr>
                    <w:t>。</w:t>
                  </w:r>
                </w:p>
                <w:p w14:paraId="7E73BCB0">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2.本项目所在地用地性质为</w:t>
                  </w:r>
                  <w:r>
                    <w:rPr>
                      <w:rFonts w:hint="eastAsia" w:ascii="Times New Roman" w:hAnsi="Times New Roman" w:eastAsia="宋体" w:cs="Times New Roman"/>
                      <w:color w:val="auto"/>
                      <w:kern w:val="0"/>
                      <w:sz w:val="21"/>
                      <w:szCs w:val="21"/>
                      <w:lang w:eastAsia="zh-CN"/>
                    </w:rPr>
                    <w:t>建设</w:t>
                  </w:r>
                  <w:r>
                    <w:rPr>
                      <w:rFonts w:hint="default" w:ascii="Times New Roman" w:hAnsi="Times New Roman" w:eastAsia="宋体" w:cs="Times New Roman"/>
                      <w:color w:val="auto"/>
                      <w:kern w:val="0"/>
                      <w:sz w:val="21"/>
                      <w:szCs w:val="21"/>
                      <w:lang w:eastAsia="zh-CN"/>
                    </w:rPr>
                    <w:t>用地</w:t>
                  </w:r>
                  <w:r>
                    <w:rPr>
                      <w:rFonts w:hint="default" w:ascii="Times New Roman" w:hAnsi="Times New Roman" w:eastAsia="宋体" w:cs="Times New Roman"/>
                      <w:color w:val="auto"/>
                      <w:kern w:val="0"/>
                      <w:sz w:val="21"/>
                      <w:szCs w:val="21"/>
                    </w:rPr>
                    <w:t>，不占用基本农田，不影响区域土地资源总量。</w:t>
                  </w:r>
                </w:p>
                <w:p w14:paraId="4FB3805F">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3.本项目主要消耗能源为电能，不使用煤炭等高污染燃料。</w:t>
                  </w:r>
                </w:p>
              </w:tc>
              <w:tc>
                <w:tcPr>
                  <w:tcW w:w="991" w:type="dxa"/>
                  <w:noWrap w:val="0"/>
                  <w:vAlign w:val="center"/>
                </w:tcPr>
                <w:p w14:paraId="2B6F7CA0">
                  <w:pPr>
                    <w:keepNext w:val="0"/>
                    <w:keepLines w:val="0"/>
                    <w:pageBreakBefore w:val="0"/>
                    <w:widowControl w:val="0"/>
                    <w:kinsoku/>
                    <w:wordWrap/>
                    <w:overflowPunct/>
                    <w:topLinePunct w:val="0"/>
                    <w:autoSpaceDE w:val="0"/>
                    <w:autoSpaceDN w:val="0"/>
                    <w:bidi w:val="0"/>
                    <w:adjustRightInd w:val="0"/>
                    <w:snapToGrid w:val="0"/>
                    <w:spacing w:line="360" w:lineRule="exact"/>
                    <w:ind w:firstLine="0" w:firstLineChars="0"/>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相符</w:t>
                  </w:r>
                </w:p>
              </w:tc>
            </w:tr>
          </w:tbl>
          <w:p w14:paraId="63407D62">
            <w:pPr>
              <w:pStyle w:val="49"/>
              <w:keepNext w:val="0"/>
              <w:keepLines w:val="0"/>
              <w:pageBreakBefore w:val="0"/>
              <w:widowControl w:val="0"/>
              <w:kinsoku/>
              <w:wordWrap/>
              <w:overflowPunct/>
              <w:topLinePunct w:val="0"/>
              <w:autoSpaceDE w:val="0"/>
              <w:autoSpaceDN w:val="0"/>
              <w:bidi w:val="0"/>
              <w:adjustRightInd w:val="0"/>
              <w:snapToGrid/>
              <w:spacing w:line="500" w:lineRule="exact"/>
              <w:ind w:firstLine="440" w:firstLineChars="200"/>
              <w:textAlignment w:val="auto"/>
              <w:outlineLvl w:val="9"/>
              <w:rPr>
                <w:rFonts w:hint="eastAsia" w:ascii="仿宋" w:hAnsi="仿宋" w:eastAsia="仿宋" w:cs="仿宋"/>
                <w:b/>
                <w:bCs/>
                <w:color w:val="auto"/>
                <w:sz w:val="22"/>
                <w:szCs w:val="22"/>
              </w:rPr>
            </w:pPr>
            <w:r>
              <w:rPr>
                <w:rFonts w:hint="default" w:ascii="Times New Roman" w:hAnsi="Times New Roman" w:eastAsia="宋体" w:cs="Times New Roman"/>
                <w:b w:val="0"/>
                <w:bCs/>
                <w:color w:val="auto"/>
                <w:w w:val="100"/>
                <w:kern w:val="0"/>
                <w:sz w:val="22"/>
                <w:szCs w:val="22"/>
                <w:lang w:val="zh-CN" w:eastAsia="zh-CN" w:bidi="ar-SA"/>
              </w:rPr>
              <w:t>经对照分析，本项目符合《淮安市生态环境分区管控动态更新成果》（2023版）的要求。</w:t>
            </w:r>
          </w:p>
          <w:p w14:paraId="368BB038">
            <w:pPr>
              <w:keepNext w:val="0"/>
              <w:keepLines w:val="0"/>
              <w:pageBreakBefore w:val="0"/>
              <w:widowControl w:val="0"/>
              <w:kinsoku/>
              <w:wordWrap/>
              <w:overflowPunct/>
              <w:topLinePunct w:val="0"/>
              <w:autoSpaceDE/>
              <w:autoSpaceDN/>
              <w:bidi w:val="0"/>
              <w:adjustRightInd/>
              <w:snapToGrid/>
              <w:spacing w:line="500" w:lineRule="atLeast"/>
              <w:ind w:left="0" w:firstLine="442" w:firstLineChars="200"/>
              <w:jc w:val="left"/>
              <w:textAlignment w:val="auto"/>
              <w:outlineLvl w:val="9"/>
              <w:rPr>
                <w:rFonts w:hint="default" w:ascii="Times New Roman" w:hAnsi="Times New Roman" w:eastAsia="宋体" w:cs="Times New Roman"/>
                <w:b w:val="0"/>
                <w:bCs w:val="0"/>
                <w:color w:val="auto"/>
                <w:sz w:val="22"/>
                <w:szCs w:val="22"/>
              </w:rPr>
            </w:pPr>
            <w:r>
              <w:rPr>
                <w:rFonts w:hint="eastAsia" w:ascii="仿宋" w:hAnsi="仿宋" w:eastAsia="仿宋" w:cs="仿宋"/>
                <w:b/>
                <w:bCs/>
                <w:color w:val="auto"/>
                <w:sz w:val="22"/>
                <w:szCs w:val="22"/>
              </w:rPr>
              <w:t>⑺</w:t>
            </w:r>
            <w:r>
              <w:rPr>
                <w:rFonts w:hint="default" w:ascii="Times New Roman" w:hAnsi="Times New Roman" w:eastAsia="宋体" w:cs="Times New Roman"/>
                <w:b/>
                <w:bCs/>
                <w:color w:val="auto"/>
                <w:sz w:val="22"/>
                <w:szCs w:val="22"/>
                <w:lang w:val="en-US" w:eastAsia="zh-CN"/>
              </w:rPr>
              <w:t>与</w:t>
            </w:r>
            <w:r>
              <w:rPr>
                <w:rFonts w:hint="default" w:ascii="Times New Roman" w:hAnsi="Times New Roman" w:eastAsia="宋体" w:cs="Times New Roman"/>
                <w:b/>
                <w:bCs/>
                <w:color w:val="auto"/>
                <w:sz w:val="22"/>
                <w:szCs w:val="22"/>
                <w:lang w:val="zh-CN" w:eastAsia="zh-CN"/>
              </w:rPr>
              <w:t>淮安市环境管控单元生态环境准入清单</w:t>
            </w:r>
            <w:r>
              <w:rPr>
                <w:rFonts w:hint="default" w:ascii="Times New Roman" w:hAnsi="Times New Roman" w:eastAsia="宋体" w:cs="Times New Roman"/>
                <w:b/>
                <w:bCs/>
                <w:color w:val="auto"/>
                <w:sz w:val="22"/>
                <w:szCs w:val="22"/>
                <w:lang w:val="en-US" w:eastAsia="zh-CN"/>
              </w:rPr>
              <w:t>的相符性分析</w:t>
            </w:r>
          </w:p>
          <w:p w14:paraId="147A58DD">
            <w:pPr>
              <w:keepNext w:val="0"/>
              <w:keepLines w:val="0"/>
              <w:pageBreakBefore w:val="0"/>
              <w:widowControl w:val="0"/>
              <w:kinsoku/>
              <w:wordWrap/>
              <w:overflowPunct/>
              <w:topLinePunct w:val="0"/>
              <w:autoSpaceDE/>
              <w:autoSpaceDN/>
              <w:bidi w:val="0"/>
              <w:adjustRightInd/>
              <w:snapToGrid/>
              <w:spacing w:line="500" w:lineRule="atLeast"/>
              <w:ind w:left="0" w:firstLine="440" w:firstLineChars="200"/>
              <w:jc w:val="left"/>
              <w:textAlignment w:val="auto"/>
              <w:outlineLvl w:val="9"/>
              <w:rPr>
                <w:rFonts w:hint="default" w:ascii="Times New Roman" w:hAnsi="Times New Roman" w:eastAsia="宋体" w:cs="Times New Roman"/>
                <w:b/>
                <w:bCs/>
                <w:color w:val="auto"/>
                <w:sz w:val="22"/>
                <w:szCs w:val="22"/>
                <w:lang w:val="zh-CN" w:eastAsia="zh-CN"/>
              </w:rPr>
            </w:pPr>
            <w:r>
              <w:rPr>
                <w:rFonts w:hint="default" w:ascii="Times New Roman" w:hAnsi="Times New Roman" w:eastAsia="宋体" w:cs="Times New Roman"/>
                <w:b w:val="0"/>
                <w:bCs w:val="0"/>
                <w:color w:val="auto"/>
                <w:sz w:val="22"/>
                <w:szCs w:val="22"/>
              </w:rPr>
              <w:t>本项目所选地块涉及</w:t>
            </w:r>
            <w:r>
              <w:rPr>
                <w:rFonts w:hint="default" w:ascii="Times New Roman" w:hAnsi="Times New Roman" w:eastAsia="宋体" w:cs="Times New Roman"/>
                <w:b w:val="0"/>
                <w:bCs w:val="0"/>
                <w:color w:val="auto"/>
                <w:sz w:val="22"/>
                <w:szCs w:val="22"/>
                <w:lang w:val="en-US" w:eastAsia="zh-CN"/>
              </w:rPr>
              <w:t>淮安高新技术产业开发区</w:t>
            </w:r>
            <w:r>
              <w:rPr>
                <w:rFonts w:hint="eastAsia" w:ascii="Times New Roman" w:hAnsi="Times New Roman" w:eastAsia="宋体" w:cs="Times New Roman"/>
                <w:b w:val="0"/>
                <w:bCs w:val="0"/>
                <w:color w:val="auto"/>
                <w:sz w:val="22"/>
                <w:szCs w:val="22"/>
                <w:lang w:val="en-US" w:eastAsia="zh-CN"/>
              </w:rPr>
              <w:t>循环经济产业园</w:t>
            </w:r>
            <w:r>
              <w:rPr>
                <w:rFonts w:hint="default" w:ascii="Times New Roman" w:hAnsi="Times New Roman" w:eastAsia="宋体" w:cs="Times New Roman"/>
                <w:b w:val="0"/>
                <w:bCs w:val="0"/>
                <w:color w:val="auto"/>
                <w:sz w:val="22"/>
                <w:szCs w:val="22"/>
              </w:rPr>
              <w:t>，属于</w:t>
            </w:r>
            <w:r>
              <w:rPr>
                <w:rFonts w:hint="default" w:ascii="Times New Roman" w:hAnsi="Times New Roman" w:eastAsia="宋体" w:cs="Times New Roman"/>
                <w:b w:val="0"/>
                <w:bCs w:val="0"/>
                <w:color w:val="auto"/>
                <w:sz w:val="22"/>
                <w:szCs w:val="22"/>
                <w:lang w:val="en-US" w:eastAsia="zh-CN"/>
              </w:rPr>
              <w:t>重点管控单元</w:t>
            </w:r>
            <w:r>
              <w:rPr>
                <w:rFonts w:hint="default" w:ascii="Times New Roman" w:hAnsi="Times New Roman" w:eastAsia="宋体" w:cs="Times New Roman"/>
                <w:b w:val="0"/>
                <w:bCs w:val="0"/>
                <w:color w:val="auto"/>
                <w:sz w:val="22"/>
                <w:szCs w:val="22"/>
              </w:rPr>
              <w:t>，环境管控单位编码为</w:t>
            </w:r>
            <w:r>
              <w:rPr>
                <w:rFonts w:hint="eastAsia" w:ascii="Times New Roman" w:hAnsi="Times New Roman" w:eastAsia="宋体" w:cs="Times New Roman"/>
                <w:b w:val="0"/>
                <w:bCs w:val="0"/>
                <w:color w:val="auto"/>
                <w:sz w:val="22"/>
                <w:szCs w:val="22"/>
                <w:lang w:eastAsia="zh-CN"/>
              </w:rPr>
              <w:t>ZH32080420150</w:t>
            </w:r>
            <w:r>
              <w:rPr>
                <w:rFonts w:hint="default" w:ascii="Times New Roman" w:hAnsi="Times New Roman" w:eastAsia="宋体" w:cs="Times New Roman"/>
                <w:b w:val="0"/>
                <w:bCs w:val="0"/>
                <w:color w:val="auto"/>
                <w:sz w:val="22"/>
                <w:szCs w:val="22"/>
                <w:lang w:eastAsia="zh-CN"/>
              </w:rPr>
              <w:t>，</w:t>
            </w:r>
            <w:r>
              <w:rPr>
                <w:rFonts w:hint="default" w:ascii="Times New Roman" w:hAnsi="Times New Roman" w:eastAsia="宋体" w:cs="Times New Roman"/>
                <w:b w:val="0"/>
                <w:bCs w:val="0"/>
                <w:color w:val="auto"/>
                <w:sz w:val="22"/>
                <w:szCs w:val="22"/>
              </w:rPr>
              <w:t>与管控单元生态环境准入清单的相符性分析如下：</w:t>
            </w:r>
          </w:p>
          <w:p w14:paraId="017C8F34">
            <w:pPr>
              <w:pStyle w:val="49"/>
              <w:keepNext w:val="0"/>
              <w:keepLines w:val="0"/>
              <w:pageBreakBefore w:val="0"/>
              <w:widowControl w:val="0"/>
              <w:kinsoku/>
              <w:wordWrap/>
              <w:overflowPunct/>
              <w:topLinePunct w:val="0"/>
              <w:autoSpaceDE w:val="0"/>
              <w:autoSpaceDN w:val="0"/>
              <w:bidi w:val="0"/>
              <w:adjustRightInd w:val="0"/>
              <w:snapToGrid/>
              <w:spacing w:line="500" w:lineRule="exact"/>
              <w:jc w:val="center"/>
              <w:textAlignment w:val="auto"/>
              <w:rPr>
                <w:rFonts w:hint="default" w:ascii="Times New Roman" w:hAnsi="Times New Roman" w:eastAsia="宋体" w:cs="Times New Roman"/>
                <w:b/>
                <w:bCs/>
                <w:color w:val="auto"/>
                <w:sz w:val="22"/>
                <w:szCs w:val="22"/>
                <w:lang w:val="zh-CN" w:eastAsia="zh-CN"/>
              </w:rPr>
            </w:pPr>
            <w:r>
              <w:rPr>
                <w:rFonts w:hint="default" w:ascii="Times New Roman" w:hAnsi="Times New Roman" w:eastAsia="宋体" w:cs="Times New Roman"/>
                <w:b/>
                <w:bCs/>
                <w:color w:val="auto"/>
                <w:sz w:val="22"/>
                <w:szCs w:val="22"/>
                <w:lang w:val="zh-CN" w:eastAsia="zh-CN"/>
              </w:rPr>
              <w:t>表1.</w:t>
            </w:r>
            <w:r>
              <w:rPr>
                <w:rFonts w:hint="eastAsia" w:ascii="Times New Roman" w:hAnsi="Times New Roman" w:eastAsia="宋体" w:cs="Times New Roman"/>
                <w:b/>
                <w:bCs/>
                <w:color w:val="auto"/>
                <w:sz w:val="22"/>
                <w:szCs w:val="22"/>
                <w:lang w:val="en-US" w:eastAsia="zh-CN"/>
              </w:rPr>
              <w:t>1</w:t>
            </w:r>
            <w:r>
              <w:rPr>
                <w:rFonts w:hint="default" w:ascii="Times New Roman" w:hAnsi="Times New Roman" w:eastAsia="宋体" w:cs="Times New Roman"/>
                <w:b/>
                <w:bCs/>
                <w:color w:val="auto"/>
                <w:sz w:val="22"/>
                <w:szCs w:val="22"/>
                <w:lang w:val="zh-CN" w:eastAsia="zh-CN"/>
              </w:rPr>
              <w:t>-</w:t>
            </w:r>
            <w:r>
              <w:rPr>
                <w:rFonts w:hint="eastAsia" w:ascii="Times New Roman" w:hAnsi="Times New Roman" w:eastAsia="宋体" w:cs="Times New Roman"/>
                <w:b/>
                <w:bCs/>
                <w:color w:val="auto"/>
                <w:sz w:val="22"/>
                <w:szCs w:val="22"/>
                <w:lang w:val="en-US" w:eastAsia="zh-CN"/>
              </w:rPr>
              <w:t>5</w:t>
            </w:r>
            <w:r>
              <w:rPr>
                <w:rFonts w:hint="default" w:ascii="Times New Roman" w:hAnsi="Times New Roman" w:eastAsia="宋体" w:cs="Times New Roman"/>
                <w:b/>
                <w:bCs/>
                <w:color w:val="auto"/>
                <w:sz w:val="22"/>
                <w:szCs w:val="22"/>
                <w:lang w:val="zh-CN" w:eastAsia="zh-CN"/>
              </w:rPr>
              <w:t xml:space="preserve"> </w:t>
            </w:r>
            <w:r>
              <w:rPr>
                <w:rFonts w:hint="eastAsia"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lang w:val="zh-CN" w:eastAsia="zh-CN"/>
              </w:rPr>
              <w:t>与淮安市环境管控单元生态环境准入清单的相符性分析表</w:t>
            </w:r>
          </w:p>
          <w:tbl>
            <w:tblPr>
              <w:tblStyle w:val="43"/>
              <w:tblpPr w:leftFromText="180" w:rightFromText="180" w:vertAnchor="text" w:tblpXSpec="center" w:tblpY="1"/>
              <w:tblOverlap w:val="never"/>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1802"/>
              <w:gridCol w:w="5610"/>
              <w:gridCol w:w="5340"/>
              <w:gridCol w:w="1173"/>
            </w:tblGrid>
            <w:tr w14:paraId="2D24D1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7" w:type="pct"/>
                  <w:noWrap w:val="0"/>
                  <w:vAlign w:val="center"/>
                </w:tcPr>
                <w:p w14:paraId="012D144B">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类型</w:t>
                  </w:r>
                </w:p>
              </w:tc>
              <w:tc>
                <w:tcPr>
                  <w:tcW w:w="2014" w:type="pct"/>
                  <w:noWrap w:val="0"/>
                  <w:vAlign w:val="center"/>
                </w:tcPr>
                <w:p w14:paraId="5F0EAE4C">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管控要求</w:t>
                  </w:r>
                </w:p>
              </w:tc>
              <w:tc>
                <w:tcPr>
                  <w:tcW w:w="1917" w:type="pct"/>
                  <w:noWrap w:val="0"/>
                  <w:vAlign w:val="center"/>
                </w:tcPr>
                <w:p w14:paraId="6BBEC69B">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项目情况</w:t>
                  </w:r>
                </w:p>
              </w:tc>
              <w:tc>
                <w:tcPr>
                  <w:tcW w:w="421" w:type="pct"/>
                  <w:noWrap w:val="0"/>
                  <w:vAlign w:val="center"/>
                </w:tcPr>
                <w:p w14:paraId="6BE6A075">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相符性判定</w:t>
                  </w:r>
                </w:p>
              </w:tc>
            </w:tr>
            <w:tr w14:paraId="2B6677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7" w:type="pct"/>
                  <w:noWrap w:val="0"/>
                  <w:vAlign w:val="center"/>
                </w:tcPr>
                <w:p w14:paraId="613AC5DF">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kern w:val="2"/>
                      <w:sz w:val="21"/>
                      <w:szCs w:val="21"/>
                    </w:rPr>
                  </w:pPr>
                  <w:r>
                    <w:rPr>
                      <w:rFonts w:hint="default" w:ascii="Times New Roman" w:hAnsi="Times New Roman" w:eastAsia="宋体" w:cs="Times New Roman"/>
                      <w:color w:val="auto"/>
                      <w:sz w:val="21"/>
                      <w:szCs w:val="21"/>
                    </w:rPr>
                    <w:t>空间布局约束</w:t>
                  </w:r>
                </w:p>
              </w:tc>
              <w:tc>
                <w:tcPr>
                  <w:tcW w:w="2014" w:type="pct"/>
                  <w:noWrap w:val="0"/>
                  <w:vAlign w:val="center"/>
                </w:tcPr>
                <w:p w14:paraId="07AE977A">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default" w:ascii="Times New Roman" w:hAnsi="Times New Roman" w:eastAsia="宋体" w:cs="Times New Roman"/>
                      <w:bCs/>
                      <w:color w:val="auto"/>
                      <w:kern w:val="2"/>
                      <w:sz w:val="21"/>
                      <w:szCs w:val="21"/>
                    </w:rPr>
                  </w:pPr>
                  <w:r>
                    <w:rPr>
                      <w:rFonts w:hint="default" w:ascii="Times New Roman" w:hAnsi="Times New Roman" w:eastAsia="宋体" w:cs="Times New Roman"/>
                      <w:bCs/>
                      <w:color w:val="auto"/>
                      <w:sz w:val="21"/>
                      <w:szCs w:val="21"/>
                      <w:lang w:val="en-US" w:eastAsia="zh-CN"/>
                    </w:rPr>
                    <w:t>优先发展电子、新材料、机械加工、木业加工、危固废处理。</w:t>
                  </w:r>
                </w:p>
              </w:tc>
              <w:tc>
                <w:tcPr>
                  <w:tcW w:w="1917" w:type="pct"/>
                  <w:noWrap w:val="0"/>
                  <w:vAlign w:val="center"/>
                </w:tcPr>
                <w:p w14:paraId="07C663C3">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cs="Times New Roman"/>
                      <w:b w:val="0"/>
                      <w:bCs w:val="0"/>
                      <w:color w:val="auto"/>
                      <w:sz w:val="21"/>
                      <w:szCs w:val="21"/>
                      <w:vertAlign w:val="baseline"/>
                      <w:lang w:val="en-US" w:eastAsia="zh-CN"/>
                    </w:rPr>
                    <w:t>本项目</w:t>
                  </w:r>
                  <w:r>
                    <w:rPr>
                      <w:rFonts w:hint="eastAsia" w:ascii="Times New Roman" w:hAnsi="Times New Roman" w:cs="Times New Roman"/>
                      <w:b w:val="0"/>
                      <w:bCs w:val="0"/>
                      <w:color w:val="auto"/>
                      <w:sz w:val="21"/>
                      <w:szCs w:val="21"/>
                      <w:vertAlign w:val="baseline"/>
                      <w:lang w:val="en-US" w:eastAsia="zh-CN"/>
                    </w:rPr>
                    <w:t>半导电胶辊为“C3985 电子专用材料制造”属于园区主导产业新材料中的电子专用材料，橡胶条为“C2912 橡胶板、管、带制造”属于园区其他产业橡胶制品。</w:t>
                  </w:r>
                </w:p>
              </w:tc>
              <w:tc>
                <w:tcPr>
                  <w:tcW w:w="421" w:type="pct"/>
                  <w:noWrap w:val="0"/>
                  <w:vAlign w:val="center"/>
                </w:tcPr>
                <w:p w14:paraId="752AAFE5">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相符</w:t>
                  </w:r>
                </w:p>
              </w:tc>
            </w:tr>
            <w:tr w14:paraId="50413C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647" w:type="pct"/>
                  <w:noWrap w:val="0"/>
                  <w:vAlign w:val="center"/>
                </w:tcPr>
                <w:p w14:paraId="2EBCF00F">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污染物排放管控</w:t>
                  </w:r>
                </w:p>
              </w:tc>
              <w:tc>
                <w:tcPr>
                  <w:tcW w:w="2014" w:type="pct"/>
                  <w:noWrap w:val="0"/>
                  <w:vAlign w:val="center"/>
                </w:tcPr>
                <w:p w14:paraId="535FF356">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lang w:val="en-US" w:eastAsia="zh-CN"/>
                    </w:rPr>
                    <w:t xml:space="preserve">严格实施污染物总量控制制度，根据区域环境质量改善目标，采取有效措施减少主要污染物排放总量。 </w:t>
                  </w:r>
                </w:p>
              </w:tc>
              <w:tc>
                <w:tcPr>
                  <w:tcW w:w="1917" w:type="pct"/>
                  <w:noWrap w:val="0"/>
                  <w:vAlign w:val="center"/>
                </w:tcPr>
                <w:p w14:paraId="24BEBB65">
                  <w:pPr>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bCs/>
                      <w:color w:val="auto"/>
                      <w:kern w:val="2"/>
                      <w:sz w:val="21"/>
                      <w:szCs w:val="21"/>
                      <w:lang w:val="en-US" w:eastAsia="zh-CN"/>
                    </w:rPr>
                  </w:pPr>
                  <w:r>
                    <w:rPr>
                      <w:rFonts w:hint="eastAsia" w:ascii="Times New Roman" w:hAnsi="Times New Roman" w:eastAsia="宋体" w:cs="Times New Roman"/>
                      <w:bCs/>
                      <w:color w:val="auto"/>
                      <w:kern w:val="2"/>
                      <w:sz w:val="21"/>
                      <w:szCs w:val="21"/>
                      <w:lang w:eastAsia="zh-CN"/>
                    </w:rPr>
                    <w:t>技改项目严格执行污染物总量控制制度，项目采用</w:t>
                  </w:r>
                  <w:r>
                    <w:rPr>
                      <w:rFonts w:hint="eastAsia" w:cs="Times New Roman"/>
                      <w:bCs/>
                      <w:color w:val="auto"/>
                      <w:kern w:val="2"/>
                      <w:sz w:val="21"/>
                      <w:szCs w:val="21"/>
                      <w:lang w:eastAsia="zh-CN"/>
                    </w:rPr>
                    <w:t>密闭管道</w:t>
                  </w:r>
                  <w:r>
                    <w:rPr>
                      <w:rFonts w:hint="eastAsia" w:ascii="Times New Roman" w:hAnsi="Times New Roman" w:eastAsia="宋体" w:cs="Times New Roman"/>
                      <w:bCs/>
                      <w:color w:val="auto"/>
                      <w:kern w:val="2"/>
                      <w:sz w:val="21"/>
                      <w:szCs w:val="21"/>
                      <w:lang w:val="en-US" w:eastAsia="zh-CN"/>
                    </w:rPr>
                    <w:t>、</w:t>
                  </w:r>
                  <w:r>
                    <w:rPr>
                      <w:rFonts w:hint="eastAsia" w:ascii="Times New Roman" w:hAnsi="Times New Roman" w:eastAsia="宋体" w:cs="Times New Roman"/>
                      <w:bCs/>
                      <w:color w:val="auto"/>
                      <w:kern w:val="2"/>
                      <w:sz w:val="21"/>
                      <w:szCs w:val="21"/>
                      <w:lang w:eastAsia="zh-CN"/>
                    </w:rPr>
                    <w:t>密闭车间对废气进行</w:t>
                  </w:r>
                  <w:r>
                    <w:rPr>
                      <w:rFonts w:hint="eastAsia" w:cs="Times New Roman"/>
                      <w:bCs/>
                      <w:color w:val="auto"/>
                      <w:kern w:val="2"/>
                      <w:sz w:val="21"/>
                      <w:szCs w:val="21"/>
                      <w:lang w:eastAsia="zh-CN"/>
                    </w:rPr>
                    <w:t>负压</w:t>
                  </w:r>
                  <w:r>
                    <w:rPr>
                      <w:rFonts w:hint="eastAsia" w:ascii="Times New Roman" w:hAnsi="Times New Roman" w:eastAsia="宋体" w:cs="Times New Roman"/>
                      <w:bCs/>
                      <w:color w:val="auto"/>
                      <w:kern w:val="2"/>
                      <w:sz w:val="21"/>
                      <w:szCs w:val="21"/>
                      <w:lang w:eastAsia="zh-CN"/>
                    </w:rPr>
                    <w:t>收集后通过布袋除尘器、</w:t>
                  </w:r>
                  <w:r>
                    <w:rPr>
                      <w:rFonts w:hint="eastAsia" w:cs="Times New Roman"/>
                      <w:bCs/>
                      <w:color w:val="auto"/>
                      <w:kern w:val="2"/>
                      <w:sz w:val="21"/>
                      <w:szCs w:val="21"/>
                      <w:lang w:eastAsia="zh-CN"/>
                    </w:rPr>
                    <w:t>水喷淋、</w:t>
                  </w:r>
                  <w:r>
                    <w:rPr>
                      <w:rFonts w:hint="eastAsia" w:ascii="Times New Roman" w:hAnsi="Times New Roman" w:eastAsia="宋体" w:cs="Times New Roman"/>
                      <w:bCs/>
                      <w:color w:val="auto"/>
                      <w:kern w:val="2"/>
                      <w:sz w:val="21"/>
                      <w:szCs w:val="21"/>
                      <w:lang w:eastAsia="zh-CN"/>
                    </w:rPr>
                    <w:t>活性炭吸附装置、</w:t>
                  </w:r>
                  <w:r>
                    <w:rPr>
                      <w:rFonts w:hint="eastAsia" w:ascii="Times New Roman" w:hAnsi="Times New Roman" w:eastAsia="宋体" w:cs="Times New Roman"/>
                      <w:bCs/>
                      <w:color w:val="auto"/>
                      <w:kern w:val="2"/>
                      <w:sz w:val="21"/>
                      <w:szCs w:val="21"/>
                      <w:lang w:val="en-US" w:eastAsia="zh-CN"/>
                    </w:rPr>
                    <w:t>RCO装置</w:t>
                  </w:r>
                  <w:r>
                    <w:rPr>
                      <w:rFonts w:hint="eastAsia" w:cs="Times New Roman"/>
                      <w:bCs/>
                      <w:color w:val="auto"/>
                      <w:kern w:val="2"/>
                      <w:sz w:val="21"/>
                      <w:szCs w:val="21"/>
                      <w:lang w:val="en-US" w:eastAsia="zh-CN"/>
                    </w:rPr>
                    <w:t>等</w:t>
                  </w:r>
                  <w:r>
                    <w:rPr>
                      <w:rFonts w:hint="eastAsia" w:ascii="Times New Roman" w:hAnsi="Times New Roman" w:eastAsia="宋体" w:cs="Times New Roman"/>
                      <w:bCs/>
                      <w:color w:val="auto"/>
                      <w:kern w:val="2"/>
                      <w:sz w:val="21"/>
                      <w:szCs w:val="21"/>
                      <w:lang w:val="en-US" w:eastAsia="zh-CN"/>
                    </w:rPr>
                    <w:t xml:space="preserve">对废气进行处理后达标排放，有效减少主要污染物排放总量。 </w:t>
                  </w:r>
                </w:p>
              </w:tc>
              <w:tc>
                <w:tcPr>
                  <w:tcW w:w="421" w:type="pct"/>
                  <w:noWrap w:val="0"/>
                  <w:vAlign w:val="center"/>
                </w:tcPr>
                <w:p w14:paraId="6D1C95E8">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相符</w:t>
                  </w:r>
                </w:p>
              </w:tc>
            </w:tr>
            <w:tr w14:paraId="18260D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735" w:hRule="atLeast"/>
                <w:jc w:val="center"/>
              </w:trPr>
              <w:tc>
                <w:tcPr>
                  <w:tcW w:w="647" w:type="pct"/>
                  <w:noWrap w:val="0"/>
                  <w:vAlign w:val="center"/>
                </w:tcPr>
                <w:p w14:paraId="3306C8FE">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环境风险防控</w:t>
                  </w:r>
                </w:p>
              </w:tc>
              <w:tc>
                <w:tcPr>
                  <w:tcW w:w="2014" w:type="pct"/>
                  <w:noWrap w:val="0"/>
                  <w:vAlign w:val="center"/>
                </w:tcPr>
                <w:p w14:paraId="174D1808">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lang w:val="en-US" w:eastAsia="zh-CN"/>
                    </w:rPr>
                    <w:t>建立并完善区域环境风险防范体系，制定完备的事故应急预案，贮存必要的应急物资，定期开展事故应急演</w:t>
                  </w:r>
                  <w:r>
                    <w:rPr>
                      <w:rFonts w:hint="eastAsia" w:ascii="Times New Roman" w:hAnsi="Times New Roman" w:eastAsia="宋体" w:cs="Times New Roman"/>
                      <w:bCs/>
                      <w:color w:val="auto"/>
                      <w:sz w:val="21"/>
                      <w:szCs w:val="21"/>
                      <w:lang w:val="en-US" w:eastAsia="zh-CN"/>
                    </w:rPr>
                    <w:t>练。</w:t>
                  </w:r>
                </w:p>
              </w:tc>
              <w:tc>
                <w:tcPr>
                  <w:tcW w:w="1917" w:type="pct"/>
                  <w:noWrap w:val="0"/>
                  <w:vAlign w:val="center"/>
                </w:tcPr>
                <w:p w14:paraId="7D4BD585">
                  <w:pPr>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Times New Roman" w:hAnsi="Times New Roman" w:eastAsia="宋体" w:cs="Times New Roman"/>
                      <w:bCs/>
                      <w:color w:val="auto"/>
                      <w:kern w:val="2"/>
                      <w:sz w:val="21"/>
                      <w:szCs w:val="21"/>
                      <w:lang w:eastAsia="zh-CN"/>
                    </w:rPr>
                  </w:pPr>
                  <w:r>
                    <w:rPr>
                      <w:rFonts w:hint="eastAsia" w:ascii="Times New Roman" w:hAnsi="Times New Roman" w:eastAsia="宋体" w:cs="Times New Roman"/>
                      <w:bCs/>
                      <w:color w:val="auto"/>
                      <w:kern w:val="2"/>
                      <w:sz w:val="21"/>
                      <w:szCs w:val="21"/>
                      <w:lang w:eastAsia="zh-CN"/>
                    </w:rPr>
                    <w:t>本项目将按照要求</w:t>
                  </w:r>
                  <w:r>
                    <w:rPr>
                      <w:rFonts w:hint="eastAsia" w:ascii="Times New Roman" w:hAnsi="Times New Roman" w:eastAsia="宋体" w:cs="Times New Roman"/>
                      <w:bCs/>
                      <w:color w:val="auto"/>
                      <w:kern w:val="2"/>
                      <w:sz w:val="21"/>
                      <w:szCs w:val="21"/>
                      <w:lang w:val="en-US" w:eastAsia="zh-CN"/>
                    </w:rPr>
                    <w:t>制定完备的事故应急预案，贮存必要的应急物资，定期开展事故应急演练。</w:t>
                  </w:r>
                </w:p>
              </w:tc>
              <w:tc>
                <w:tcPr>
                  <w:tcW w:w="421" w:type="pct"/>
                  <w:noWrap w:val="0"/>
                  <w:vAlign w:val="center"/>
                </w:tcPr>
                <w:p w14:paraId="539FA72B">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相符</w:t>
                  </w:r>
                </w:p>
              </w:tc>
            </w:tr>
            <w:tr w14:paraId="3A6C56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7" w:type="pct"/>
                  <w:noWrap w:val="0"/>
                  <w:vAlign w:val="center"/>
                </w:tcPr>
                <w:p w14:paraId="4CE99606">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资源</w:t>
                  </w:r>
                  <w:r>
                    <w:rPr>
                      <w:rFonts w:hint="eastAsia" w:ascii="Times New Roman" w:hAnsi="Times New Roman" w:eastAsia="宋体" w:cs="Times New Roman"/>
                      <w:color w:val="auto"/>
                      <w:sz w:val="21"/>
                      <w:szCs w:val="21"/>
                      <w:lang w:eastAsia="zh-CN"/>
                    </w:rPr>
                    <w:t>开发</w:t>
                  </w:r>
                  <w:r>
                    <w:rPr>
                      <w:rFonts w:hint="default" w:ascii="Times New Roman" w:hAnsi="Times New Roman" w:eastAsia="宋体" w:cs="Times New Roman"/>
                      <w:color w:val="auto"/>
                      <w:sz w:val="21"/>
                      <w:szCs w:val="21"/>
                    </w:rPr>
                    <w:t>效率要求</w:t>
                  </w:r>
                </w:p>
              </w:tc>
              <w:tc>
                <w:tcPr>
                  <w:tcW w:w="2014" w:type="pct"/>
                  <w:noWrap w:val="0"/>
                  <w:vAlign w:val="center"/>
                </w:tcPr>
                <w:p w14:paraId="0C271201">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Cs/>
                      <w:color w:val="auto"/>
                      <w:sz w:val="21"/>
                      <w:szCs w:val="21"/>
                      <w:lang w:val="en-US" w:eastAsia="zh-CN"/>
                    </w:rPr>
                  </w:pPr>
                  <w:r>
                    <w:rPr>
                      <w:rFonts w:hint="eastAsia" w:ascii="Times New Roman" w:hAnsi="Times New Roman" w:eastAsia="宋体" w:cs="Times New Roman"/>
                      <w:bCs/>
                      <w:color w:val="auto"/>
                      <w:sz w:val="21"/>
                      <w:szCs w:val="21"/>
                      <w:lang w:val="en-US" w:eastAsia="zh-CN"/>
                    </w:rPr>
                    <w:t>—</w:t>
                  </w:r>
                </w:p>
              </w:tc>
              <w:tc>
                <w:tcPr>
                  <w:tcW w:w="1917" w:type="pct"/>
                  <w:noWrap w:val="0"/>
                  <w:vAlign w:val="center"/>
                </w:tcPr>
                <w:p w14:paraId="75B2D241">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bCs/>
                      <w:color w:val="auto"/>
                      <w:kern w:val="2"/>
                      <w:sz w:val="21"/>
                      <w:szCs w:val="21"/>
                    </w:rPr>
                  </w:pPr>
                  <w:r>
                    <w:rPr>
                      <w:rFonts w:hint="default" w:ascii="Times New Roman" w:hAnsi="Times New Roman" w:eastAsia="宋体" w:cs="Times New Roman"/>
                      <w:bCs/>
                      <w:color w:val="auto"/>
                      <w:kern w:val="2"/>
                      <w:sz w:val="21"/>
                      <w:szCs w:val="21"/>
                      <w:lang w:val="en-US" w:eastAsia="zh-CN"/>
                    </w:rPr>
                    <w:t>—</w:t>
                  </w:r>
                </w:p>
              </w:tc>
              <w:tc>
                <w:tcPr>
                  <w:tcW w:w="421" w:type="pct"/>
                  <w:noWrap w:val="0"/>
                  <w:vAlign w:val="center"/>
                </w:tcPr>
                <w:p w14:paraId="46D86240">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相符</w:t>
                  </w:r>
                </w:p>
              </w:tc>
            </w:tr>
          </w:tbl>
          <w:p w14:paraId="523C44E3">
            <w:pPr>
              <w:pStyle w:val="49"/>
              <w:keepNext w:val="0"/>
              <w:keepLines w:val="0"/>
              <w:pageBreakBefore w:val="0"/>
              <w:widowControl w:val="0"/>
              <w:kinsoku/>
              <w:wordWrap/>
              <w:overflowPunct/>
              <w:topLinePunct w:val="0"/>
              <w:autoSpaceDE w:val="0"/>
              <w:autoSpaceDN w:val="0"/>
              <w:bidi w:val="0"/>
              <w:adjustRightInd w:val="0"/>
              <w:snapToGrid/>
              <w:spacing w:line="500" w:lineRule="exact"/>
              <w:ind w:firstLine="440" w:firstLineChars="200"/>
              <w:textAlignment w:val="auto"/>
              <w:outlineLvl w:val="9"/>
              <w:rPr>
                <w:rFonts w:hint="default" w:ascii="Times New Roman" w:hAnsi="Times New Roman" w:eastAsia="宋体" w:cs="Times New Roman"/>
                <w:b w:val="0"/>
                <w:bCs/>
                <w:color w:val="auto"/>
                <w:w w:val="100"/>
                <w:kern w:val="0"/>
                <w:sz w:val="22"/>
                <w:szCs w:val="22"/>
                <w:lang w:val="en-US" w:eastAsia="zh-CN" w:bidi="ar-SA"/>
              </w:rPr>
            </w:pPr>
            <w:r>
              <w:rPr>
                <w:rFonts w:hint="default" w:ascii="Times New Roman" w:hAnsi="Times New Roman" w:eastAsia="宋体" w:cs="Times New Roman"/>
                <w:b w:val="0"/>
                <w:bCs/>
                <w:color w:val="auto"/>
                <w:w w:val="100"/>
                <w:kern w:val="0"/>
                <w:sz w:val="22"/>
                <w:szCs w:val="22"/>
                <w:lang w:val="zh-CN" w:eastAsia="zh-CN" w:bidi="ar-SA"/>
              </w:rPr>
              <w:t>经对照分析，本项目符合</w:t>
            </w:r>
            <w:r>
              <w:rPr>
                <w:rFonts w:hint="default" w:ascii="Times New Roman" w:hAnsi="Times New Roman" w:eastAsia="宋体" w:cs="Times New Roman"/>
                <w:b w:val="0"/>
                <w:bCs w:val="0"/>
                <w:color w:val="auto"/>
                <w:sz w:val="22"/>
                <w:szCs w:val="22"/>
                <w:lang w:val="zh-CN" w:eastAsia="zh-CN"/>
              </w:rPr>
              <w:t>淮安市环境管控单元生态环境准入清单</w:t>
            </w:r>
            <w:r>
              <w:rPr>
                <w:rFonts w:hint="default" w:ascii="Times New Roman" w:hAnsi="Times New Roman" w:eastAsia="宋体" w:cs="Times New Roman"/>
                <w:b w:val="0"/>
                <w:bCs/>
                <w:color w:val="auto"/>
                <w:w w:val="100"/>
                <w:kern w:val="0"/>
                <w:sz w:val="22"/>
                <w:szCs w:val="22"/>
                <w:lang w:val="zh-CN" w:eastAsia="zh-CN" w:bidi="ar-SA"/>
              </w:rPr>
              <w:t>的要求。</w:t>
            </w:r>
          </w:p>
          <w:p w14:paraId="0F9A4381">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440" w:firstLineChars="200"/>
              <w:textAlignment w:val="auto"/>
              <w:outlineLvl w:val="9"/>
              <w:rPr>
                <w:rFonts w:hint="eastAsia" w:ascii="宋体" w:hAnsi="宋体" w:eastAsia="宋体" w:cs="宋体"/>
                <w:b w:val="0"/>
                <w:bCs/>
                <w:color w:val="auto"/>
                <w:w w:val="100"/>
                <w:sz w:val="22"/>
                <w:szCs w:val="22"/>
                <w:lang w:val="en-US" w:eastAsia="zh-CN"/>
              </w:rPr>
            </w:pPr>
            <w:r>
              <w:rPr>
                <w:rFonts w:hint="default" w:ascii="Times New Roman" w:hAnsi="Times New Roman" w:eastAsia="宋体" w:cs="Times New Roman"/>
                <w:b w:val="0"/>
                <w:bCs/>
                <w:color w:val="auto"/>
                <w:w w:val="100"/>
                <w:kern w:val="0"/>
                <w:sz w:val="22"/>
                <w:szCs w:val="22"/>
                <w:lang w:val="en-US" w:eastAsia="zh-CN" w:bidi="ar-SA"/>
              </w:rPr>
              <w:t>综上所述，本项目符合“三线一单”的要求。</w:t>
            </w:r>
          </w:p>
          <w:p w14:paraId="5A6E7119">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442" w:firstLineChars="200"/>
              <w:textAlignment w:val="auto"/>
              <w:outlineLvl w:val="9"/>
              <w:rPr>
                <w:rFonts w:hint="eastAsia" w:ascii="宋体" w:hAnsi="宋体" w:eastAsia="宋体" w:cs="宋体"/>
                <w:b w:val="0"/>
                <w:bCs/>
                <w:color w:val="auto"/>
                <w:w w:val="100"/>
                <w:sz w:val="22"/>
                <w:szCs w:val="22"/>
                <w:lang w:val="en-US" w:eastAsia="zh-CN"/>
              </w:rPr>
            </w:pPr>
            <w:r>
              <w:rPr>
                <w:rFonts w:hint="default" w:ascii="Times New Roman" w:hAnsi="Times New Roman" w:eastAsia="宋体" w:cs="Times New Roman"/>
                <w:b/>
                <w:bCs/>
                <w:color w:val="auto"/>
                <w:sz w:val="22"/>
                <w:szCs w:val="22"/>
              </w:rPr>
              <w:t>1.</w:t>
            </w:r>
            <w:r>
              <w:rPr>
                <w:rFonts w:hint="default" w:ascii="Times New Roman" w:hAnsi="Times New Roman" w:eastAsia="宋体" w:cs="Times New Roman"/>
                <w:b/>
                <w:bCs/>
                <w:color w:val="auto"/>
                <w:sz w:val="22"/>
                <w:szCs w:val="22"/>
                <w:lang w:val="en-US" w:eastAsia="zh-CN"/>
              </w:rPr>
              <w:t>2</w:t>
            </w:r>
            <w:r>
              <w:rPr>
                <w:rFonts w:hint="eastAsia"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rPr>
              <w:t>与相关环保政策的相符性分析</w:t>
            </w:r>
          </w:p>
          <w:p w14:paraId="277B4E36">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textAlignment w:val="auto"/>
              <w:outlineLvl w:val="9"/>
              <w:rPr>
                <w:rFonts w:hint="default" w:ascii="Times New Roman" w:hAnsi="Times New Roman" w:eastAsia="宋体" w:cs="Times New Roman"/>
                <w:b/>
                <w:bCs/>
                <w:color w:val="auto"/>
                <w:kern w:val="2"/>
                <w:sz w:val="22"/>
                <w:szCs w:val="22"/>
                <w:lang w:val="en-US" w:eastAsia="zh-CN" w:bidi="ar-SA"/>
              </w:rPr>
            </w:pPr>
            <w:r>
              <w:rPr>
                <w:rFonts w:hint="eastAsia" w:ascii="宋体" w:hAnsi="宋体" w:eastAsia="宋体" w:cs="宋体"/>
                <w:b/>
                <w:bCs/>
                <w:color w:val="auto"/>
                <w:kern w:val="2"/>
                <w:sz w:val="22"/>
                <w:szCs w:val="22"/>
                <w:lang w:val="en-US" w:eastAsia="zh-CN" w:bidi="ar-SA"/>
              </w:rPr>
              <w:t>⑴</w:t>
            </w:r>
            <w:r>
              <w:rPr>
                <w:rFonts w:hint="eastAsia" w:ascii="Times New Roman" w:hAnsi="Times New Roman" w:eastAsia="宋体" w:cs="Times New Roman"/>
                <w:b/>
                <w:bCs/>
                <w:color w:val="auto"/>
                <w:kern w:val="2"/>
                <w:sz w:val="22"/>
                <w:szCs w:val="22"/>
                <w:lang w:val="en-US" w:eastAsia="zh-CN" w:bidi="ar-SA"/>
              </w:rPr>
              <w:t>与《长江经济</w:t>
            </w:r>
            <w:r>
              <w:rPr>
                <w:rFonts w:hint="default" w:ascii="Times New Roman" w:hAnsi="Times New Roman" w:eastAsia="宋体" w:cs="Times New Roman"/>
                <w:b/>
                <w:bCs/>
                <w:color w:val="auto"/>
                <w:kern w:val="2"/>
                <w:sz w:val="22"/>
                <w:szCs w:val="22"/>
                <w:lang w:val="en-US" w:eastAsia="zh-CN" w:bidi="ar-SA"/>
              </w:rPr>
              <w:t>带发展负面清单指南（试行，2022版）》（长江办〔2022〕7号）相符性分析</w:t>
            </w:r>
          </w:p>
          <w:p w14:paraId="0C01E6E2">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jc w:val="both"/>
              <w:textAlignment w:val="auto"/>
              <w:outlineLvl w:val="9"/>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本</w:t>
            </w:r>
            <w:r>
              <w:rPr>
                <w:rFonts w:hint="default" w:ascii="Times New Roman" w:hAnsi="Times New Roman" w:eastAsia="宋体" w:cs="Times New Roman"/>
                <w:color w:val="auto"/>
                <w:kern w:val="2"/>
                <w:sz w:val="22"/>
                <w:szCs w:val="22"/>
                <w:lang w:val="en-US" w:eastAsia="zh-CN" w:bidi="ar-SA"/>
              </w:rPr>
              <w:t>项目与《长江经济带发展负面清单指南（试行，2022版）》（长江办</w:t>
            </w:r>
            <w:r>
              <w:rPr>
                <w:rFonts w:hint="eastAsia" w:ascii="Times New Roman" w:hAnsi="Times New Roman" w:eastAsia="宋体" w:cs="Times New Roman"/>
                <w:color w:val="auto"/>
                <w:kern w:val="2"/>
                <w:sz w:val="22"/>
                <w:szCs w:val="22"/>
                <w:lang w:val="en-US" w:eastAsia="zh-CN" w:bidi="ar-SA"/>
              </w:rPr>
              <w:t>〔</w:t>
            </w:r>
            <w:r>
              <w:rPr>
                <w:rFonts w:hint="default" w:ascii="Times New Roman" w:hAnsi="Times New Roman" w:eastAsia="宋体" w:cs="Times New Roman"/>
                <w:color w:val="auto"/>
                <w:kern w:val="2"/>
                <w:sz w:val="22"/>
                <w:szCs w:val="22"/>
                <w:lang w:val="en-US" w:eastAsia="zh-CN" w:bidi="ar-SA"/>
              </w:rPr>
              <w:t>2022</w:t>
            </w:r>
            <w:r>
              <w:rPr>
                <w:rFonts w:hint="eastAsia" w:ascii="Times New Roman" w:hAnsi="Times New Roman" w:eastAsia="宋体" w:cs="Times New Roman"/>
                <w:color w:val="auto"/>
                <w:kern w:val="2"/>
                <w:sz w:val="22"/>
                <w:szCs w:val="22"/>
                <w:lang w:val="en-US" w:eastAsia="zh-CN" w:bidi="ar-SA"/>
              </w:rPr>
              <w:t>〕</w:t>
            </w:r>
            <w:r>
              <w:rPr>
                <w:rFonts w:hint="default" w:ascii="Times New Roman" w:hAnsi="Times New Roman" w:eastAsia="宋体" w:cs="Times New Roman"/>
                <w:color w:val="auto"/>
                <w:kern w:val="2"/>
                <w:sz w:val="22"/>
                <w:szCs w:val="22"/>
                <w:lang w:val="en-US" w:eastAsia="zh-CN" w:bidi="ar-SA"/>
              </w:rPr>
              <w:t>7号）相符性分析见</w:t>
            </w:r>
            <w:r>
              <w:rPr>
                <w:rFonts w:hint="eastAsia" w:ascii="Times New Roman" w:hAnsi="Times New Roman" w:eastAsia="宋体" w:cs="Times New Roman"/>
                <w:color w:val="auto"/>
                <w:kern w:val="2"/>
                <w:sz w:val="22"/>
                <w:szCs w:val="22"/>
                <w:lang w:val="en-US" w:eastAsia="zh-CN" w:bidi="ar-SA"/>
              </w:rPr>
              <w:t>下</w:t>
            </w:r>
            <w:r>
              <w:rPr>
                <w:rFonts w:hint="default" w:ascii="Times New Roman" w:hAnsi="Times New Roman" w:eastAsia="宋体" w:cs="Times New Roman"/>
                <w:color w:val="auto"/>
                <w:kern w:val="2"/>
                <w:sz w:val="22"/>
                <w:szCs w:val="22"/>
                <w:lang w:val="en-US" w:eastAsia="zh-CN" w:bidi="ar-SA"/>
              </w:rPr>
              <w:t>表。</w:t>
            </w:r>
          </w:p>
          <w:p w14:paraId="18BCEB36">
            <w:pPr>
              <w:keepNext w:val="0"/>
              <w:keepLines w:val="0"/>
              <w:pageBreakBefore w:val="0"/>
              <w:widowControl w:val="0"/>
              <w:kinsoku/>
              <w:wordWrap/>
              <w:overflowPunct/>
              <w:topLinePunct w:val="0"/>
              <w:autoSpaceDE/>
              <w:autoSpaceDN/>
              <w:bidi w:val="0"/>
              <w:adjustRightInd/>
              <w:snapToGrid/>
              <w:spacing w:line="500" w:lineRule="exact"/>
              <w:ind w:left="0"/>
              <w:jc w:val="center"/>
              <w:textAlignment w:val="auto"/>
              <w:rPr>
                <w:rFonts w:hint="default" w:ascii="Times New Roman" w:hAnsi="Times New Roman" w:eastAsia="宋体" w:cs="Times New Roman"/>
                <w:b/>
                <w:bCs/>
                <w:color w:val="auto"/>
                <w:kern w:val="2"/>
                <w:sz w:val="22"/>
                <w:szCs w:val="22"/>
                <w:lang w:val="zh-CN" w:eastAsia="zh-CN" w:bidi="ar-SA"/>
              </w:rPr>
            </w:pPr>
            <w:r>
              <w:rPr>
                <w:rFonts w:hint="eastAsia" w:ascii="Times New Roman" w:hAnsi="Times New Roman" w:eastAsia="宋体" w:cs="Times New Roman"/>
                <w:b/>
                <w:bCs/>
                <w:color w:val="auto"/>
                <w:kern w:val="2"/>
                <w:sz w:val="22"/>
                <w:szCs w:val="22"/>
                <w:lang w:val="zh-CN" w:eastAsia="zh-CN" w:bidi="ar-SA"/>
              </w:rPr>
              <w:t>表</w:t>
            </w:r>
            <w:r>
              <w:rPr>
                <w:rFonts w:hint="eastAsia" w:ascii="Times New Roman" w:hAnsi="Times New Roman" w:eastAsia="宋体" w:cs="Times New Roman"/>
                <w:b/>
                <w:bCs/>
                <w:color w:val="auto"/>
                <w:kern w:val="2"/>
                <w:sz w:val="22"/>
                <w:szCs w:val="22"/>
                <w:lang w:val="en-US" w:eastAsia="zh-CN" w:bidi="ar-SA"/>
              </w:rPr>
              <w:t xml:space="preserve">1.2-1 </w:t>
            </w:r>
            <w:r>
              <w:rPr>
                <w:rFonts w:hint="default" w:ascii="Times New Roman" w:hAnsi="Times New Roman" w:eastAsia="宋体" w:cs="Times New Roman"/>
                <w:b/>
                <w:bCs/>
                <w:color w:val="auto"/>
                <w:kern w:val="2"/>
                <w:sz w:val="22"/>
                <w:szCs w:val="22"/>
                <w:lang w:val="zh-CN" w:eastAsia="zh-CN" w:bidi="ar-SA"/>
              </w:rPr>
              <w:t xml:space="preserve"> </w:t>
            </w:r>
            <w:r>
              <w:rPr>
                <w:rFonts w:hint="eastAsia" w:ascii="Times New Roman" w:hAnsi="Times New Roman" w:eastAsia="宋体" w:cs="Times New Roman"/>
                <w:b/>
                <w:bCs/>
                <w:color w:val="auto"/>
                <w:kern w:val="2"/>
                <w:sz w:val="22"/>
                <w:szCs w:val="22"/>
                <w:lang w:val="en-US" w:eastAsia="zh-CN" w:bidi="ar-SA"/>
              </w:rPr>
              <w:t xml:space="preserve"> </w:t>
            </w:r>
            <w:r>
              <w:rPr>
                <w:rFonts w:hint="eastAsia" w:ascii="Times New Roman" w:hAnsi="Times New Roman" w:eastAsia="宋体" w:cs="Times New Roman"/>
                <w:b/>
                <w:bCs/>
                <w:color w:val="auto"/>
                <w:kern w:val="2"/>
                <w:sz w:val="22"/>
                <w:szCs w:val="22"/>
                <w:lang w:val="zh-CN" w:eastAsia="zh-CN" w:bidi="ar-SA"/>
              </w:rPr>
              <w:t>与</w:t>
            </w:r>
            <w:r>
              <w:rPr>
                <w:rFonts w:hint="default" w:ascii="Times New Roman" w:hAnsi="Times New Roman" w:eastAsia="宋体" w:cs="Times New Roman"/>
                <w:b/>
                <w:bCs/>
                <w:color w:val="auto"/>
                <w:kern w:val="2"/>
                <w:sz w:val="22"/>
                <w:szCs w:val="22"/>
                <w:lang w:val="en-US" w:eastAsia="zh-CN" w:bidi="ar-SA"/>
              </w:rPr>
              <w:t>《长江经济带发展负面清单指南（试行，2022版）》（长江办</w:t>
            </w:r>
            <w:r>
              <w:rPr>
                <w:rFonts w:hint="eastAsia" w:ascii="Times New Roman" w:hAnsi="Times New Roman" w:eastAsia="宋体" w:cs="Times New Roman"/>
                <w:b/>
                <w:bCs/>
                <w:color w:val="auto"/>
                <w:kern w:val="2"/>
                <w:sz w:val="22"/>
                <w:szCs w:val="22"/>
                <w:lang w:val="en-US" w:eastAsia="zh-CN" w:bidi="ar-SA"/>
              </w:rPr>
              <w:t>〔</w:t>
            </w:r>
            <w:r>
              <w:rPr>
                <w:rFonts w:hint="default" w:ascii="Times New Roman" w:hAnsi="Times New Roman" w:eastAsia="宋体" w:cs="Times New Roman"/>
                <w:b/>
                <w:bCs/>
                <w:color w:val="auto"/>
                <w:kern w:val="2"/>
                <w:sz w:val="22"/>
                <w:szCs w:val="22"/>
                <w:lang w:val="en-US" w:eastAsia="zh-CN" w:bidi="ar-SA"/>
              </w:rPr>
              <w:t>2022</w:t>
            </w:r>
            <w:r>
              <w:rPr>
                <w:rFonts w:hint="eastAsia" w:ascii="Times New Roman" w:hAnsi="Times New Roman" w:eastAsia="宋体" w:cs="Times New Roman"/>
                <w:b/>
                <w:bCs/>
                <w:color w:val="auto"/>
                <w:kern w:val="2"/>
                <w:sz w:val="22"/>
                <w:szCs w:val="22"/>
                <w:lang w:val="en-US" w:eastAsia="zh-CN" w:bidi="ar-SA"/>
              </w:rPr>
              <w:t>〕</w:t>
            </w:r>
            <w:r>
              <w:rPr>
                <w:rFonts w:hint="default" w:ascii="Times New Roman" w:hAnsi="Times New Roman" w:eastAsia="宋体" w:cs="Times New Roman"/>
                <w:b/>
                <w:bCs/>
                <w:color w:val="auto"/>
                <w:kern w:val="2"/>
                <w:sz w:val="22"/>
                <w:szCs w:val="22"/>
                <w:lang w:val="en-US" w:eastAsia="zh-CN" w:bidi="ar-SA"/>
              </w:rPr>
              <w:t>7号）</w:t>
            </w:r>
            <w:r>
              <w:rPr>
                <w:rFonts w:hint="eastAsia" w:ascii="Times New Roman" w:hAnsi="Times New Roman" w:eastAsia="宋体" w:cs="Times New Roman"/>
                <w:b/>
                <w:bCs/>
                <w:color w:val="auto"/>
                <w:kern w:val="2"/>
                <w:sz w:val="22"/>
                <w:szCs w:val="22"/>
                <w:lang w:val="zh-CN" w:eastAsia="zh-CN" w:bidi="ar-SA"/>
              </w:rPr>
              <w:t>相符性分析</w:t>
            </w:r>
          </w:p>
          <w:tbl>
            <w:tblPr>
              <w:tblStyle w:val="44"/>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746"/>
              <w:gridCol w:w="8041"/>
              <w:gridCol w:w="3855"/>
              <w:gridCol w:w="1278"/>
            </w:tblGrid>
            <w:tr w14:paraId="0ADB5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3155" w:type="pct"/>
                  <w:gridSpan w:val="2"/>
                  <w:tcBorders>
                    <w:top w:val="single" w:color="auto" w:sz="12" w:space="0"/>
                  </w:tcBorders>
                  <w:vAlign w:val="center"/>
                </w:tcPr>
                <w:p w14:paraId="1FD3289A">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b/>
                      <w:bCs/>
                      <w:color w:val="auto"/>
                      <w:kern w:val="2"/>
                      <w:sz w:val="21"/>
                      <w:szCs w:val="21"/>
                      <w:lang w:val="zh-CN" w:eastAsia="zh-CN" w:bidi="ar-SA"/>
                    </w:rPr>
                  </w:pPr>
                  <w:r>
                    <w:rPr>
                      <w:rFonts w:hint="default" w:ascii="Times New Roman" w:hAnsi="Times New Roman" w:eastAsia="宋体" w:cs="Times New Roman"/>
                      <w:b/>
                      <w:bCs/>
                      <w:color w:val="auto"/>
                      <w:kern w:val="2"/>
                      <w:sz w:val="21"/>
                      <w:szCs w:val="21"/>
                      <w:lang w:val="en-US" w:eastAsia="zh-CN" w:bidi="ar-SA"/>
                    </w:rPr>
                    <w:t>条款内容</w:t>
                  </w:r>
                </w:p>
              </w:tc>
              <w:tc>
                <w:tcPr>
                  <w:tcW w:w="1384" w:type="pct"/>
                  <w:tcBorders>
                    <w:top w:val="single" w:color="auto" w:sz="12" w:space="0"/>
                  </w:tcBorders>
                  <w:vAlign w:val="center"/>
                </w:tcPr>
                <w:p w14:paraId="74EA6E63">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b/>
                      <w:bCs/>
                      <w:color w:val="auto"/>
                      <w:kern w:val="2"/>
                      <w:sz w:val="21"/>
                      <w:szCs w:val="21"/>
                      <w:lang w:val="zh-CN" w:eastAsia="zh-CN" w:bidi="ar-SA"/>
                    </w:rPr>
                  </w:pPr>
                  <w:r>
                    <w:rPr>
                      <w:rFonts w:hint="default" w:ascii="Times New Roman" w:hAnsi="Times New Roman" w:eastAsia="宋体" w:cs="Times New Roman"/>
                      <w:b/>
                      <w:bCs/>
                      <w:color w:val="auto"/>
                      <w:kern w:val="2"/>
                      <w:sz w:val="21"/>
                      <w:szCs w:val="21"/>
                      <w:lang w:val="en-US" w:eastAsia="zh-CN" w:bidi="ar-SA"/>
                    </w:rPr>
                    <w:t>拟建项目情况</w:t>
                  </w:r>
                </w:p>
              </w:tc>
              <w:tc>
                <w:tcPr>
                  <w:tcW w:w="459" w:type="pct"/>
                  <w:tcBorders>
                    <w:top w:val="single" w:color="auto" w:sz="12" w:space="0"/>
                    <w:right w:val="nil"/>
                  </w:tcBorders>
                  <w:vAlign w:val="center"/>
                </w:tcPr>
                <w:p w14:paraId="0610555C">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b/>
                      <w:bCs/>
                      <w:color w:val="auto"/>
                      <w:kern w:val="2"/>
                      <w:sz w:val="21"/>
                      <w:szCs w:val="21"/>
                      <w:lang w:val="zh-CN" w:eastAsia="zh-CN" w:bidi="ar-SA"/>
                    </w:rPr>
                  </w:pPr>
                  <w:r>
                    <w:rPr>
                      <w:rFonts w:hint="default" w:ascii="Times New Roman" w:hAnsi="Times New Roman" w:eastAsia="宋体" w:cs="Times New Roman"/>
                      <w:b/>
                      <w:bCs/>
                      <w:color w:val="auto"/>
                      <w:kern w:val="2"/>
                      <w:sz w:val="21"/>
                      <w:szCs w:val="21"/>
                      <w:lang w:val="en-US" w:eastAsia="zh-CN" w:bidi="ar-SA"/>
                    </w:rPr>
                    <w:t>判定</w:t>
                  </w:r>
                </w:p>
              </w:tc>
            </w:tr>
            <w:tr w14:paraId="6416D6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72247CB2">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w:t>
                  </w:r>
                </w:p>
              </w:tc>
              <w:tc>
                <w:tcPr>
                  <w:tcW w:w="2887" w:type="pct"/>
                  <w:vAlign w:val="center"/>
                </w:tcPr>
                <w:p w14:paraId="26AB4355">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禁止建设不符合全国和省级港口布局规划以及港口总体规划的码头项目，禁止建设不符合《长江干线过江通道布局规划》的过长江通道项目。</w:t>
                  </w:r>
                </w:p>
              </w:tc>
              <w:tc>
                <w:tcPr>
                  <w:tcW w:w="1384" w:type="pct"/>
                  <w:vAlign w:val="center"/>
                </w:tcPr>
                <w:p w14:paraId="53161398">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拟建项目为</w:t>
                  </w:r>
                  <w:r>
                    <w:rPr>
                      <w:rFonts w:hint="eastAsia" w:cs="Times New Roman"/>
                      <w:color w:val="auto"/>
                      <w:kern w:val="2"/>
                      <w:sz w:val="21"/>
                      <w:szCs w:val="21"/>
                      <w:lang w:val="zh-CN" w:eastAsia="zh-CN" w:bidi="ar-SA"/>
                    </w:rPr>
                    <w:t>“</w:t>
                  </w:r>
                  <w:r>
                    <w:rPr>
                      <w:rFonts w:hint="default" w:ascii="Times New Roman" w:hAnsi="Times New Roman" w:eastAsia="宋体" w:cs="Times New Roman"/>
                      <w:b w:val="0"/>
                      <w:bCs/>
                      <w:color w:val="auto"/>
                      <w:sz w:val="21"/>
                      <w:szCs w:val="21"/>
                      <w:lang w:val="en-US" w:eastAsia="zh-CN"/>
                    </w:rPr>
                    <w:t>电子专用材料制造</w:t>
                  </w:r>
                  <w:r>
                    <w:rPr>
                      <w:rFonts w:hint="eastAsia" w:cs="Times New Roman"/>
                      <w:color w:val="auto"/>
                      <w:kern w:val="2"/>
                      <w:sz w:val="21"/>
                      <w:szCs w:val="21"/>
                      <w:lang w:val="zh-CN" w:eastAsia="zh-CN" w:bidi="ar-SA"/>
                    </w:rPr>
                    <w:t>”</w:t>
                  </w:r>
                  <w:r>
                    <w:rPr>
                      <w:rFonts w:hint="eastAsia" w:ascii="Times New Roman" w:hAnsi="Times New Roman" w:eastAsia="宋体" w:cs="Times New Roman"/>
                      <w:b w:val="0"/>
                      <w:bCs/>
                      <w:color w:val="auto"/>
                      <w:sz w:val="21"/>
                      <w:szCs w:val="21"/>
                      <w:lang w:val="en-US" w:eastAsia="zh-CN"/>
                    </w:rPr>
                    <w:t>和</w:t>
                  </w:r>
                  <w:r>
                    <w:rPr>
                      <w:rFonts w:hint="eastAsia" w:cs="Times New Roman"/>
                      <w:b w:val="0"/>
                      <w:bCs/>
                      <w:color w:val="auto"/>
                      <w:sz w:val="21"/>
                      <w:szCs w:val="21"/>
                      <w:lang w:val="en-US" w:eastAsia="zh-CN"/>
                    </w:rPr>
                    <w:t>“</w:t>
                  </w:r>
                  <w:r>
                    <w:rPr>
                      <w:rFonts w:hint="eastAsia" w:ascii="Times New Roman" w:hAnsi="Times New Roman" w:eastAsia="宋体" w:cs="Times New Roman"/>
                      <w:b w:val="0"/>
                      <w:bCs/>
                      <w:color w:val="auto"/>
                      <w:sz w:val="21"/>
                      <w:szCs w:val="21"/>
                      <w:lang w:val="en-US" w:eastAsia="zh-CN"/>
                    </w:rPr>
                    <w:t>橡胶板、管、带制造</w:t>
                  </w:r>
                  <w:r>
                    <w:rPr>
                      <w:rFonts w:hint="eastAsia" w:cs="Times New Roman"/>
                      <w:b w:val="0"/>
                      <w:bCs/>
                      <w:color w:val="auto"/>
                      <w:sz w:val="21"/>
                      <w:szCs w:val="21"/>
                      <w:lang w:val="en-US" w:eastAsia="zh-CN"/>
                    </w:rPr>
                    <w:t>”项目</w:t>
                  </w:r>
                  <w:r>
                    <w:rPr>
                      <w:rFonts w:hint="default" w:ascii="Times New Roman" w:hAnsi="Times New Roman" w:eastAsia="宋体" w:cs="Times New Roman"/>
                      <w:color w:val="auto"/>
                      <w:kern w:val="2"/>
                      <w:sz w:val="21"/>
                      <w:szCs w:val="21"/>
                      <w:lang w:val="zh-CN" w:eastAsia="zh-CN" w:bidi="ar-SA"/>
                    </w:rPr>
                    <w:t>。</w:t>
                  </w:r>
                </w:p>
              </w:tc>
              <w:tc>
                <w:tcPr>
                  <w:tcW w:w="459" w:type="pct"/>
                  <w:tcBorders>
                    <w:right w:val="nil"/>
                  </w:tcBorders>
                  <w:vAlign w:val="center"/>
                </w:tcPr>
                <w:p w14:paraId="7B805869">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694F1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36" w:hRule="atLeast"/>
              </w:trPr>
              <w:tc>
                <w:tcPr>
                  <w:tcW w:w="268" w:type="pct"/>
                  <w:tcBorders>
                    <w:left w:val="nil"/>
                  </w:tcBorders>
                  <w:vAlign w:val="center"/>
                </w:tcPr>
                <w:p w14:paraId="3AA76D02">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w:t>
                  </w:r>
                </w:p>
              </w:tc>
              <w:tc>
                <w:tcPr>
                  <w:tcW w:w="2887" w:type="pct"/>
                  <w:vAlign w:val="center"/>
                </w:tcPr>
                <w:p w14:paraId="5AC7D33F">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禁止在自然保护区核心区、缓冲区的岸线和河段范围内投资建设旅游和生产经营项目。禁止在风景名胜区核心景区的岸线和河段范围内投资建设与风景名胜资源保护无关的项目。</w:t>
                  </w:r>
                </w:p>
              </w:tc>
              <w:tc>
                <w:tcPr>
                  <w:tcW w:w="1384" w:type="pct"/>
                  <w:vMerge w:val="restart"/>
                  <w:vAlign w:val="center"/>
                </w:tcPr>
                <w:p w14:paraId="0B2B782D">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zh-CN" w:eastAsia="zh-CN" w:bidi="ar-SA"/>
                    </w:rPr>
                    <w:t>项目不在自然保护区核心区、缓冲区的岸线和河段范围内，不在风景名胜区核心景区的岸线和河段范围内，不在饮用水水源一级保护区、饮用水水源二级保护区的岸线和河段范围内，项目选址于</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kern w:val="2"/>
                      <w:sz w:val="21"/>
                      <w:szCs w:val="21"/>
                      <w:lang w:val="zh-CN" w:eastAsia="zh-CN" w:bidi="ar-SA"/>
                    </w:rPr>
                    <w:t>，用地为工业用地。</w:t>
                  </w:r>
                  <w:r>
                    <w:rPr>
                      <w:rFonts w:hint="eastAsia"/>
                      <w:color w:val="auto"/>
                      <w:lang w:val="en-US" w:eastAsia="zh-CN"/>
                    </w:rPr>
                    <w:t>本项目不属于</w:t>
                  </w:r>
                  <w:r>
                    <w:rPr>
                      <w:rFonts w:hint="default" w:ascii="Times New Roman" w:hAnsi="Times New Roman" w:eastAsia="宋体" w:cs="Times New Roman"/>
                      <w:color w:val="auto"/>
                      <w:kern w:val="2"/>
                      <w:sz w:val="21"/>
                      <w:szCs w:val="21"/>
                      <w:lang w:val="en-US" w:eastAsia="zh-CN" w:bidi="ar-SA"/>
                    </w:rPr>
                    <w:t>在水产种质资源保护区的岸线和河段范围内新建围湖造田、围海造地或围填海等投资建设项目。</w:t>
                  </w:r>
                  <w:r>
                    <w:rPr>
                      <w:rFonts w:hint="eastAsia" w:cs="Times New Roman"/>
                      <w:color w:val="auto"/>
                      <w:kern w:val="2"/>
                      <w:sz w:val="21"/>
                      <w:szCs w:val="21"/>
                      <w:lang w:val="en-US" w:eastAsia="zh-CN" w:bidi="ar-SA"/>
                    </w:rPr>
                    <w:t>不属于</w:t>
                  </w:r>
                  <w:r>
                    <w:rPr>
                      <w:rFonts w:hint="default" w:ascii="Times New Roman" w:hAnsi="Times New Roman" w:eastAsia="宋体" w:cs="Times New Roman"/>
                      <w:color w:val="auto"/>
                      <w:kern w:val="2"/>
                      <w:sz w:val="21"/>
                      <w:szCs w:val="21"/>
                      <w:lang w:val="en-US" w:eastAsia="zh-CN" w:bidi="ar-SA"/>
                    </w:rPr>
                    <w:t>在国家湿地公园的岸线和河段范围内挖沙、采矿，以及任何不符合主体功能定位的投资建设项目。</w:t>
                  </w:r>
                  <w:r>
                    <w:rPr>
                      <w:rFonts w:hint="eastAsia" w:cs="Times New Roman"/>
                      <w:color w:val="auto"/>
                      <w:kern w:val="2"/>
                      <w:sz w:val="21"/>
                      <w:szCs w:val="21"/>
                      <w:lang w:val="en-US" w:eastAsia="zh-CN" w:bidi="ar-SA"/>
                    </w:rPr>
                    <w:t>本项目未</w:t>
                  </w:r>
                  <w:r>
                    <w:rPr>
                      <w:rFonts w:hint="default" w:ascii="Times New Roman" w:hAnsi="Times New Roman" w:eastAsia="宋体" w:cs="Times New Roman"/>
                      <w:color w:val="auto"/>
                      <w:kern w:val="2"/>
                      <w:sz w:val="21"/>
                      <w:szCs w:val="21"/>
                      <w:lang w:val="en-US" w:eastAsia="zh-CN" w:bidi="ar-SA"/>
                    </w:rPr>
                    <w:t>违法利用、占用长江流域河湖岸线。</w:t>
                  </w:r>
                  <w:r>
                    <w:rPr>
                      <w:rFonts w:hint="eastAsia" w:cs="Times New Roman"/>
                      <w:color w:val="auto"/>
                      <w:kern w:val="2"/>
                      <w:sz w:val="21"/>
                      <w:szCs w:val="21"/>
                      <w:lang w:val="en-US" w:eastAsia="zh-CN" w:bidi="ar-SA"/>
                    </w:rPr>
                    <w:t>不属于</w:t>
                  </w:r>
                  <w:r>
                    <w:rPr>
                      <w:rFonts w:hint="default" w:ascii="Times New Roman" w:hAnsi="Times New Roman" w:eastAsia="宋体" w:cs="Times New Roman"/>
                      <w:color w:val="auto"/>
                      <w:kern w:val="2"/>
                      <w:sz w:val="21"/>
                      <w:szCs w:val="21"/>
                      <w:lang w:val="en-US" w:eastAsia="zh-CN" w:bidi="ar-SA"/>
                    </w:rPr>
                    <w:t>在《长江岸线保护和开发利用总体规划》划定的岸线保护区和保留区内投资建设除事关公共安全及公众利益的防洪护岸、河道治理供水、生态环境保护、航道整治、国家重要基础设施以外的项目。</w:t>
                  </w:r>
                  <w:r>
                    <w:rPr>
                      <w:rFonts w:hint="eastAsia" w:cs="Times New Roman"/>
                      <w:color w:val="auto"/>
                      <w:kern w:val="2"/>
                      <w:sz w:val="21"/>
                      <w:szCs w:val="21"/>
                      <w:lang w:val="en-US" w:eastAsia="zh-CN" w:bidi="ar-SA"/>
                    </w:rPr>
                    <w:t>不属于</w:t>
                  </w:r>
                  <w:r>
                    <w:rPr>
                      <w:rFonts w:hint="default" w:ascii="Times New Roman" w:hAnsi="Times New Roman" w:eastAsia="宋体" w:cs="Times New Roman"/>
                      <w:color w:val="auto"/>
                      <w:kern w:val="2"/>
                      <w:sz w:val="21"/>
                      <w:szCs w:val="21"/>
                      <w:lang w:val="en-US" w:eastAsia="zh-CN" w:bidi="ar-SA"/>
                    </w:rPr>
                    <w:t>在《全国重要江河湖泊水功能区划》划定的河段及湖泊保护区、保留区内投资建设不利于水资源及自然生态保护的项目。</w:t>
                  </w:r>
                </w:p>
              </w:tc>
              <w:tc>
                <w:tcPr>
                  <w:tcW w:w="459" w:type="pct"/>
                  <w:vMerge w:val="restart"/>
                  <w:tcBorders>
                    <w:right w:val="nil"/>
                  </w:tcBorders>
                  <w:vAlign w:val="center"/>
                </w:tcPr>
                <w:p w14:paraId="642317F3">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6CB20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0F6B5920">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w:t>
                  </w:r>
                </w:p>
              </w:tc>
              <w:tc>
                <w:tcPr>
                  <w:tcW w:w="2887" w:type="pct"/>
                  <w:vAlign w:val="center"/>
                </w:tcPr>
                <w:p w14:paraId="7CFE82C1">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1384" w:type="pct"/>
                  <w:vMerge w:val="continue"/>
                  <w:vAlign w:val="center"/>
                </w:tcPr>
                <w:p w14:paraId="57B8F1C7">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c>
                <w:tcPr>
                  <w:tcW w:w="459" w:type="pct"/>
                  <w:vMerge w:val="continue"/>
                  <w:tcBorders>
                    <w:right w:val="nil"/>
                  </w:tcBorders>
                  <w:vAlign w:val="center"/>
                </w:tcPr>
                <w:p w14:paraId="45D4B9D7">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r>
            <w:tr w14:paraId="136B3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1C9C84A1">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4</w:t>
                  </w:r>
                </w:p>
              </w:tc>
              <w:tc>
                <w:tcPr>
                  <w:tcW w:w="2887" w:type="pct"/>
                  <w:vAlign w:val="center"/>
                </w:tcPr>
                <w:p w14:paraId="3CB5EA31">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1384" w:type="pct"/>
                  <w:vMerge w:val="continue"/>
                  <w:vAlign w:val="center"/>
                </w:tcPr>
                <w:p w14:paraId="422E33A2">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c>
                <w:tcPr>
                  <w:tcW w:w="459" w:type="pct"/>
                  <w:vMerge w:val="continue"/>
                  <w:tcBorders>
                    <w:right w:val="nil"/>
                  </w:tcBorders>
                  <w:vAlign w:val="center"/>
                </w:tcPr>
                <w:p w14:paraId="239613BF">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r>
            <w:tr w14:paraId="5D683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10AC1EF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5</w:t>
                  </w:r>
                </w:p>
              </w:tc>
              <w:tc>
                <w:tcPr>
                  <w:tcW w:w="2887" w:type="pct"/>
                  <w:vAlign w:val="center"/>
                </w:tcPr>
                <w:p w14:paraId="2E1C8835">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违法利用、占用长江流域河湖岸线。禁止在《长江岸线保护和开发利用总体规划》划定的岸线保护区和保留区内投资建设除事关公共安全及公众利益的防洪护岸、河道治理供水、生态环境保护、航道整治、国家重要基础设施以外的项目。禁止在《全国重要江河湖泊水功能区划》划定的河段及湖泊保护区、保留区内投资建设不利于水资源及自然生态保护的项目。</w:t>
                  </w:r>
                </w:p>
              </w:tc>
              <w:tc>
                <w:tcPr>
                  <w:tcW w:w="1384" w:type="pct"/>
                  <w:vMerge w:val="continue"/>
                  <w:vAlign w:val="center"/>
                </w:tcPr>
                <w:p w14:paraId="4BF4DC91">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c>
                <w:tcPr>
                  <w:tcW w:w="459" w:type="pct"/>
                  <w:vMerge w:val="continue"/>
                  <w:tcBorders>
                    <w:right w:val="nil"/>
                  </w:tcBorders>
                  <w:vAlign w:val="center"/>
                </w:tcPr>
                <w:p w14:paraId="5BEB39DA">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p>
              </w:tc>
            </w:tr>
            <w:tr w14:paraId="49D31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4580120C">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6</w:t>
                  </w:r>
                </w:p>
              </w:tc>
              <w:tc>
                <w:tcPr>
                  <w:tcW w:w="2887" w:type="pct"/>
                  <w:vAlign w:val="center"/>
                </w:tcPr>
                <w:p w14:paraId="4222CFE3">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禁止未经许可在长江干支流及湖泊新设、改设或扩大排污口。</w:t>
                  </w:r>
                </w:p>
              </w:tc>
              <w:tc>
                <w:tcPr>
                  <w:tcW w:w="1384" w:type="pct"/>
                  <w:vAlign w:val="center"/>
                </w:tcPr>
                <w:p w14:paraId="7DABD48A">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不涉及</w:t>
                  </w:r>
                </w:p>
              </w:tc>
              <w:tc>
                <w:tcPr>
                  <w:tcW w:w="459" w:type="pct"/>
                  <w:tcBorders>
                    <w:right w:val="nil"/>
                  </w:tcBorders>
                  <w:vAlign w:val="center"/>
                </w:tcPr>
                <w:p w14:paraId="49C6232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48821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3EFFEFF3">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7</w:t>
                  </w:r>
                </w:p>
              </w:tc>
              <w:tc>
                <w:tcPr>
                  <w:tcW w:w="2887" w:type="pct"/>
                  <w:vAlign w:val="center"/>
                </w:tcPr>
                <w:p w14:paraId="28D01DC1">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禁止在“一江一口两湖七河”和332个水生生物保护区开展生产性捕捞。</w:t>
                  </w:r>
                </w:p>
              </w:tc>
              <w:tc>
                <w:tcPr>
                  <w:tcW w:w="1384" w:type="pct"/>
                  <w:vAlign w:val="center"/>
                </w:tcPr>
                <w:p w14:paraId="4CFF520C">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不涉及</w:t>
                  </w:r>
                </w:p>
              </w:tc>
              <w:tc>
                <w:tcPr>
                  <w:tcW w:w="459" w:type="pct"/>
                  <w:tcBorders>
                    <w:right w:val="nil"/>
                  </w:tcBorders>
                  <w:vAlign w:val="center"/>
                </w:tcPr>
                <w:p w14:paraId="0C09250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3C0E8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31" w:hRule="atLeast"/>
              </w:trPr>
              <w:tc>
                <w:tcPr>
                  <w:tcW w:w="268" w:type="pct"/>
                  <w:tcBorders>
                    <w:left w:val="nil"/>
                  </w:tcBorders>
                  <w:vAlign w:val="center"/>
                </w:tcPr>
                <w:p w14:paraId="7990F756">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w:t>
                  </w:r>
                </w:p>
              </w:tc>
              <w:tc>
                <w:tcPr>
                  <w:tcW w:w="2887" w:type="pct"/>
                  <w:vAlign w:val="center"/>
                </w:tcPr>
                <w:p w14:paraId="26260C8E">
                  <w:pPr>
                    <w:keepNext w:val="0"/>
                    <w:keepLines w:val="0"/>
                    <w:pageBreakBefore w:val="0"/>
                    <w:widowControl w:val="0"/>
                    <w:kinsoku/>
                    <w:wordWrap/>
                    <w:overflowPunct/>
                    <w:topLinePunct w:val="0"/>
                    <w:autoSpaceDE/>
                    <w:autoSpaceDN/>
                    <w:bidi w:val="0"/>
                    <w:adjustRightInd/>
                    <w:snapToGrid/>
                    <w:spacing w:line="360" w:lineRule="exact"/>
                    <w:ind w:left="0" w:right="0"/>
                    <w:jc w:val="both"/>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长江干支流、重要湖泊岸线一公里范围内新建、扩建化工园区和化工项目。禁止在长江干流岸线三公里范围内和重要支流岸线一公里范围内新建、改建、扩建尾矿库、冶炼渣库和磷石膏库，以提升安全、生态环境保护水平为目的的改建除外。</w:t>
                  </w:r>
                </w:p>
              </w:tc>
              <w:tc>
                <w:tcPr>
                  <w:tcW w:w="1384" w:type="pct"/>
                  <w:vAlign w:val="center"/>
                </w:tcPr>
                <w:p w14:paraId="2101894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拟建项目不在长江</w:t>
                  </w:r>
                  <w:r>
                    <w:rPr>
                      <w:rFonts w:hint="eastAsia" w:cs="Times New Roman"/>
                      <w:color w:val="auto"/>
                      <w:kern w:val="2"/>
                      <w:sz w:val="21"/>
                      <w:szCs w:val="21"/>
                      <w:lang w:val="en-US" w:eastAsia="zh-CN" w:bidi="ar-SA"/>
                    </w:rPr>
                    <w:t>干</w:t>
                  </w:r>
                  <w:r>
                    <w:rPr>
                      <w:rFonts w:hint="default" w:ascii="Times New Roman" w:hAnsi="Times New Roman" w:eastAsia="宋体" w:cs="Times New Roman"/>
                      <w:color w:val="auto"/>
                      <w:kern w:val="2"/>
                      <w:sz w:val="21"/>
                      <w:szCs w:val="21"/>
                      <w:lang w:val="zh-CN" w:eastAsia="zh-CN" w:bidi="ar-SA"/>
                    </w:rPr>
                    <w:t>支流、重要湖泊岸线一公里范围内，为</w:t>
                  </w:r>
                  <w:r>
                    <w:rPr>
                      <w:rFonts w:hint="eastAsia" w:cs="Times New Roman"/>
                      <w:color w:val="auto"/>
                      <w:kern w:val="2"/>
                      <w:sz w:val="21"/>
                      <w:szCs w:val="21"/>
                      <w:lang w:val="zh-CN" w:eastAsia="zh-CN" w:bidi="ar-SA"/>
                    </w:rPr>
                    <w:t>“</w:t>
                  </w:r>
                  <w:r>
                    <w:rPr>
                      <w:rFonts w:hint="default" w:ascii="Times New Roman" w:hAnsi="Times New Roman" w:eastAsia="宋体" w:cs="Times New Roman"/>
                      <w:b w:val="0"/>
                      <w:bCs/>
                      <w:color w:val="auto"/>
                      <w:sz w:val="21"/>
                      <w:szCs w:val="21"/>
                      <w:lang w:val="en-US" w:eastAsia="zh-CN"/>
                    </w:rPr>
                    <w:t>电子专用材料制造</w:t>
                  </w:r>
                  <w:r>
                    <w:rPr>
                      <w:rFonts w:hint="eastAsia" w:cs="Times New Roman"/>
                      <w:color w:val="auto"/>
                      <w:kern w:val="2"/>
                      <w:sz w:val="21"/>
                      <w:szCs w:val="21"/>
                      <w:lang w:val="zh-CN" w:eastAsia="zh-CN" w:bidi="ar-SA"/>
                    </w:rPr>
                    <w:t>”</w:t>
                  </w:r>
                  <w:r>
                    <w:rPr>
                      <w:rFonts w:hint="eastAsia" w:ascii="Times New Roman" w:hAnsi="Times New Roman" w:eastAsia="宋体" w:cs="Times New Roman"/>
                      <w:b w:val="0"/>
                      <w:bCs/>
                      <w:color w:val="auto"/>
                      <w:sz w:val="21"/>
                      <w:szCs w:val="21"/>
                      <w:lang w:val="en-US" w:eastAsia="zh-CN"/>
                    </w:rPr>
                    <w:t>和</w:t>
                  </w:r>
                  <w:r>
                    <w:rPr>
                      <w:rFonts w:hint="eastAsia" w:cs="Times New Roman"/>
                      <w:b w:val="0"/>
                      <w:bCs/>
                      <w:color w:val="auto"/>
                      <w:sz w:val="21"/>
                      <w:szCs w:val="21"/>
                      <w:lang w:val="en-US" w:eastAsia="zh-CN"/>
                    </w:rPr>
                    <w:t>“</w:t>
                  </w:r>
                  <w:r>
                    <w:rPr>
                      <w:rFonts w:hint="eastAsia" w:ascii="Times New Roman" w:hAnsi="Times New Roman" w:eastAsia="宋体" w:cs="Times New Roman"/>
                      <w:b w:val="0"/>
                      <w:bCs/>
                      <w:color w:val="auto"/>
                      <w:sz w:val="21"/>
                      <w:szCs w:val="21"/>
                      <w:lang w:val="en-US" w:eastAsia="zh-CN"/>
                    </w:rPr>
                    <w:t>橡胶板、管、带制造</w:t>
                  </w:r>
                  <w:r>
                    <w:rPr>
                      <w:rFonts w:hint="eastAsia" w:cs="Times New Roman"/>
                      <w:b w:val="0"/>
                      <w:bCs/>
                      <w:color w:val="auto"/>
                      <w:sz w:val="21"/>
                      <w:szCs w:val="21"/>
                      <w:lang w:val="en-US" w:eastAsia="zh-CN"/>
                    </w:rPr>
                    <w:t>”项目</w:t>
                  </w:r>
                  <w:r>
                    <w:rPr>
                      <w:rFonts w:hint="default" w:ascii="Times New Roman" w:hAnsi="Times New Roman" w:eastAsia="宋体" w:cs="Times New Roman"/>
                      <w:color w:val="auto"/>
                      <w:kern w:val="2"/>
                      <w:sz w:val="21"/>
                      <w:szCs w:val="21"/>
                      <w:lang w:val="zh-CN" w:eastAsia="zh-CN" w:bidi="ar-SA"/>
                    </w:rPr>
                    <w:t>。</w:t>
                  </w:r>
                </w:p>
              </w:tc>
              <w:tc>
                <w:tcPr>
                  <w:tcW w:w="459" w:type="pct"/>
                  <w:tcBorders>
                    <w:right w:val="nil"/>
                  </w:tcBorders>
                  <w:vAlign w:val="center"/>
                </w:tcPr>
                <w:p w14:paraId="4FEEF7E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3F988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67648028">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9</w:t>
                  </w:r>
                </w:p>
              </w:tc>
              <w:tc>
                <w:tcPr>
                  <w:tcW w:w="2887" w:type="pct"/>
                  <w:vAlign w:val="center"/>
                </w:tcPr>
                <w:p w14:paraId="63EE1780">
                  <w:pPr>
                    <w:keepNext w:val="0"/>
                    <w:keepLines w:val="0"/>
                    <w:pageBreakBefore w:val="0"/>
                    <w:widowControl w:val="0"/>
                    <w:kinsoku/>
                    <w:wordWrap/>
                    <w:overflowPunct/>
                    <w:topLinePunct w:val="0"/>
                    <w:autoSpaceDE/>
                    <w:autoSpaceDN/>
                    <w:bidi w:val="0"/>
                    <w:adjustRightInd/>
                    <w:snapToGrid/>
                    <w:spacing w:line="360" w:lineRule="exact"/>
                    <w:ind w:left="0" w:right="0"/>
                    <w:jc w:val="left"/>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禁止在合规园区外新建、扩建钢铁、石化、化工、焦化、建材、有色、制浆造纸等高污染项目。</w:t>
                  </w:r>
                </w:p>
              </w:tc>
              <w:tc>
                <w:tcPr>
                  <w:tcW w:w="1384" w:type="pct"/>
                  <w:vAlign w:val="center"/>
                </w:tcPr>
                <w:p w14:paraId="56E42353">
                  <w:pPr>
                    <w:keepNext w:val="0"/>
                    <w:keepLines w:val="0"/>
                    <w:pageBreakBefore w:val="0"/>
                    <w:widowControl w:val="0"/>
                    <w:kinsoku/>
                    <w:wordWrap/>
                    <w:overflowPunct/>
                    <w:topLinePunct w:val="0"/>
                    <w:autoSpaceDE/>
                    <w:autoSpaceDN/>
                    <w:bidi w:val="0"/>
                    <w:adjustRightInd/>
                    <w:snapToGrid/>
                    <w:spacing w:line="360" w:lineRule="exact"/>
                    <w:ind w:left="0" w:right="0" w:hanging="2"/>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项目选址于</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kern w:val="2"/>
                      <w:sz w:val="21"/>
                      <w:szCs w:val="21"/>
                      <w:lang w:val="zh-CN" w:eastAsia="zh-CN" w:bidi="ar-SA"/>
                    </w:rPr>
                    <w:t>，属于</w:t>
                  </w:r>
                  <w:r>
                    <w:rPr>
                      <w:rFonts w:hint="eastAsia" w:ascii="Times New Roman" w:hAnsi="Times New Roman" w:eastAsia="宋体" w:cs="Times New Roman"/>
                      <w:color w:val="auto"/>
                      <w:kern w:val="2"/>
                      <w:sz w:val="21"/>
                      <w:szCs w:val="21"/>
                      <w:lang w:val="zh-CN" w:eastAsia="zh-CN" w:bidi="ar-SA"/>
                    </w:rPr>
                    <w:t>合规园区</w:t>
                  </w:r>
                  <w:r>
                    <w:rPr>
                      <w:rFonts w:hint="default" w:ascii="Times New Roman" w:hAnsi="Times New Roman" w:eastAsia="宋体" w:cs="Times New Roman"/>
                      <w:color w:val="auto"/>
                      <w:kern w:val="2"/>
                      <w:sz w:val="21"/>
                      <w:szCs w:val="21"/>
                      <w:lang w:val="zh-CN" w:eastAsia="zh-CN" w:bidi="ar-SA"/>
                    </w:rPr>
                    <w:t>。</w:t>
                  </w:r>
                </w:p>
              </w:tc>
              <w:tc>
                <w:tcPr>
                  <w:tcW w:w="459" w:type="pct"/>
                  <w:tcBorders>
                    <w:right w:val="nil"/>
                  </w:tcBorders>
                  <w:vAlign w:val="center"/>
                </w:tcPr>
                <w:p w14:paraId="1FE741EC">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43DFD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tcBorders>
                  <w:vAlign w:val="center"/>
                </w:tcPr>
                <w:p w14:paraId="24F5088A">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10</w:t>
                  </w:r>
                </w:p>
              </w:tc>
              <w:tc>
                <w:tcPr>
                  <w:tcW w:w="2887" w:type="pct"/>
                  <w:vAlign w:val="center"/>
                </w:tcPr>
                <w:p w14:paraId="5E38DE26">
                  <w:pPr>
                    <w:keepNext w:val="0"/>
                    <w:keepLines w:val="0"/>
                    <w:pageBreakBefore w:val="0"/>
                    <w:widowControl w:val="0"/>
                    <w:kinsoku/>
                    <w:wordWrap/>
                    <w:overflowPunct/>
                    <w:topLinePunct w:val="0"/>
                    <w:autoSpaceDE/>
                    <w:autoSpaceDN/>
                    <w:bidi w:val="0"/>
                    <w:adjustRightInd/>
                    <w:snapToGrid/>
                    <w:spacing w:line="360" w:lineRule="exact"/>
                    <w:ind w:left="0" w:right="0"/>
                    <w:jc w:val="left"/>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禁止新建、扩建不符合国家石化、现代煤化工等产业布局规划的项目。</w:t>
                  </w:r>
                </w:p>
              </w:tc>
              <w:tc>
                <w:tcPr>
                  <w:tcW w:w="1384" w:type="pct"/>
                  <w:vAlign w:val="center"/>
                </w:tcPr>
                <w:p w14:paraId="0BC0C5DD">
                  <w:pPr>
                    <w:keepNext w:val="0"/>
                    <w:keepLines w:val="0"/>
                    <w:pageBreakBefore w:val="0"/>
                    <w:widowControl w:val="0"/>
                    <w:kinsoku/>
                    <w:wordWrap/>
                    <w:overflowPunct/>
                    <w:topLinePunct w:val="0"/>
                    <w:autoSpaceDE/>
                    <w:autoSpaceDN/>
                    <w:bidi w:val="0"/>
                    <w:adjustRightInd/>
                    <w:snapToGrid/>
                    <w:spacing w:line="360" w:lineRule="exact"/>
                    <w:ind w:left="0" w:right="0" w:hanging="2"/>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项目为</w:t>
                  </w:r>
                  <w:r>
                    <w:rPr>
                      <w:rFonts w:hint="eastAsia" w:cs="Times New Roman"/>
                      <w:color w:val="auto"/>
                      <w:kern w:val="2"/>
                      <w:sz w:val="21"/>
                      <w:szCs w:val="21"/>
                      <w:lang w:val="zh-CN" w:eastAsia="zh-CN" w:bidi="ar-SA"/>
                    </w:rPr>
                    <w:t>“</w:t>
                  </w:r>
                  <w:r>
                    <w:rPr>
                      <w:rFonts w:hint="default" w:ascii="Times New Roman" w:hAnsi="Times New Roman" w:eastAsia="宋体" w:cs="Times New Roman"/>
                      <w:b w:val="0"/>
                      <w:bCs/>
                      <w:color w:val="auto"/>
                      <w:sz w:val="21"/>
                      <w:szCs w:val="21"/>
                      <w:lang w:val="en-US" w:eastAsia="zh-CN"/>
                    </w:rPr>
                    <w:t>电子专用材料制造</w:t>
                  </w:r>
                  <w:r>
                    <w:rPr>
                      <w:rFonts w:hint="eastAsia" w:cs="Times New Roman"/>
                      <w:color w:val="auto"/>
                      <w:kern w:val="2"/>
                      <w:sz w:val="21"/>
                      <w:szCs w:val="21"/>
                      <w:lang w:val="zh-CN" w:eastAsia="zh-CN" w:bidi="ar-SA"/>
                    </w:rPr>
                    <w:t>”</w:t>
                  </w:r>
                  <w:r>
                    <w:rPr>
                      <w:rFonts w:hint="eastAsia" w:ascii="Times New Roman" w:hAnsi="Times New Roman" w:eastAsia="宋体" w:cs="Times New Roman"/>
                      <w:b w:val="0"/>
                      <w:bCs/>
                      <w:color w:val="auto"/>
                      <w:sz w:val="21"/>
                      <w:szCs w:val="21"/>
                      <w:lang w:val="en-US" w:eastAsia="zh-CN"/>
                    </w:rPr>
                    <w:t>和</w:t>
                  </w:r>
                  <w:r>
                    <w:rPr>
                      <w:rFonts w:hint="eastAsia" w:cs="Times New Roman"/>
                      <w:b w:val="0"/>
                      <w:bCs/>
                      <w:color w:val="auto"/>
                      <w:sz w:val="21"/>
                      <w:szCs w:val="21"/>
                      <w:lang w:val="en-US" w:eastAsia="zh-CN"/>
                    </w:rPr>
                    <w:t>“</w:t>
                  </w:r>
                  <w:r>
                    <w:rPr>
                      <w:rFonts w:hint="eastAsia" w:ascii="Times New Roman" w:hAnsi="Times New Roman" w:eastAsia="宋体" w:cs="Times New Roman"/>
                      <w:b w:val="0"/>
                      <w:bCs/>
                      <w:color w:val="auto"/>
                      <w:sz w:val="21"/>
                      <w:szCs w:val="21"/>
                      <w:lang w:val="en-US" w:eastAsia="zh-CN"/>
                    </w:rPr>
                    <w:t>橡胶板、管、带制造</w:t>
                  </w:r>
                  <w:r>
                    <w:rPr>
                      <w:rFonts w:hint="eastAsia" w:cs="Times New Roman"/>
                      <w:b w:val="0"/>
                      <w:bCs/>
                      <w:color w:val="auto"/>
                      <w:sz w:val="21"/>
                      <w:szCs w:val="21"/>
                      <w:lang w:val="en-US" w:eastAsia="zh-CN"/>
                    </w:rPr>
                    <w:t>”</w:t>
                  </w:r>
                  <w:r>
                    <w:rPr>
                      <w:rFonts w:hint="default" w:ascii="Times New Roman" w:hAnsi="Times New Roman" w:eastAsia="宋体" w:cs="Times New Roman"/>
                      <w:color w:val="auto"/>
                      <w:kern w:val="2"/>
                      <w:sz w:val="21"/>
                      <w:szCs w:val="21"/>
                      <w:lang w:val="zh-CN" w:eastAsia="zh-CN" w:bidi="ar-SA"/>
                    </w:rPr>
                    <w:t>，符合相关产业布局规划。</w:t>
                  </w:r>
                </w:p>
              </w:tc>
              <w:tc>
                <w:tcPr>
                  <w:tcW w:w="459" w:type="pct"/>
                  <w:tcBorders>
                    <w:right w:val="nil"/>
                  </w:tcBorders>
                  <w:vAlign w:val="center"/>
                </w:tcPr>
                <w:p w14:paraId="0939B8E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r w14:paraId="579F12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68" w:type="pct"/>
                  <w:tcBorders>
                    <w:left w:val="nil"/>
                    <w:bottom w:val="single" w:color="auto" w:sz="12" w:space="0"/>
                  </w:tcBorders>
                  <w:vAlign w:val="center"/>
                </w:tcPr>
                <w:p w14:paraId="4A558CA9">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w:t>
                  </w:r>
                </w:p>
              </w:tc>
              <w:tc>
                <w:tcPr>
                  <w:tcW w:w="2887" w:type="pct"/>
                  <w:tcBorders>
                    <w:bottom w:val="single" w:color="auto" w:sz="12" w:space="0"/>
                  </w:tcBorders>
                  <w:vAlign w:val="center"/>
                </w:tcPr>
                <w:p w14:paraId="7CD24A2D">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禁止新建、扩建法律法规和相关政策明令禁止的落后产能项目。禁止新建、扩建不符合国家产能置换要求的严重过剩产能行业的项目。禁止新建、扩建不符合要求的高耗能高排放项目。</w:t>
                  </w:r>
                </w:p>
              </w:tc>
              <w:tc>
                <w:tcPr>
                  <w:tcW w:w="1384" w:type="pct"/>
                  <w:tcBorders>
                    <w:bottom w:val="single" w:color="auto" w:sz="12" w:space="0"/>
                  </w:tcBorders>
                  <w:vAlign w:val="center"/>
                </w:tcPr>
                <w:p w14:paraId="413814C3">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zh-CN" w:eastAsia="zh-CN" w:bidi="ar-SA"/>
                    </w:rPr>
                    <w:t>拟建项目不属于所述限制和禁止类产业，不属于产能过剩行业，不属于高耗能高排放项目。</w:t>
                  </w:r>
                </w:p>
              </w:tc>
              <w:tc>
                <w:tcPr>
                  <w:tcW w:w="459" w:type="pct"/>
                  <w:tcBorders>
                    <w:bottom w:val="single" w:color="auto" w:sz="12" w:space="0"/>
                    <w:right w:val="nil"/>
                  </w:tcBorders>
                  <w:vAlign w:val="center"/>
                </w:tcPr>
                <w:p w14:paraId="5FB2F68A">
                  <w:pPr>
                    <w:keepNext w:val="0"/>
                    <w:keepLines w:val="0"/>
                    <w:pageBreakBefore w:val="0"/>
                    <w:widowControl w:val="0"/>
                    <w:kinsoku/>
                    <w:wordWrap/>
                    <w:overflowPunct/>
                    <w:topLinePunct w:val="0"/>
                    <w:autoSpaceDE/>
                    <w:autoSpaceDN/>
                    <w:bidi w:val="0"/>
                    <w:adjustRightInd/>
                    <w:snapToGrid/>
                    <w:spacing w:line="360" w:lineRule="exact"/>
                    <w:ind w:left="0" w:right="0"/>
                    <w:jc w:val="center"/>
                    <w:textAlignment w:val="auto"/>
                    <w:rPr>
                      <w:rFonts w:hint="default" w:ascii="Times New Roman" w:hAnsi="Times New Roman" w:eastAsia="宋体" w:cs="Times New Roman"/>
                      <w:color w:val="auto"/>
                      <w:kern w:val="2"/>
                      <w:sz w:val="21"/>
                      <w:szCs w:val="21"/>
                      <w:lang w:val="zh-CN" w:eastAsia="zh-CN" w:bidi="ar-SA"/>
                    </w:rPr>
                  </w:pPr>
                  <w:r>
                    <w:rPr>
                      <w:rFonts w:hint="default" w:ascii="Times New Roman" w:hAnsi="Times New Roman" w:eastAsia="宋体" w:cs="Times New Roman"/>
                      <w:color w:val="auto"/>
                      <w:kern w:val="2"/>
                      <w:sz w:val="21"/>
                      <w:szCs w:val="21"/>
                      <w:lang w:val="en-US" w:eastAsia="zh-CN" w:bidi="ar-SA"/>
                    </w:rPr>
                    <w:t>未列入</w:t>
                  </w:r>
                </w:p>
              </w:tc>
            </w:tr>
          </w:tbl>
          <w:p w14:paraId="3E11E424">
            <w:pPr>
              <w:keepNext w:val="0"/>
              <w:keepLines w:val="0"/>
              <w:pageBreakBefore w:val="0"/>
              <w:widowControl w:val="0"/>
              <w:kinsoku/>
              <w:wordWrap/>
              <w:overflowPunct/>
              <w:topLinePunct w:val="0"/>
              <w:bidi w:val="0"/>
              <w:spacing w:line="500" w:lineRule="exact"/>
              <w:ind w:left="0" w:firstLine="442" w:firstLineChars="200"/>
              <w:textAlignment w:val="auto"/>
              <w:outlineLvl w:val="9"/>
              <w:rPr>
                <w:rFonts w:ascii="Times New Roman" w:hAnsi="Times New Roman" w:eastAsia="宋体" w:cs="Times New Roman"/>
                <w:b/>
                <w:bCs/>
                <w:snapToGrid w:val="0"/>
                <w:color w:val="auto"/>
                <w:kern w:val="0"/>
                <w:sz w:val="24"/>
                <w:szCs w:val="24"/>
                <w:lang w:val="en-US" w:eastAsia="zh-CN" w:bidi="ar-SA"/>
              </w:rPr>
            </w:pPr>
            <w:r>
              <w:rPr>
                <w:rFonts w:hint="eastAsia" w:ascii="宋体" w:hAnsi="宋体" w:eastAsia="宋体" w:cs="宋体"/>
                <w:b/>
                <w:bCs/>
                <w:color w:val="auto"/>
                <w:kern w:val="2"/>
                <w:sz w:val="22"/>
                <w:szCs w:val="22"/>
                <w:lang w:val="en-US" w:eastAsia="zh-CN" w:bidi="ar-SA"/>
              </w:rPr>
              <w:t>⑵</w:t>
            </w:r>
            <w:r>
              <w:rPr>
                <w:rFonts w:ascii="Times New Roman" w:hAnsi="Times New Roman" w:eastAsia="宋体" w:cs="Times New Roman"/>
                <w:b/>
                <w:bCs/>
                <w:snapToGrid w:val="0"/>
                <w:color w:val="auto"/>
                <w:kern w:val="0"/>
                <w:sz w:val="22"/>
                <w:szCs w:val="22"/>
                <w:lang w:val="en-US" w:eastAsia="zh-CN" w:bidi="ar-SA"/>
              </w:rPr>
              <w:t>与</w:t>
            </w:r>
            <w:r>
              <w:rPr>
                <w:rFonts w:hint="eastAsia" w:ascii="Times New Roman" w:hAnsi="Times New Roman" w:eastAsia="宋体" w:cs="Times New Roman"/>
                <w:b/>
                <w:bCs/>
                <w:snapToGrid w:val="0"/>
                <w:color w:val="auto"/>
                <w:kern w:val="0"/>
                <w:sz w:val="22"/>
                <w:szCs w:val="22"/>
                <w:lang w:val="en-US" w:eastAsia="zh-CN" w:bidi="ar-SA"/>
              </w:rPr>
              <w:t>《关于印发&lt;长江经济带发展负面清单</w:t>
            </w:r>
            <w:r>
              <w:rPr>
                <w:rFonts w:ascii="Times New Roman" w:hAnsi="Times New Roman" w:eastAsia="宋体" w:cs="Times New Roman"/>
                <w:b/>
                <w:bCs/>
                <w:snapToGrid w:val="0"/>
                <w:color w:val="auto"/>
                <w:kern w:val="0"/>
                <w:sz w:val="22"/>
                <w:szCs w:val="22"/>
                <w:lang w:val="en-US" w:eastAsia="zh-CN" w:bidi="ar-SA"/>
              </w:rPr>
              <w:t>指南（试行，2022年版）</w:t>
            </w:r>
            <w:r>
              <w:rPr>
                <w:rFonts w:hint="eastAsia" w:ascii="Times New Roman" w:hAnsi="Times New Roman" w:eastAsia="宋体" w:cs="Times New Roman"/>
                <w:b/>
                <w:bCs/>
                <w:snapToGrid w:val="0"/>
                <w:color w:val="auto"/>
                <w:kern w:val="0"/>
                <w:sz w:val="22"/>
                <w:szCs w:val="22"/>
                <w:lang w:val="en-US" w:eastAsia="zh-CN" w:bidi="ar-SA"/>
              </w:rPr>
              <w:t>&gt;江苏省实施细则》</w:t>
            </w:r>
            <w:r>
              <w:rPr>
                <w:rFonts w:ascii="Times New Roman" w:hAnsi="Times New Roman" w:eastAsia="宋体" w:cs="Times New Roman"/>
                <w:b/>
                <w:bCs/>
                <w:snapToGrid w:val="0"/>
                <w:color w:val="auto"/>
                <w:kern w:val="0"/>
                <w:sz w:val="22"/>
                <w:szCs w:val="22"/>
                <w:lang w:val="en-US" w:eastAsia="zh-CN" w:bidi="ar-SA"/>
              </w:rPr>
              <w:t>（苏长江办发〔2022〕55号）</w:t>
            </w:r>
            <w:r>
              <w:rPr>
                <w:rFonts w:hint="eastAsia" w:ascii="Times New Roman" w:hAnsi="Times New Roman" w:eastAsia="宋体" w:cs="Times New Roman"/>
                <w:b/>
                <w:bCs/>
                <w:snapToGrid w:val="0"/>
                <w:color w:val="auto"/>
                <w:kern w:val="0"/>
                <w:sz w:val="22"/>
                <w:szCs w:val="22"/>
                <w:lang w:val="en-US" w:eastAsia="zh-CN" w:bidi="ar-SA"/>
              </w:rPr>
              <w:t>相符性分析</w:t>
            </w:r>
          </w:p>
          <w:p w14:paraId="6E5F85FC">
            <w:pPr>
              <w:widowControl w:val="0"/>
              <w:adjustRightInd w:val="0"/>
              <w:snapToGrid w:val="0"/>
              <w:spacing w:after="0" w:line="500" w:lineRule="exact"/>
              <w:ind w:left="0" w:leftChars="0" w:firstLine="440" w:firstLineChars="200"/>
              <w:jc w:val="both"/>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本</w:t>
            </w:r>
            <w:r>
              <w:rPr>
                <w:rFonts w:hint="default" w:ascii="Times New Roman" w:hAnsi="Times New Roman" w:eastAsia="宋体" w:cs="Times New Roman"/>
                <w:color w:val="auto"/>
                <w:kern w:val="2"/>
                <w:sz w:val="22"/>
                <w:szCs w:val="22"/>
                <w:lang w:val="en-US" w:eastAsia="zh-CN" w:bidi="ar-SA"/>
              </w:rPr>
              <w:t>项目与《关于印发&lt;长江经济带发展负面清单指南（试行，2022年版）&gt;江苏省实施细则》相符性分析见</w:t>
            </w:r>
            <w:r>
              <w:rPr>
                <w:rFonts w:hint="eastAsia" w:ascii="Times New Roman" w:hAnsi="Times New Roman" w:eastAsia="宋体" w:cs="Times New Roman"/>
                <w:color w:val="auto"/>
                <w:kern w:val="2"/>
                <w:sz w:val="22"/>
                <w:szCs w:val="22"/>
                <w:lang w:val="en-US" w:eastAsia="zh-CN" w:bidi="ar-SA"/>
              </w:rPr>
              <w:t>下</w:t>
            </w:r>
            <w:r>
              <w:rPr>
                <w:rFonts w:hint="default" w:ascii="Times New Roman" w:hAnsi="Times New Roman" w:eastAsia="宋体" w:cs="Times New Roman"/>
                <w:color w:val="auto"/>
                <w:kern w:val="2"/>
                <w:sz w:val="22"/>
                <w:szCs w:val="22"/>
                <w:lang w:val="en-US" w:eastAsia="zh-CN" w:bidi="ar-SA"/>
              </w:rPr>
              <w:t>表。</w:t>
            </w:r>
          </w:p>
          <w:p w14:paraId="4CC19F4A">
            <w:pPr>
              <w:adjustRightInd w:val="0"/>
              <w:snapToGrid w:val="0"/>
              <w:spacing w:line="500" w:lineRule="exact"/>
              <w:jc w:val="center"/>
              <w:rPr>
                <w:rFonts w:ascii="Times New Roman" w:hAnsi="Times New Roman" w:eastAsia="宋体" w:cs="Times New Roman"/>
                <w:b/>
                <w:color w:val="auto"/>
                <w:sz w:val="24"/>
              </w:rPr>
            </w:pPr>
            <w:r>
              <w:rPr>
                <w:rFonts w:hint="eastAsia" w:ascii="Times New Roman" w:hAnsi="Times New Roman" w:eastAsia="宋体" w:cs="Times New Roman"/>
                <w:b/>
                <w:bCs/>
                <w:color w:val="auto"/>
                <w:kern w:val="2"/>
                <w:sz w:val="22"/>
                <w:szCs w:val="22"/>
                <w:lang w:val="zh-CN" w:eastAsia="zh-CN" w:bidi="ar-SA"/>
              </w:rPr>
              <w:t>表</w:t>
            </w:r>
            <w:r>
              <w:rPr>
                <w:rFonts w:hint="eastAsia" w:ascii="Times New Roman" w:hAnsi="Times New Roman" w:eastAsia="宋体" w:cs="Times New Roman"/>
                <w:b/>
                <w:bCs/>
                <w:color w:val="auto"/>
                <w:kern w:val="2"/>
                <w:sz w:val="22"/>
                <w:szCs w:val="22"/>
                <w:lang w:val="en-US" w:eastAsia="zh-CN" w:bidi="ar-SA"/>
              </w:rPr>
              <w:t>1.2-2</w:t>
            </w:r>
            <w:r>
              <w:rPr>
                <w:rFonts w:hint="eastAsia" w:ascii="Times New Roman" w:hAnsi="Times New Roman" w:eastAsia="宋体" w:cs="Times New Roman"/>
                <w:b/>
                <w:bCs/>
                <w:color w:val="auto"/>
                <w:kern w:val="2"/>
                <w:sz w:val="22"/>
                <w:szCs w:val="22"/>
                <w:lang w:val="zh-CN" w:eastAsia="zh-CN" w:bidi="ar-SA"/>
              </w:rPr>
              <w:t xml:space="preserve"> 项目与</w:t>
            </w:r>
            <w:r>
              <w:rPr>
                <w:rFonts w:hint="eastAsia" w:ascii="Times New Roman" w:hAnsi="Times New Roman" w:eastAsia="宋体" w:cs="Times New Roman"/>
                <w:b/>
                <w:bCs/>
                <w:snapToGrid w:val="0"/>
                <w:color w:val="auto"/>
                <w:kern w:val="0"/>
                <w:sz w:val="22"/>
                <w:szCs w:val="22"/>
                <w:lang w:val="en-US" w:eastAsia="zh-CN" w:bidi="ar-SA"/>
              </w:rPr>
              <w:t>《关于印发&lt;长江经济带发展负面清单</w:t>
            </w:r>
            <w:r>
              <w:rPr>
                <w:rFonts w:ascii="Times New Roman" w:hAnsi="Times New Roman" w:eastAsia="宋体" w:cs="Times New Roman"/>
                <w:b/>
                <w:bCs/>
                <w:snapToGrid w:val="0"/>
                <w:color w:val="auto"/>
                <w:kern w:val="0"/>
                <w:sz w:val="22"/>
                <w:szCs w:val="22"/>
                <w:lang w:val="en-US" w:eastAsia="zh-CN" w:bidi="ar-SA"/>
              </w:rPr>
              <w:t>指南（试行，2022年版）</w:t>
            </w:r>
            <w:r>
              <w:rPr>
                <w:rFonts w:hint="eastAsia" w:ascii="Times New Roman" w:hAnsi="Times New Roman" w:eastAsia="宋体" w:cs="Times New Roman"/>
                <w:b/>
                <w:bCs/>
                <w:snapToGrid w:val="0"/>
                <w:color w:val="auto"/>
                <w:kern w:val="0"/>
                <w:sz w:val="22"/>
                <w:szCs w:val="22"/>
                <w:lang w:val="en-US" w:eastAsia="zh-CN" w:bidi="ar-SA"/>
              </w:rPr>
              <w:t>&gt;江苏省实施细则》</w:t>
            </w:r>
            <w:r>
              <w:rPr>
                <w:rFonts w:ascii="Times New Roman" w:hAnsi="Times New Roman" w:eastAsia="宋体" w:cs="Times New Roman"/>
                <w:b/>
                <w:bCs/>
                <w:snapToGrid w:val="0"/>
                <w:color w:val="auto"/>
                <w:kern w:val="0"/>
                <w:sz w:val="22"/>
                <w:szCs w:val="22"/>
                <w:lang w:val="en-US" w:eastAsia="zh-CN" w:bidi="ar-SA"/>
              </w:rPr>
              <w:t>（苏长江办发〔2022〕55号）</w:t>
            </w:r>
            <w:r>
              <w:rPr>
                <w:rFonts w:hint="eastAsia" w:ascii="Times New Roman" w:hAnsi="Times New Roman" w:eastAsia="宋体" w:cs="Times New Roman"/>
                <w:b/>
                <w:bCs/>
                <w:color w:val="auto"/>
                <w:kern w:val="2"/>
                <w:sz w:val="22"/>
                <w:szCs w:val="22"/>
                <w:lang w:val="zh-CN" w:eastAsia="zh-CN" w:bidi="ar-SA"/>
              </w:rPr>
              <w:t>相符性分析</w:t>
            </w:r>
          </w:p>
          <w:tbl>
            <w:tblPr>
              <w:tblStyle w:val="43"/>
              <w:tblW w:w="4996"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24"/>
              <w:gridCol w:w="9271"/>
              <w:gridCol w:w="2610"/>
              <w:gridCol w:w="1217"/>
            </w:tblGrid>
            <w:tr w14:paraId="1BC3901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3625" w:type="pct"/>
                  <w:gridSpan w:val="2"/>
                  <w:vAlign w:val="center"/>
                </w:tcPr>
                <w:p w14:paraId="472DF2BC">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文件要求</w:t>
                  </w:r>
                </w:p>
              </w:tc>
              <w:tc>
                <w:tcPr>
                  <w:tcW w:w="937" w:type="pct"/>
                  <w:vAlign w:val="center"/>
                </w:tcPr>
                <w:p w14:paraId="3FC57A6D">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拟建项目情况</w:t>
                  </w:r>
                </w:p>
              </w:tc>
              <w:tc>
                <w:tcPr>
                  <w:tcW w:w="437" w:type="pct"/>
                  <w:vAlign w:val="center"/>
                </w:tcPr>
                <w:p w14:paraId="1A621056">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相符性判定</w:t>
                  </w:r>
                </w:p>
              </w:tc>
            </w:tr>
            <w:tr w14:paraId="154595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54" w:hRule="atLeast"/>
              </w:trPr>
              <w:tc>
                <w:tcPr>
                  <w:tcW w:w="296" w:type="pct"/>
                  <w:vMerge w:val="restart"/>
                  <w:vAlign w:val="center"/>
                </w:tcPr>
                <w:p w14:paraId="7423576B">
                  <w:pPr>
                    <w:keepNext w:val="0"/>
                    <w:keepLines w:val="0"/>
                    <w:pageBreakBefore w:val="0"/>
                    <w:widowControl w:val="0"/>
                    <w:kinsoku/>
                    <w:wordWrap/>
                    <w:overflowPunct/>
                    <w:topLinePunct w:val="0"/>
                    <w:bidi w:val="0"/>
                    <w:spacing w:line="360" w:lineRule="exact"/>
                    <w:ind w:firstLine="0"/>
                    <w:jc w:val="center"/>
                    <w:textAlignment w:val="auto"/>
                    <w:rPr>
                      <w:rFonts w:hint="default" w:ascii="Times New Roman" w:hAnsi="Times New Roman" w:eastAsia="宋体" w:cs="Times New Roman"/>
                      <w:color w:val="auto"/>
                      <w:kern w:val="2"/>
                      <w:sz w:val="21"/>
                      <w:szCs w:val="21"/>
                      <w:lang w:val="en-US" w:eastAsia="zh-CN" w:bidi="zh-TW"/>
                    </w:rPr>
                  </w:pPr>
                  <w:r>
                    <w:rPr>
                      <w:rFonts w:hint="default" w:ascii="Times New Roman" w:hAnsi="Times New Roman" w:eastAsia="宋体" w:cs="Times New Roman"/>
                      <w:color w:val="auto"/>
                      <w:kern w:val="2"/>
                      <w:sz w:val="21"/>
                      <w:szCs w:val="21"/>
                      <w:lang w:val="en-US" w:eastAsia="zh-CN" w:bidi="ar-SA"/>
                    </w:rPr>
                    <w:t>一、河段利用与岸线开发</w:t>
                  </w:r>
                </w:p>
              </w:tc>
              <w:tc>
                <w:tcPr>
                  <w:tcW w:w="3328" w:type="pct"/>
                  <w:vAlign w:val="center"/>
                </w:tcPr>
                <w:p w14:paraId="08B90ECB">
                  <w:pPr>
                    <w:keepNext w:val="0"/>
                    <w:keepLines w:val="0"/>
                    <w:pageBreakBefore w:val="0"/>
                    <w:widowControl w:val="0"/>
                    <w:tabs>
                      <w:tab w:val="left" w:pos="1038"/>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TW" w:bidi="zh-TW"/>
                    </w:rPr>
                  </w:pPr>
                  <w:r>
                    <w:rPr>
                      <w:rFonts w:hint="default" w:ascii="Times New Roman" w:hAnsi="Times New Roman" w:eastAsia="宋体" w:cs="Times New Roman"/>
                      <w:color w:val="auto"/>
                      <w:kern w:val="2"/>
                      <w:sz w:val="21"/>
                      <w:szCs w:val="21"/>
                      <w:lang w:val="en-US" w:eastAsia="zh-CN" w:bidi="zh-TW"/>
                    </w:rPr>
                    <w:t>1.</w:t>
                  </w:r>
                  <w:r>
                    <w:rPr>
                      <w:rFonts w:hint="default" w:ascii="Times New Roman" w:hAnsi="Times New Roman" w:eastAsia="宋体" w:cs="Times New Roman"/>
                      <w:color w:val="auto"/>
                      <w:kern w:val="2"/>
                      <w:sz w:val="21"/>
                      <w:szCs w:val="21"/>
                      <w:lang w:val="zh-TW" w:eastAsia="zh-TW" w:bidi="zh-TW"/>
                    </w:rPr>
                    <w:t>禁止建设不符合国家港口布局规划和《江苏省沿江沿海港口布局规划</w:t>
                  </w:r>
                  <w:r>
                    <w:rPr>
                      <w:rFonts w:hint="default" w:ascii="Times New Roman" w:hAnsi="Times New Roman" w:eastAsia="宋体" w:cs="Times New Roman"/>
                      <w:color w:val="auto"/>
                      <w:kern w:val="2"/>
                      <w:sz w:val="21"/>
                      <w:szCs w:val="21"/>
                      <w:lang w:val="en-US" w:eastAsia="zh-CN" w:bidi="en-US"/>
                    </w:rPr>
                    <w:t>（2015-2030</w:t>
                  </w:r>
                  <w:r>
                    <w:rPr>
                      <w:rFonts w:hint="default" w:ascii="Times New Roman" w:hAnsi="Times New Roman" w:eastAsia="宋体" w:cs="Times New Roman"/>
                      <w:color w:val="auto"/>
                      <w:kern w:val="2"/>
                      <w:sz w:val="21"/>
                      <w:szCs w:val="21"/>
                      <w:lang w:val="zh-TW" w:eastAsia="zh-TW" w:bidi="zh-TW"/>
                    </w:rPr>
                    <w:t>年）》《江苏省内河港口布局规划</w:t>
                  </w:r>
                  <w:r>
                    <w:rPr>
                      <w:rFonts w:hint="default" w:ascii="Times New Roman" w:hAnsi="Times New Roman" w:eastAsia="宋体" w:cs="Times New Roman"/>
                      <w:color w:val="auto"/>
                      <w:kern w:val="2"/>
                      <w:sz w:val="21"/>
                      <w:szCs w:val="21"/>
                      <w:lang w:val="en-US" w:eastAsia="zh-CN" w:bidi="en-US"/>
                    </w:rPr>
                    <w:t>（2017-2035</w:t>
                  </w:r>
                  <w:r>
                    <w:rPr>
                      <w:rFonts w:hint="default" w:ascii="Times New Roman" w:hAnsi="Times New Roman" w:eastAsia="宋体" w:cs="Times New Roman"/>
                      <w:color w:val="auto"/>
                      <w:kern w:val="2"/>
                      <w:sz w:val="21"/>
                      <w:szCs w:val="21"/>
                      <w:lang w:val="zh-TW" w:eastAsia="zh-TW" w:bidi="zh-TW"/>
                    </w:rPr>
                    <w:t>年）》以及我省有关港口总体规划的码头项目，禁止建设未纳入《长江干线过江通道布局规划》的过长江通道项目</w:t>
                  </w:r>
                  <w:r>
                    <w:rPr>
                      <w:rFonts w:hint="default" w:ascii="Times New Roman" w:hAnsi="Times New Roman" w:eastAsia="宋体" w:cs="Times New Roman"/>
                      <w:color w:val="auto"/>
                      <w:kern w:val="2"/>
                      <w:sz w:val="21"/>
                      <w:szCs w:val="21"/>
                      <w:lang w:val="en-US" w:eastAsia="zh-CN" w:bidi="en-US"/>
                    </w:rPr>
                    <w:t>。</w:t>
                  </w:r>
                </w:p>
              </w:tc>
              <w:tc>
                <w:tcPr>
                  <w:tcW w:w="937" w:type="pct"/>
                  <w:vMerge w:val="restart"/>
                  <w:vAlign w:val="center"/>
                </w:tcPr>
                <w:p w14:paraId="0A6E6A6F">
                  <w:pPr>
                    <w:keepNext w:val="0"/>
                    <w:keepLines w:val="0"/>
                    <w:pageBreakBefore w:val="0"/>
                    <w:widowControl w:val="0"/>
                    <w:kinsoku/>
                    <w:wordWrap/>
                    <w:overflowPunct/>
                    <w:topLinePunct w:val="0"/>
                    <w:bidi w:val="0"/>
                    <w:adjustRightInd w:val="0"/>
                    <w:snapToGrid w:val="0"/>
                    <w:spacing w:line="360" w:lineRule="exact"/>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拟建项目不涉及</w:t>
                  </w:r>
                  <w:r>
                    <w:rPr>
                      <w:rFonts w:hint="eastAsia" w:ascii="Times New Roman" w:hAnsi="Times New Roman" w:eastAsia="宋体" w:cs="Times New Roman"/>
                      <w:color w:val="auto"/>
                      <w:sz w:val="21"/>
                      <w:szCs w:val="21"/>
                      <w:lang w:eastAsia="zh-CN"/>
                    </w:rPr>
                    <w:t>。</w:t>
                  </w:r>
                </w:p>
              </w:tc>
              <w:tc>
                <w:tcPr>
                  <w:tcW w:w="437" w:type="pct"/>
                  <w:vAlign w:val="center"/>
                </w:tcPr>
                <w:p w14:paraId="349EE315">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6126C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61045709">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6B29FF6">
                  <w:pPr>
                    <w:keepNext w:val="0"/>
                    <w:keepLines w:val="0"/>
                    <w:pageBreakBefore w:val="0"/>
                    <w:widowControl w:val="0"/>
                    <w:tabs>
                      <w:tab w:val="left" w:pos="1038"/>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2.</w:t>
                  </w:r>
                  <w:r>
                    <w:rPr>
                      <w:rFonts w:hint="default" w:ascii="Times New Roman" w:hAnsi="Times New Roman" w:eastAsia="宋体" w:cs="Times New Roman"/>
                      <w:color w:val="auto"/>
                      <w:kern w:val="2"/>
                      <w:sz w:val="21"/>
                      <w:szCs w:val="21"/>
                      <w:lang w:val="zh-TW" w:eastAsia="zh-TW" w:bidi="zh-TW"/>
                    </w:rPr>
                    <w:t>严格执行《中华人民共和国自然保护区条例》，禁止在自然保护区核心区、缓冲区的岸线和河段范围内投资建设旅游和生产经营项目。严格执行《风景名胜区条例》《江苏省风景名胜区管理条例》，禁止在国家级和省级风景名胜区核心景区的岸线和河段范围内投资建设与风景名胜资源保护无关的项目。自然保护区、风景名胜区由省林业局会同有关方面界定并落实管控责任。</w:t>
                  </w:r>
                </w:p>
              </w:tc>
              <w:tc>
                <w:tcPr>
                  <w:tcW w:w="937" w:type="pct"/>
                  <w:vMerge w:val="continue"/>
                  <w:vAlign w:val="center"/>
                </w:tcPr>
                <w:p w14:paraId="326B6608">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7C5BBDB9">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6CFFF6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3F1BE083">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D600FB1">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严格执行《中华人民共和国水污染防治法》《江苏省人民代表大会常务委员会关于加强饮用水源地保护的决定》《江苏省水污染防治条例》，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禁止在饮用水水源准保护区的岸线和河段范围内新建、扩建对水体污染严重的投资建设项目，改建项目应当消减排污量。饮用水水源一级保护区、二级保护区、准保护区由省生态环境厅会同水利等有关方面界定并落实管控责任。</w:t>
                  </w:r>
                </w:p>
              </w:tc>
              <w:tc>
                <w:tcPr>
                  <w:tcW w:w="937" w:type="pct"/>
                  <w:vAlign w:val="center"/>
                </w:tcPr>
                <w:p w14:paraId="78842FCB">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拟建项目</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sz w:val="21"/>
                      <w:szCs w:val="21"/>
                    </w:rPr>
                    <w:t>，用地性质为工业工地，不在国家确定的饮用水源保护区、生态保护红线、基本农田范围内。</w:t>
                  </w:r>
                </w:p>
              </w:tc>
              <w:tc>
                <w:tcPr>
                  <w:tcW w:w="437" w:type="pct"/>
                  <w:vAlign w:val="center"/>
                </w:tcPr>
                <w:p w14:paraId="1DD84A2D">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FC0D2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66D0EC3">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374AB2E8">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严格执行《水产种质资源保护区管理暂行办法》，禁止在国家级和省级水产种质资源保护区的岸线和河段范围内新建围湖造田、围海造地或围填海等投资建设项目。严格执行《中华人民共和国湿地保护法》《江苏省湿地保护条例》，禁止在国家湿地公园的岸线和河段范围内挖沙、采矿，以及任何不符合主体功能定位的投资建设项目。水产种质资源保护区、国家湿地公园分别由省农业农村厅、省林业局会同有关方面界定并落实管控责任。</w:t>
                  </w:r>
                </w:p>
              </w:tc>
              <w:tc>
                <w:tcPr>
                  <w:tcW w:w="937" w:type="pct"/>
                  <w:vMerge w:val="restart"/>
                  <w:vAlign w:val="center"/>
                </w:tcPr>
                <w:p w14:paraId="25CA528E">
                  <w:pPr>
                    <w:keepNext w:val="0"/>
                    <w:keepLines w:val="0"/>
                    <w:pageBreakBefore w:val="0"/>
                    <w:widowControl w:val="0"/>
                    <w:kinsoku/>
                    <w:wordWrap/>
                    <w:overflowPunct/>
                    <w:topLinePunct w:val="0"/>
                    <w:bidi w:val="0"/>
                    <w:spacing w:line="360" w:lineRule="exact"/>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拟建项目不涉及</w:t>
                  </w:r>
                  <w:r>
                    <w:rPr>
                      <w:rFonts w:hint="eastAsia" w:ascii="Times New Roman" w:hAnsi="Times New Roman" w:eastAsia="宋体" w:cs="Times New Roman"/>
                      <w:color w:val="auto"/>
                      <w:sz w:val="21"/>
                      <w:szCs w:val="21"/>
                      <w:lang w:eastAsia="zh-CN"/>
                    </w:rPr>
                    <w:t>。</w:t>
                  </w:r>
                </w:p>
              </w:tc>
              <w:tc>
                <w:tcPr>
                  <w:tcW w:w="437" w:type="pct"/>
                  <w:vAlign w:val="center"/>
                </w:tcPr>
                <w:p w14:paraId="4C4155BC">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28E1F4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3E1F6F15">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43A6BCDF">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禁止违法利用、占用长江流域河湖岸线。禁止在《长江岸线保护和开发利用总体规划》划定的岸线保护区和保留区内投资建设除事关公共安全及公众利益的防洪护岸、河道治理、供水、生态环境保护、航道整治、国家重要基础设施以外的项目。长江干支流基础设施项目应按照《长江岸线保护和开发利用总体规划》和生态环境保护、岸线保护等要求，按规定开展项目前期论证并办理相关手续。禁止在《全国重要江河湖泊水功能区划》划定的河段及湖泊保护区、保留区内投资建设不利于水资源及自然生态保护的项目。</w:t>
                  </w:r>
                </w:p>
              </w:tc>
              <w:tc>
                <w:tcPr>
                  <w:tcW w:w="937" w:type="pct"/>
                  <w:vMerge w:val="continue"/>
                  <w:vAlign w:val="center"/>
                </w:tcPr>
                <w:p w14:paraId="5BBBB56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3CF53BC7">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5ED5D58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B22EC84">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27F0E8FE">
                  <w:pPr>
                    <w:keepNext w:val="0"/>
                    <w:keepLines w:val="0"/>
                    <w:pageBreakBefore w:val="0"/>
                    <w:widowControl w:val="0"/>
                    <w:tabs>
                      <w:tab w:val="left" w:pos="1125"/>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6.</w:t>
                  </w:r>
                  <w:r>
                    <w:rPr>
                      <w:rFonts w:hint="default" w:ascii="Times New Roman" w:hAnsi="Times New Roman" w:eastAsia="宋体" w:cs="Times New Roman"/>
                      <w:color w:val="auto"/>
                      <w:kern w:val="2"/>
                      <w:sz w:val="21"/>
                      <w:szCs w:val="21"/>
                      <w:lang w:val="zh-TW" w:eastAsia="zh-TW" w:bidi="zh-TW"/>
                    </w:rPr>
                    <w:t>禁止未经许可在长江干支流及湖泊新设、改设或扩大排污口。</w:t>
                  </w:r>
                </w:p>
              </w:tc>
              <w:tc>
                <w:tcPr>
                  <w:tcW w:w="937" w:type="pct"/>
                  <w:vMerge w:val="continue"/>
                  <w:vAlign w:val="center"/>
                </w:tcPr>
                <w:p w14:paraId="5B7AB0B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14902603">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567F47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restart"/>
                  <w:vAlign w:val="center"/>
                </w:tcPr>
                <w:p w14:paraId="54AEC87B">
                  <w:pPr>
                    <w:keepNext w:val="0"/>
                    <w:keepLines w:val="0"/>
                    <w:pageBreakBefore w:val="0"/>
                    <w:widowControl w:val="0"/>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en-US" w:eastAsia="zh-CN" w:bidi="zh-TW"/>
                    </w:rPr>
                  </w:pPr>
                  <w:r>
                    <w:rPr>
                      <w:rFonts w:hint="default" w:ascii="Times New Roman" w:hAnsi="Times New Roman" w:eastAsia="宋体" w:cs="Times New Roman"/>
                      <w:b/>
                      <w:bCs/>
                      <w:color w:val="auto"/>
                      <w:kern w:val="2"/>
                      <w:sz w:val="21"/>
                      <w:szCs w:val="21"/>
                      <w:lang w:val="zh-TW" w:eastAsia="zh-TW" w:bidi="zh-TW"/>
                    </w:rPr>
                    <w:t>二、区域活动</w:t>
                  </w:r>
                </w:p>
              </w:tc>
              <w:tc>
                <w:tcPr>
                  <w:tcW w:w="3328" w:type="pct"/>
                  <w:vAlign w:val="center"/>
                </w:tcPr>
                <w:p w14:paraId="2396B53D">
                  <w:pPr>
                    <w:keepNext w:val="0"/>
                    <w:keepLines w:val="0"/>
                    <w:pageBreakBefore w:val="0"/>
                    <w:widowControl w:val="0"/>
                    <w:tabs>
                      <w:tab w:val="left" w:pos="1125"/>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7.</w:t>
                  </w:r>
                  <w:r>
                    <w:rPr>
                      <w:rFonts w:hint="default" w:ascii="Times New Roman" w:hAnsi="Times New Roman" w:eastAsia="宋体" w:cs="Times New Roman"/>
                      <w:color w:val="auto"/>
                      <w:kern w:val="2"/>
                      <w:sz w:val="21"/>
                      <w:szCs w:val="21"/>
                      <w:lang w:val="zh-TW" w:eastAsia="zh-TW" w:bidi="zh-TW"/>
                    </w:rPr>
                    <w:t>禁止长江干流、长江口、34个列入《率先全面禁捕的长江流域水生生物保护区名录》的水生生物保护区以及省规定的其它禁渔水域开展生产性捕捞。</w:t>
                  </w:r>
                </w:p>
              </w:tc>
              <w:tc>
                <w:tcPr>
                  <w:tcW w:w="937" w:type="pct"/>
                  <w:vMerge w:val="continue"/>
                  <w:vAlign w:val="center"/>
                </w:tcPr>
                <w:p w14:paraId="1177796D">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08A750FE">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15F894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4DA5C696">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6C2209F">
                  <w:pPr>
                    <w:keepNext w:val="0"/>
                    <w:keepLines w:val="0"/>
                    <w:pageBreakBefore w:val="0"/>
                    <w:widowControl w:val="0"/>
                    <w:tabs>
                      <w:tab w:val="left" w:pos="1125"/>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8.</w:t>
                  </w:r>
                  <w:r>
                    <w:rPr>
                      <w:rFonts w:hint="default" w:ascii="Times New Roman" w:hAnsi="Times New Roman" w:eastAsia="宋体" w:cs="Times New Roman"/>
                      <w:color w:val="auto"/>
                      <w:kern w:val="2"/>
                      <w:sz w:val="21"/>
                      <w:szCs w:val="21"/>
                      <w:lang w:val="zh-TW" w:eastAsia="zh-TW" w:bidi="zh-TW"/>
                    </w:rPr>
                    <w:t>禁止在距离长江干支流岸线一公里范围内新建、扩建化工园区和化工项目。长江干支流一公里按照长江干支流岸线边界（即水利部门河道管理范围边界）向陆域纵深一公里执行。</w:t>
                  </w:r>
                </w:p>
              </w:tc>
              <w:tc>
                <w:tcPr>
                  <w:tcW w:w="937" w:type="pct"/>
                  <w:vMerge w:val="continue"/>
                  <w:vAlign w:val="center"/>
                </w:tcPr>
                <w:p w14:paraId="2BA8D778">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3E1D69E2">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271E5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77" w:hRule="atLeast"/>
              </w:trPr>
              <w:tc>
                <w:tcPr>
                  <w:tcW w:w="296" w:type="pct"/>
                  <w:vMerge w:val="continue"/>
                  <w:vAlign w:val="center"/>
                </w:tcPr>
                <w:p w14:paraId="76FA0A63">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39E6C221">
                  <w:pPr>
                    <w:keepNext w:val="0"/>
                    <w:keepLines w:val="0"/>
                    <w:pageBreakBefore w:val="0"/>
                    <w:widowControl w:val="0"/>
                    <w:tabs>
                      <w:tab w:val="left" w:pos="1125"/>
                    </w:tabs>
                    <w:kinsoku/>
                    <w:wordWrap/>
                    <w:overflowPunct/>
                    <w:topLinePunct w:val="0"/>
                    <w:bidi w:val="0"/>
                    <w:spacing w:line="360" w:lineRule="exact"/>
                    <w:ind w:firstLine="0"/>
                    <w:jc w:val="left"/>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7.</w:t>
                  </w:r>
                  <w:r>
                    <w:rPr>
                      <w:rFonts w:hint="default" w:ascii="Times New Roman" w:hAnsi="Times New Roman" w:eastAsia="宋体" w:cs="Times New Roman"/>
                      <w:color w:val="auto"/>
                      <w:kern w:val="2"/>
                      <w:sz w:val="21"/>
                      <w:szCs w:val="21"/>
                      <w:lang w:val="zh-TW" w:eastAsia="zh-TW" w:bidi="zh-TW"/>
                    </w:rPr>
                    <w:t>禁止在长江干流岸线三公里范围内新建、改建、扩建尾矿库、冶炼渣库和磷石膏库，以提升安全、生态环境保护水平为目的的改建除外。</w:t>
                  </w:r>
                </w:p>
              </w:tc>
              <w:tc>
                <w:tcPr>
                  <w:tcW w:w="937" w:type="pct"/>
                  <w:vMerge w:val="continue"/>
                  <w:vAlign w:val="center"/>
                </w:tcPr>
                <w:p w14:paraId="38487E45">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2028431B">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5DFF77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D4D644F">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4164749E">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8.禁止在太湖流域一、二、三级保护区内开展《江苏省太湖水污染防治条例》禁止的投资建设活动。</w:t>
                  </w:r>
                </w:p>
              </w:tc>
              <w:tc>
                <w:tcPr>
                  <w:tcW w:w="937" w:type="pct"/>
                  <w:vMerge w:val="continue"/>
                  <w:vAlign w:val="center"/>
                </w:tcPr>
                <w:p w14:paraId="2386E358">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2E16AEBE">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310CF31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712486B6">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0819864D">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9.禁止在沿江地区新建、扩建未纳入国家和省布局规划的燃煤发电项目。</w:t>
                  </w:r>
                </w:p>
              </w:tc>
              <w:tc>
                <w:tcPr>
                  <w:tcW w:w="937" w:type="pct"/>
                  <w:vMerge w:val="continue"/>
                  <w:vAlign w:val="center"/>
                </w:tcPr>
                <w:p w14:paraId="3E3A3331">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60A9FB56">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3C7A6A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C8084B4">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06216AAD">
                  <w:pPr>
                    <w:keepNext w:val="0"/>
                    <w:keepLines w:val="0"/>
                    <w:pageBreakBefore w:val="0"/>
                    <w:widowControl w:val="0"/>
                    <w:tabs>
                      <w:tab w:val="left" w:pos="1198"/>
                    </w:tabs>
                    <w:kinsoku/>
                    <w:wordWrap/>
                    <w:overflowPunct/>
                    <w:topLinePunct w:val="0"/>
                    <w:bidi w:val="0"/>
                    <w:spacing w:line="360" w:lineRule="exact"/>
                    <w:ind w:firstLine="0"/>
                    <w:jc w:val="left"/>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10.</w:t>
                  </w:r>
                  <w:r>
                    <w:rPr>
                      <w:rFonts w:hint="default" w:ascii="Times New Roman" w:hAnsi="Times New Roman" w:eastAsia="宋体" w:cs="Times New Roman"/>
                      <w:color w:val="auto"/>
                      <w:kern w:val="2"/>
                      <w:sz w:val="21"/>
                      <w:szCs w:val="21"/>
                      <w:lang w:val="zh-TW" w:eastAsia="zh-TW" w:bidi="zh-TW"/>
                    </w:rPr>
                    <w:t>禁止在合规园区外新建、扩建钢铁、石化、化工、焦化、建材、有色、制浆造纸等高污染项目。合规园区名录按照《〈长江经济带发展负面清单指南（试行，2022年版）〉江苏省实施细则合规园区名录》执行。</w:t>
                  </w:r>
                </w:p>
              </w:tc>
              <w:tc>
                <w:tcPr>
                  <w:tcW w:w="937" w:type="pct"/>
                  <w:vAlign w:val="center"/>
                </w:tcPr>
                <w:p w14:paraId="6EEDEA3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拟建项目</w:t>
                  </w: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r>
                    <w:rPr>
                      <w:rFonts w:hint="default" w:ascii="Times New Roman" w:hAnsi="Times New Roman" w:eastAsia="宋体" w:cs="Times New Roman"/>
                      <w:color w:val="auto"/>
                      <w:sz w:val="21"/>
                      <w:szCs w:val="21"/>
                    </w:rPr>
                    <w:t>，不属于钢铁、石化、化工、焦化、建材、有色等高污染项目。</w:t>
                  </w:r>
                </w:p>
              </w:tc>
              <w:tc>
                <w:tcPr>
                  <w:tcW w:w="437" w:type="pct"/>
                  <w:vAlign w:val="center"/>
                </w:tcPr>
                <w:p w14:paraId="5838AF2E">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1D3D800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2B8E414D">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405E8ECE">
                  <w:pPr>
                    <w:keepNext w:val="0"/>
                    <w:keepLines w:val="0"/>
                    <w:pageBreakBefore w:val="0"/>
                    <w:widowControl w:val="0"/>
                    <w:tabs>
                      <w:tab w:val="left" w:pos="1151"/>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11.</w:t>
                  </w:r>
                  <w:r>
                    <w:rPr>
                      <w:rFonts w:hint="default" w:ascii="Times New Roman" w:hAnsi="Times New Roman" w:eastAsia="宋体" w:cs="Times New Roman"/>
                      <w:color w:val="auto"/>
                      <w:kern w:val="2"/>
                      <w:sz w:val="21"/>
                      <w:szCs w:val="21"/>
                      <w:lang w:val="zh-TW" w:eastAsia="zh-TW" w:bidi="zh-TW"/>
                    </w:rPr>
                    <w:t>禁止在取消化工定位的园区（集中区）内新建化工项目。</w:t>
                  </w:r>
                </w:p>
              </w:tc>
              <w:tc>
                <w:tcPr>
                  <w:tcW w:w="937" w:type="pct"/>
                  <w:vMerge w:val="restart"/>
                  <w:vAlign w:val="center"/>
                </w:tcPr>
                <w:p w14:paraId="2F6F37A6">
                  <w:pPr>
                    <w:keepNext w:val="0"/>
                    <w:keepLines w:val="0"/>
                    <w:pageBreakBefore w:val="0"/>
                    <w:widowControl w:val="0"/>
                    <w:kinsoku/>
                    <w:wordWrap/>
                    <w:overflowPunct/>
                    <w:topLinePunct w:val="0"/>
                    <w:bidi w:val="0"/>
                    <w:spacing w:line="360" w:lineRule="exact"/>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拟建项目不涉及</w:t>
                  </w:r>
                  <w:r>
                    <w:rPr>
                      <w:rFonts w:hint="eastAsia" w:ascii="Times New Roman" w:hAnsi="Times New Roman" w:eastAsia="宋体" w:cs="Times New Roman"/>
                      <w:color w:val="auto"/>
                      <w:sz w:val="21"/>
                      <w:szCs w:val="21"/>
                      <w:lang w:eastAsia="zh-CN"/>
                    </w:rPr>
                    <w:t>。</w:t>
                  </w:r>
                </w:p>
              </w:tc>
              <w:tc>
                <w:tcPr>
                  <w:tcW w:w="437" w:type="pct"/>
                  <w:vAlign w:val="center"/>
                </w:tcPr>
                <w:p w14:paraId="6ADDF3D5">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0EF00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3F024DD8">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CDC3D7B">
                  <w:pPr>
                    <w:keepNext w:val="0"/>
                    <w:keepLines w:val="0"/>
                    <w:pageBreakBefore w:val="0"/>
                    <w:widowControl w:val="0"/>
                    <w:kinsoku/>
                    <w:wordWrap/>
                    <w:overflowPunct/>
                    <w:topLinePunct w:val="0"/>
                    <w:bidi w:val="0"/>
                    <w:spacing w:line="360" w:lineRule="exact"/>
                    <w:ind w:firstLine="0"/>
                    <w:jc w:val="left"/>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12.</w:t>
                  </w:r>
                  <w:r>
                    <w:rPr>
                      <w:rFonts w:hint="default" w:ascii="Times New Roman" w:hAnsi="Times New Roman" w:eastAsia="宋体" w:cs="Times New Roman"/>
                      <w:color w:val="auto"/>
                      <w:kern w:val="2"/>
                      <w:sz w:val="21"/>
                      <w:szCs w:val="21"/>
                      <w:lang w:val="zh-TW" w:eastAsia="zh-TW" w:bidi="zh-TW"/>
                    </w:rPr>
                    <w:t>禁止在化工企业周边建设不符合安全距离规定的劳动密集型的非化工项目和其他人员密集的公共设施项目。</w:t>
                  </w:r>
                </w:p>
              </w:tc>
              <w:tc>
                <w:tcPr>
                  <w:tcW w:w="937" w:type="pct"/>
                  <w:vMerge w:val="continue"/>
                  <w:vAlign w:val="center"/>
                </w:tcPr>
                <w:p w14:paraId="11358A09">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567B5EC6">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6859D3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296" w:type="pct"/>
                  <w:vMerge w:val="restart"/>
                  <w:vAlign w:val="center"/>
                </w:tcPr>
                <w:p w14:paraId="73E8BCF2">
                  <w:pPr>
                    <w:keepNext w:val="0"/>
                    <w:keepLines w:val="0"/>
                    <w:pageBreakBefore w:val="0"/>
                    <w:widowControl w:val="0"/>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en-US" w:eastAsia="zh-CN" w:bidi="zh-TW"/>
                    </w:rPr>
                  </w:pPr>
                  <w:r>
                    <w:rPr>
                      <w:rFonts w:hint="default" w:ascii="Times New Roman" w:hAnsi="Times New Roman" w:eastAsia="宋体" w:cs="Times New Roman"/>
                      <w:b/>
                      <w:bCs/>
                      <w:color w:val="auto"/>
                      <w:kern w:val="2"/>
                      <w:sz w:val="21"/>
                      <w:szCs w:val="21"/>
                      <w:lang w:val="zh-TW" w:eastAsia="zh-TW" w:bidi="zh-TW"/>
                    </w:rPr>
                    <w:t>三、产业发展</w:t>
                  </w:r>
                </w:p>
              </w:tc>
              <w:tc>
                <w:tcPr>
                  <w:tcW w:w="3328" w:type="pct"/>
                  <w:vAlign w:val="center"/>
                </w:tcPr>
                <w:p w14:paraId="45F0433D">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13.禁止新建、扩建不符合国家和省产业政策的尿素、磷镂、电石、烧碱、聚氯乙烯、纯碱等行业新增产能项目。</w:t>
                  </w:r>
                </w:p>
              </w:tc>
              <w:tc>
                <w:tcPr>
                  <w:tcW w:w="937" w:type="pct"/>
                  <w:vMerge w:val="continue"/>
                  <w:vAlign w:val="center"/>
                </w:tcPr>
                <w:p w14:paraId="65C5C400">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1D9D6B9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F0478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54" w:hRule="atLeast"/>
              </w:trPr>
              <w:tc>
                <w:tcPr>
                  <w:tcW w:w="296" w:type="pct"/>
                  <w:vMerge w:val="continue"/>
                  <w:vAlign w:val="center"/>
                </w:tcPr>
                <w:p w14:paraId="4A621B47">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65A6FE8E">
                  <w:pPr>
                    <w:keepNext w:val="0"/>
                    <w:keepLines w:val="0"/>
                    <w:pageBreakBefore w:val="0"/>
                    <w:widowControl w:val="0"/>
                    <w:kinsoku/>
                    <w:wordWrap/>
                    <w:overflowPunct/>
                    <w:topLinePunct w:val="0"/>
                    <w:autoSpaceDE w:val="0"/>
                    <w:autoSpaceDN w:val="0"/>
                    <w:bidi w:val="0"/>
                    <w:adjustRightInd w:val="0"/>
                    <w:snapToGrid w:val="0"/>
                    <w:spacing w:line="360" w:lineRule="exac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14.禁止新建、改建、扩建高毒、高残留以及对环境影响大的农药原药（化学合成类）项目，禁止新建、扩建不符合国家和省产业政策的农药、医药和染料中间体化工项目。</w:t>
                  </w:r>
                </w:p>
              </w:tc>
              <w:tc>
                <w:tcPr>
                  <w:tcW w:w="937" w:type="pct"/>
                  <w:vMerge w:val="continue"/>
                  <w:vAlign w:val="center"/>
                </w:tcPr>
                <w:p w14:paraId="43EC604E">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5129A51A">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6BAF90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702666B4">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396BFBDA">
                  <w:pPr>
                    <w:keepNext w:val="0"/>
                    <w:keepLines w:val="0"/>
                    <w:pageBreakBefore w:val="0"/>
                    <w:widowControl w:val="0"/>
                    <w:tabs>
                      <w:tab w:val="left" w:pos="1195"/>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15.</w:t>
                  </w:r>
                  <w:r>
                    <w:rPr>
                      <w:rFonts w:hint="default" w:ascii="Times New Roman" w:hAnsi="Times New Roman" w:eastAsia="宋体" w:cs="Times New Roman"/>
                      <w:color w:val="auto"/>
                      <w:kern w:val="2"/>
                      <w:sz w:val="21"/>
                      <w:szCs w:val="21"/>
                      <w:lang w:val="zh-TW" w:eastAsia="zh-TW" w:bidi="zh-TW"/>
                    </w:rPr>
                    <w:t>禁止新建、扩建不符合国家石化、现代煤化工等产业布局规划的项目，禁止新建独立焦化项目。</w:t>
                  </w:r>
                </w:p>
              </w:tc>
              <w:tc>
                <w:tcPr>
                  <w:tcW w:w="937" w:type="pct"/>
                  <w:vMerge w:val="continue"/>
                  <w:vAlign w:val="center"/>
                </w:tcPr>
                <w:p w14:paraId="5129D41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p>
              </w:tc>
              <w:tc>
                <w:tcPr>
                  <w:tcW w:w="437" w:type="pct"/>
                  <w:vAlign w:val="center"/>
                </w:tcPr>
                <w:p w14:paraId="448CEF25">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75CA0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01F294A">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4A206E9">
                  <w:pPr>
                    <w:keepNext w:val="0"/>
                    <w:keepLines w:val="0"/>
                    <w:pageBreakBefore w:val="0"/>
                    <w:widowControl w:val="0"/>
                    <w:tabs>
                      <w:tab w:val="left" w:pos="1208"/>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16.</w:t>
                  </w:r>
                  <w:r>
                    <w:rPr>
                      <w:rFonts w:hint="default" w:ascii="Times New Roman" w:hAnsi="Times New Roman" w:eastAsia="宋体" w:cs="Times New Roman"/>
                      <w:color w:val="auto"/>
                      <w:kern w:val="2"/>
                      <w:sz w:val="21"/>
                      <w:szCs w:val="21"/>
                      <w:lang w:val="zh-TW" w:eastAsia="zh-TW" w:bidi="zh-TW"/>
                    </w:rPr>
                    <w:t>禁止新建、扩建国家《产业结构调整指导目录》《江苏省产业结构调整限制、淘汰和禁止目录》明确的限制类、淘汰类、禁止类项目，法律法规和相关政策明令禁止的落后产能项目，以及明令淘汰的安全生产落后工艺及装备项目。</w:t>
                  </w:r>
                </w:p>
              </w:tc>
              <w:tc>
                <w:tcPr>
                  <w:tcW w:w="937" w:type="pct"/>
                  <w:vMerge w:val="restart"/>
                  <w:vAlign w:val="center"/>
                </w:tcPr>
                <w:p w14:paraId="73738BBB">
                  <w:pPr>
                    <w:keepNext w:val="0"/>
                    <w:keepLines w:val="0"/>
                    <w:pageBreakBefore w:val="0"/>
                    <w:widowControl w:val="0"/>
                    <w:kinsoku/>
                    <w:wordWrap/>
                    <w:overflowPunct/>
                    <w:topLinePunct w:val="0"/>
                    <w:bidi w:val="0"/>
                    <w:spacing w:line="36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拟建项目不属于国家《产业结构调整指导目录》《江苏省产业结构调整限制、淘汰和禁止目录》明确的限制类、淘汰类、禁止类项目，法律法规和相关政策明令禁止的落后产能项目，以及明令淘汰的安全生产落后工艺及装备项目。</w:t>
                  </w:r>
                </w:p>
              </w:tc>
              <w:tc>
                <w:tcPr>
                  <w:tcW w:w="437" w:type="pct"/>
                  <w:vAlign w:val="center"/>
                </w:tcPr>
                <w:p w14:paraId="49821B40">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D2A49E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3DAE1D6">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03A26A54">
                  <w:pPr>
                    <w:keepNext w:val="0"/>
                    <w:keepLines w:val="0"/>
                    <w:pageBreakBefore w:val="0"/>
                    <w:widowControl w:val="0"/>
                    <w:tabs>
                      <w:tab w:val="left" w:pos="1195"/>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17.</w:t>
                  </w:r>
                  <w:r>
                    <w:rPr>
                      <w:rFonts w:hint="default" w:ascii="Times New Roman" w:hAnsi="Times New Roman" w:eastAsia="宋体" w:cs="Times New Roman"/>
                      <w:color w:val="auto"/>
                      <w:kern w:val="2"/>
                      <w:sz w:val="21"/>
                      <w:szCs w:val="21"/>
                      <w:lang w:val="zh-TW" w:eastAsia="zh-TW" w:bidi="zh-TW"/>
                    </w:rPr>
                    <w:t>禁止新建、扩建不符合国家产能置换要求的严重过剩产能行业的项目。禁止新建、扩建不符合要求的高耗能高排放项目。</w:t>
                  </w:r>
                </w:p>
              </w:tc>
              <w:tc>
                <w:tcPr>
                  <w:tcW w:w="937" w:type="pct"/>
                  <w:vMerge w:val="continue"/>
                  <w:vAlign w:val="center"/>
                </w:tcPr>
                <w:p w14:paraId="6E4BD0C8">
                  <w:pPr>
                    <w:keepNext w:val="0"/>
                    <w:keepLines w:val="0"/>
                    <w:pageBreakBefore w:val="0"/>
                    <w:widowControl w:val="0"/>
                    <w:kinsoku/>
                    <w:wordWrap/>
                    <w:overflowPunct/>
                    <w:topLinePunct w:val="0"/>
                    <w:bidi w:val="0"/>
                    <w:spacing w:line="360" w:lineRule="exact"/>
                    <w:textAlignment w:val="auto"/>
                    <w:rPr>
                      <w:rFonts w:hint="default" w:ascii="Times New Roman" w:hAnsi="Times New Roman" w:eastAsia="宋体" w:cs="Times New Roman"/>
                      <w:color w:val="auto"/>
                      <w:sz w:val="21"/>
                      <w:szCs w:val="21"/>
                    </w:rPr>
                  </w:pPr>
                </w:p>
              </w:tc>
              <w:tc>
                <w:tcPr>
                  <w:tcW w:w="437" w:type="pct"/>
                  <w:vAlign w:val="center"/>
                </w:tcPr>
                <w:p w14:paraId="53735BA5">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491E35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3A7869EA">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56E12836">
                  <w:pPr>
                    <w:keepNext w:val="0"/>
                    <w:keepLines w:val="0"/>
                    <w:pageBreakBefore w:val="0"/>
                    <w:widowControl w:val="0"/>
                    <w:tabs>
                      <w:tab w:val="left" w:pos="1214"/>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zh-TW" w:eastAsia="zh-CN" w:bidi="zh-TW"/>
                    </w:rPr>
                  </w:pPr>
                  <w:r>
                    <w:rPr>
                      <w:rFonts w:hint="default" w:ascii="Times New Roman" w:hAnsi="Times New Roman" w:eastAsia="宋体" w:cs="Times New Roman"/>
                      <w:color w:val="auto"/>
                      <w:kern w:val="2"/>
                      <w:sz w:val="21"/>
                      <w:szCs w:val="21"/>
                      <w:lang w:val="en-US" w:eastAsia="zh-CN" w:bidi="zh-TW"/>
                    </w:rPr>
                    <w:t>18.</w:t>
                  </w:r>
                  <w:r>
                    <w:rPr>
                      <w:rFonts w:hint="default" w:ascii="Times New Roman" w:hAnsi="Times New Roman" w:eastAsia="宋体" w:cs="Times New Roman"/>
                      <w:color w:val="auto"/>
                      <w:kern w:val="2"/>
                      <w:sz w:val="21"/>
                      <w:szCs w:val="21"/>
                      <w:lang w:val="zh-TW" w:eastAsia="zh-TW" w:bidi="zh-TW"/>
                    </w:rPr>
                    <w:t>法律法规及相关政策文件有更加严格规定的从其规定。</w:t>
                  </w:r>
                </w:p>
              </w:tc>
              <w:tc>
                <w:tcPr>
                  <w:tcW w:w="937" w:type="pct"/>
                  <w:vMerge w:val="continue"/>
                  <w:vAlign w:val="center"/>
                </w:tcPr>
                <w:p w14:paraId="295EA2CB">
                  <w:pPr>
                    <w:keepNext w:val="0"/>
                    <w:keepLines w:val="0"/>
                    <w:pageBreakBefore w:val="0"/>
                    <w:widowControl w:val="0"/>
                    <w:kinsoku/>
                    <w:wordWrap/>
                    <w:overflowPunct/>
                    <w:topLinePunct w:val="0"/>
                    <w:bidi w:val="0"/>
                    <w:spacing w:line="360" w:lineRule="exact"/>
                    <w:textAlignment w:val="auto"/>
                    <w:rPr>
                      <w:rFonts w:hint="default" w:ascii="Times New Roman" w:hAnsi="Times New Roman" w:eastAsia="宋体" w:cs="Times New Roman"/>
                      <w:color w:val="auto"/>
                      <w:sz w:val="21"/>
                      <w:szCs w:val="21"/>
                    </w:rPr>
                  </w:pPr>
                </w:p>
              </w:tc>
              <w:tc>
                <w:tcPr>
                  <w:tcW w:w="437" w:type="pct"/>
                  <w:vAlign w:val="center"/>
                </w:tcPr>
                <w:p w14:paraId="12171207">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734600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5E9EE36F">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622AB9EE">
                  <w:pPr>
                    <w:keepNext w:val="0"/>
                    <w:keepLines w:val="0"/>
                    <w:pageBreakBefore w:val="0"/>
                    <w:widowControl w:val="0"/>
                    <w:tabs>
                      <w:tab w:val="left" w:pos="1214"/>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en-US" w:eastAsia="zh-CN" w:bidi="zh-TW"/>
                    </w:rPr>
                  </w:pPr>
                  <w:r>
                    <w:rPr>
                      <w:rFonts w:hint="eastAsia" w:ascii="Times New Roman" w:hAnsi="Times New Roman" w:eastAsia="宋体" w:cs="Times New Roman"/>
                      <w:color w:val="auto"/>
                      <w:kern w:val="2"/>
                      <w:sz w:val="21"/>
                      <w:szCs w:val="21"/>
                      <w:lang w:val="en-US" w:eastAsia="zh-CN" w:bidi="zh-TW"/>
                    </w:rPr>
                    <w:t>19.</w:t>
                  </w:r>
                  <w:r>
                    <w:rPr>
                      <w:rFonts w:hint="default" w:ascii="Times New Roman" w:hAnsi="Times New Roman" w:eastAsia="宋体" w:cs="Times New Roman"/>
                      <w:color w:val="auto"/>
                      <w:kern w:val="2"/>
                      <w:sz w:val="21"/>
                      <w:szCs w:val="21"/>
                      <w:lang w:val="en-US" w:eastAsia="zh-CN" w:bidi="zh-TW"/>
                    </w:rPr>
                    <w:t>禁止新建、扩建不符合国家产能置换要求的严重过剩产能行业的项目。禁止新建、扩建不符合要求的高耗能高排放项目。</w:t>
                  </w:r>
                </w:p>
              </w:tc>
              <w:tc>
                <w:tcPr>
                  <w:tcW w:w="937" w:type="pct"/>
                  <w:vMerge w:val="continue"/>
                  <w:vAlign w:val="center"/>
                </w:tcPr>
                <w:p w14:paraId="4BD56040">
                  <w:pPr>
                    <w:keepNext w:val="0"/>
                    <w:keepLines w:val="0"/>
                    <w:pageBreakBefore w:val="0"/>
                    <w:widowControl w:val="0"/>
                    <w:kinsoku/>
                    <w:wordWrap/>
                    <w:overflowPunct/>
                    <w:topLinePunct w:val="0"/>
                    <w:bidi w:val="0"/>
                    <w:spacing w:line="360" w:lineRule="exact"/>
                    <w:textAlignment w:val="auto"/>
                    <w:rPr>
                      <w:rFonts w:hint="default" w:ascii="Times New Roman" w:hAnsi="Times New Roman" w:eastAsia="宋体" w:cs="Times New Roman"/>
                      <w:color w:val="auto"/>
                      <w:sz w:val="21"/>
                      <w:szCs w:val="21"/>
                    </w:rPr>
                  </w:pPr>
                </w:p>
              </w:tc>
              <w:tc>
                <w:tcPr>
                  <w:tcW w:w="437" w:type="pct"/>
                  <w:vAlign w:val="center"/>
                </w:tcPr>
                <w:p w14:paraId="358494FF">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r w14:paraId="5562DB4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296" w:type="pct"/>
                  <w:vMerge w:val="continue"/>
                  <w:vAlign w:val="center"/>
                </w:tcPr>
                <w:p w14:paraId="420D3F71">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sz w:val="21"/>
                      <w:szCs w:val="21"/>
                    </w:rPr>
                  </w:pPr>
                </w:p>
              </w:tc>
              <w:tc>
                <w:tcPr>
                  <w:tcW w:w="3328" w:type="pct"/>
                  <w:vAlign w:val="center"/>
                </w:tcPr>
                <w:p w14:paraId="73B6EFDB">
                  <w:pPr>
                    <w:keepNext w:val="0"/>
                    <w:keepLines w:val="0"/>
                    <w:pageBreakBefore w:val="0"/>
                    <w:widowControl w:val="0"/>
                    <w:tabs>
                      <w:tab w:val="left" w:pos="1214"/>
                    </w:tabs>
                    <w:kinsoku/>
                    <w:wordWrap/>
                    <w:overflowPunct/>
                    <w:topLinePunct w:val="0"/>
                    <w:bidi w:val="0"/>
                    <w:spacing w:line="360" w:lineRule="exact"/>
                    <w:ind w:firstLine="0"/>
                    <w:jc w:val="both"/>
                    <w:textAlignment w:val="auto"/>
                    <w:rPr>
                      <w:rFonts w:hint="default" w:ascii="Times New Roman" w:hAnsi="Times New Roman" w:eastAsia="宋体" w:cs="Times New Roman"/>
                      <w:color w:val="auto"/>
                      <w:kern w:val="2"/>
                      <w:sz w:val="21"/>
                      <w:szCs w:val="21"/>
                      <w:lang w:val="en-US" w:eastAsia="zh-CN" w:bidi="zh-TW"/>
                    </w:rPr>
                  </w:pPr>
                  <w:r>
                    <w:rPr>
                      <w:rFonts w:hint="eastAsia" w:ascii="Times New Roman" w:hAnsi="Times New Roman" w:eastAsia="宋体" w:cs="Times New Roman"/>
                      <w:color w:val="auto"/>
                      <w:kern w:val="2"/>
                      <w:sz w:val="21"/>
                      <w:szCs w:val="21"/>
                      <w:lang w:val="en-US" w:eastAsia="zh-CN" w:bidi="zh-TW"/>
                    </w:rPr>
                    <w:t>20.</w:t>
                  </w:r>
                  <w:r>
                    <w:rPr>
                      <w:rFonts w:hint="default" w:ascii="Times New Roman" w:hAnsi="Times New Roman" w:eastAsia="宋体" w:cs="Times New Roman"/>
                      <w:color w:val="auto"/>
                      <w:kern w:val="2"/>
                      <w:sz w:val="21"/>
                      <w:szCs w:val="21"/>
                      <w:lang w:val="en-US" w:eastAsia="zh-CN" w:bidi="zh-TW"/>
                    </w:rPr>
                    <w:t>法律法规及相关政策文件有更加严格规定的从其规定。</w:t>
                  </w:r>
                </w:p>
              </w:tc>
              <w:tc>
                <w:tcPr>
                  <w:tcW w:w="937" w:type="pct"/>
                  <w:vMerge w:val="continue"/>
                  <w:vAlign w:val="center"/>
                </w:tcPr>
                <w:p w14:paraId="1463306B">
                  <w:pPr>
                    <w:keepNext w:val="0"/>
                    <w:keepLines w:val="0"/>
                    <w:pageBreakBefore w:val="0"/>
                    <w:widowControl w:val="0"/>
                    <w:kinsoku/>
                    <w:wordWrap/>
                    <w:overflowPunct/>
                    <w:topLinePunct w:val="0"/>
                    <w:bidi w:val="0"/>
                    <w:spacing w:line="360" w:lineRule="exact"/>
                    <w:textAlignment w:val="auto"/>
                    <w:rPr>
                      <w:rFonts w:hint="default" w:ascii="Times New Roman" w:hAnsi="Times New Roman" w:eastAsia="宋体" w:cs="Times New Roman"/>
                      <w:color w:val="auto"/>
                      <w:sz w:val="21"/>
                      <w:szCs w:val="21"/>
                    </w:rPr>
                  </w:pPr>
                </w:p>
              </w:tc>
              <w:tc>
                <w:tcPr>
                  <w:tcW w:w="437" w:type="pct"/>
                  <w:vAlign w:val="center"/>
                </w:tcPr>
                <w:p w14:paraId="14BB2E5D">
                  <w:pPr>
                    <w:keepNext w:val="0"/>
                    <w:keepLines w:val="0"/>
                    <w:pageBreakBefore w:val="0"/>
                    <w:widowControl w:val="0"/>
                    <w:kinsoku/>
                    <w:wordWrap/>
                    <w:overflowPunct/>
                    <w:topLinePunct w:val="0"/>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符合</w:t>
                  </w:r>
                </w:p>
              </w:tc>
            </w:tr>
          </w:tbl>
          <w:p w14:paraId="661776AE">
            <w:pPr>
              <w:adjustRightInd w:val="0"/>
              <w:snapToGrid w:val="0"/>
              <w:spacing w:line="500" w:lineRule="exact"/>
              <w:ind w:firstLine="440" w:firstLineChars="200"/>
              <w:rPr>
                <w:rFonts w:ascii="Times New Roman" w:hAnsi="Times New Roman" w:eastAsia="宋体" w:cs="Times New Roman"/>
                <w:color w:val="auto"/>
                <w:sz w:val="24"/>
              </w:rPr>
            </w:pPr>
            <w:r>
              <w:rPr>
                <w:rFonts w:hint="default" w:ascii="Times New Roman" w:hAnsi="Times New Roman" w:eastAsia="宋体" w:cs="Times New Roman"/>
                <w:color w:val="auto"/>
                <w:sz w:val="22"/>
                <w:szCs w:val="22"/>
              </w:rPr>
              <w:t>由上表分析可知，拟建项目符合《关于印发&lt;长江经济带发展负面清单指南（试行，2022年版）&gt;江苏省实施细则》的相关要求。</w:t>
            </w:r>
          </w:p>
          <w:p w14:paraId="4798334A">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442" w:firstLineChars="200"/>
              <w:textAlignment w:val="auto"/>
              <w:outlineLvl w:val="9"/>
              <w:rPr>
                <w:rFonts w:hint="eastAsia" w:ascii="宋体" w:hAnsi="宋体" w:eastAsia="宋体" w:cs="宋体"/>
                <w:b w:val="0"/>
                <w:bCs/>
                <w:color w:val="auto"/>
                <w:w w:val="100"/>
                <w:sz w:val="22"/>
                <w:szCs w:val="22"/>
                <w:lang w:val="en-US" w:eastAsia="zh-CN"/>
              </w:rPr>
            </w:pPr>
            <w:r>
              <w:rPr>
                <w:rFonts w:hint="eastAsia" w:ascii="Times New Roman" w:hAnsi="Times New Roman" w:eastAsia="宋体" w:cs="Times New Roman"/>
                <w:b/>
                <w:color w:val="auto"/>
                <w:w w:val="100"/>
                <w:sz w:val="22"/>
                <w:szCs w:val="22"/>
                <w:lang w:val="en-US" w:eastAsia="zh-CN"/>
              </w:rPr>
              <w:t>⑶与环保、流域政策相符性</w:t>
            </w:r>
          </w:p>
          <w:p w14:paraId="529DE613">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440" w:firstLineChars="200"/>
              <w:textAlignment w:val="auto"/>
              <w:outlineLvl w:val="9"/>
              <w:rPr>
                <w:rFonts w:hint="eastAsia" w:ascii="宋体" w:hAnsi="宋体" w:eastAsia="宋体" w:cs="宋体"/>
                <w:b w:val="0"/>
                <w:bCs/>
                <w:color w:val="auto"/>
                <w:w w:val="100"/>
                <w:sz w:val="22"/>
                <w:szCs w:val="22"/>
                <w:lang w:val="en-US" w:eastAsia="zh-CN"/>
              </w:rPr>
            </w:pPr>
            <w:r>
              <w:rPr>
                <w:rFonts w:hint="eastAsia" w:ascii="宋体" w:hAnsi="宋体" w:eastAsia="宋体" w:cs="宋体"/>
                <w:b w:val="0"/>
                <w:bCs/>
                <w:color w:val="auto"/>
                <w:w w:val="100"/>
                <w:sz w:val="22"/>
                <w:szCs w:val="22"/>
                <w:lang w:val="en-US" w:eastAsia="zh-CN"/>
              </w:rPr>
              <w:t>本项目与相关环保政策相符性分析见下表。</w:t>
            </w:r>
          </w:p>
          <w:p w14:paraId="22F0BA61">
            <w:pPr>
              <w:keepNext w:val="0"/>
              <w:keepLines w:val="0"/>
              <w:pageBreakBefore w:val="0"/>
              <w:widowControl w:val="0"/>
              <w:kinsoku/>
              <w:wordWrap/>
              <w:overflowPunct/>
              <w:topLinePunct w:val="0"/>
              <w:autoSpaceDE w:val="0"/>
              <w:autoSpaceDN w:val="0"/>
              <w:bidi w:val="0"/>
              <w:adjustRightInd w:val="0"/>
              <w:snapToGrid w:val="0"/>
              <w:spacing w:beforeAutospacing="0" w:afterAutospacing="0" w:line="500" w:lineRule="exact"/>
              <w:ind w:left="0" w:leftChars="0" w:firstLine="0" w:firstLineChars="0"/>
              <w:jc w:val="center"/>
              <w:textAlignment w:val="auto"/>
              <w:outlineLvl w:val="9"/>
              <w:rPr>
                <w:rFonts w:hint="eastAsia" w:ascii="宋体" w:hAnsi="宋体" w:eastAsia="宋体" w:cs="宋体"/>
                <w:b w:val="0"/>
                <w:bCs/>
                <w:color w:val="auto"/>
                <w:w w:val="100"/>
                <w:sz w:val="22"/>
                <w:szCs w:val="22"/>
                <w:lang w:val="en-US" w:eastAsia="zh-CN"/>
              </w:rPr>
            </w:pPr>
            <w:r>
              <w:rPr>
                <w:rFonts w:hint="eastAsia" w:ascii="Times New Roman" w:hAnsi="Times New Roman" w:eastAsia="宋体" w:cs="Times New Roman"/>
                <w:b/>
                <w:bCs/>
                <w:color w:val="auto"/>
                <w:kern w:val="2"/>
                <w:sz w:val="22"/>
                <w:szCs w:val="22"/>
                <w:lang w:val="zh-CN" w:eastAsia="zh-CN" w:bidi="ar-SA"/>
              </w:rPr>
              <w:t>表</w:t>
            </w:r>
            <w:r>
              <w:rPr>
                <w:rFonts w:hint="eastAsia" w:ascii="Times New Roman" w:hAnsi="Times New Roman" w:eastAsia="宋体" w:cs="Times New Roman"/>
                <w:b/>
                <w:bCs/>
                <w:color w:val="auto"/>
                <w:kern w:val="2"/>
                <w:sz w:val="22"/>
                <w:szCs w:val="22"/>
                <w:lang w:val="en-US" w:eastAsia="zh-CN" w:bidi="ar-SA"/>
              </w:rPr>
              <w:t>1.2-3  本</w:t>
            </w:r>
            <w:r>
              <w:rPr>
                <w:rFonts w:hint="eastAsia" w:ascii="Times New Roman" w:hAnsi="Times New Roman" w:eastAsia="宋体" w:cs="Times New Roman"/>
                <w:b/>
                <w:bCs/>
                <w:color w:val="auto"/>
                <w:kern w:val="2"/>
                <w:sz w:val="22"/>
                <w:szCs w:val="22"/>
                <w:lang w:val="zh-CN" w:eastAsia="zh-CN" w:bidi="ar-SA"/>
              </w:rPr>
              <w:t>项目与环保、流域政策相符性分析表</w:t>
            </w:r>
          </w:p>
          <w:tbl>
            <w:tblPr>
              <w:tblStyle w:val="44"/>
              <w:tblW w:w="499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8021"/>
              <w:gridCol w:w="3475"/>
              <w:gridCol w:w="653"/>
            </w:tblGrid>
            <w:tr w14:paraId="0FEDB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tcBorders>
                    <w:top w:val="single" w:color="auto" w:sz="12" w:space="0"/>
                  </w:tcBorders>
                  <w:tcMar>
                    <w:top w:w="0" w:type="dxa"/>
                    <w:left w:w="28" w:type="dxa"/>
                    <w:bottom w:w="0" w:type="dxa"/>
                    <w:right w:w="28" w:type="dxa"/>
                  </w:tcMar>
                  <w:vAlign w:val="center"/>
                </w:tcPr>
                <w:p w14:paraId="4EC6D53D">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文件</w:t>
                  </w:r>
                </w:p>
              </w:tc>
              <w:tc>
                <w:tcPr>
                  <w:tcW w:w="2885" w:type="pct"/>
                  <w:tcBorders>
                    <w:top w:val="single" w:color="auto" w:sz="12" w:space="0"/>
                  </w:tcBorders>
                  <w:tcMar>
                    <w:top w:w="0" w:type="dxa"/>
                    <w:left w:w="28" w:type="dxa"/>
                    <w:bottom w:w="0" w:type="dxa"/>
                    <w:right w:w="28" w:type="dxa"/>
                  </w:tcMar>
                  <w:vAlign w:val="center"/>
                </w:tcPr>
                <w:p w14:paraId="7957EB9D">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文件内容</w:t>
                  </w:r>
                </w:p>
              </w:tc>
              <w:tc>
                <w:tcPr>
                  <w:tcW w:w="1250" w:type="pct"/>
                  <w:tcBorders>
                    <w:top w:val="single" w:color="auto" w:sz="12" w:space="0"/>
                  </w:tcBorders>
                  <w:tcMar>
                    <w:top w:w="0" w:type="dxa"/>
                    <w:left w:w="28" w:type="dxa"/>
                    <w:bottom w:w="0" w:type="dxa"/>
                    <w:right w:w="28" w:type="dxa"/>
                  </w:tcMar>
                  <w:vAlign w:val="center"/>
                </w:tcPr>
                <w:p w14:paraId="51F76A08">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拟建项目情况</w:t>
                  </w:r>
                </w:p>
              </w:tc>
              <w:tc>
                <w:tcPr>
                  <w:tcW w:w="235" w:type="pct"/>
                  <w:tcBorders>
                    <w:top w:val="single" w:color="auto" w:sz="12" w:space="0"/>
                    <w:right w:val="nil"/>
                  </w:tcBorders>
                  <w:tcMar>
                    <w:top w:w="0" w:type="dxa"/>
                    <w:left w:w="28" w:type="dxa"/>
                    <w:bottom w:w="0" w:type="dxa"/>
                    <w:right w:w="28" w:type="dxa"/>
                  </w:tcMar>
                  <w:vAlign w:val="center"/>
                </w:tcPr>
                <w:p w14:paraId="35763AF7">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判定</w:t>
                  </w:r>
                </w:p>
              </w:tc>
            </w:tr>
            <w:tr w14:paraId="15661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tcBorders>
                    <w:left w:val="nil"/>
                  </w:tcBorders>
                  <w:tcMar>
                    <w:top w:w="0" w:type="dxa"/>
                    <w:left w:w="28" w:type="dxa"/>
                    <w:bottom w:w="0" w:type="dxa"/>
                    <w:right w:w="28" w:type="dxa"/>
                  </w:tcMar>
                  <w:vAlign w:val="center"/>
                </w:tcPr>
                <w:p w14:paraId="75DF6A98">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《关于加强全省化工园区化工集中区外化工生产企业规范化管理的通知》</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苏化治〔2021〕4号</w:t>
                  </w:r>
                  <w:r>
                    <w:rPr>
                      <w:rFonts w:hint="eastAsia" w:cs="Times New Roman"/>
                      <w:color w:val="auto"/>
                      <w:kern w:val="2"/>
                      <w:sz w:val="21"/>
                      <w:szCs w:val="21"/>
                      <w:lang w:val="en-US" w:eastAsia="zh-CN" w:bidi="ar-SA"/>
                    </w:rPr>
                    <w:t>）</w:t>
                  </w:r>
                </w:p>
              </w:tc>
              <w:tc>
                <w:tcPr>
                  <w:tcW w:w="2885" w:type="pct"/>
                  <w:tcMar>
                    <w:top w:w="0" w:type="dxa"/>
                    <w:left w:w="28" w:type="dxa"/>
                    <w:bottom w:w="0" w:type="dxa"/>
                    <w:right w:w="28" w:type="dxa"/>
                  </w:tcMar>
                  <w:vAlign w:val="center"/>
                </w:tcPr>
                <w:p w14:paraId="4F0080D9">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right="0" w:rightChars="0"/>
                    <w:jc w:val="left"/>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五、实施分类指导，加强涉化工艺的非化工类别企业管理</w:t>
                  </w:r>
                </w:p>
                <w:p w14:paraId="3407FB3B">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0" w:leftChars="0" w:right="0" w:rightChars="0" w:firstLine="0" w:firstLineChars="0"/>
                    <w:jc w:val="left"/>
                    <w:textAlignment w:val="auto"/>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二十</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对于生产环节涉及化工工艺的化学药品原料药</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271</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、电子专用材料</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3985</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、食品及饲料添加剂</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1495</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、合成纤维</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282</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、生物基材料</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283</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、日用化学品</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268</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等《国民经济行业分类》</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GB/T4757</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非化工类别企业，可在县级及以上人民政府依法批准的工业园区、工业集中区集聚建设发展。涉及“两重点一重大”企业，鼓励在化工园区化工集中区内建设。医药原料药生产企业可以集聚发展或与医药制剂项目配套一体化建设。</w:t>
                  </w:r>
                </w:p>
              </w:tc>
              <w:tc>
                <w:tcPr>
                  <w:tcW w:w="1250" w:type="pct"/>
                  <w:tcMar>
                    <w:top w:w="0" w:type="dxa"/>
                    <w:left w:w="28" w:type="dxa"/>
                    <w:bottom w:w="0" w:type="dxa"/>
                    <w:right w:w="28" w:type="dxa"/>
                  </w:tcMar>
                  <w:vAlign w:val="center"/>
                </w:tcPr>
                <w:p w14:paraId="4A46BCD6">
                  <w:pPr>
                    <w:keepNext w:val="0"/>
                    <w:keepLines w:val="0"/>
                    <w:pageBreakBefore w:val="0"/>
                    <w:widowControl w:val="0"/>
                    <w:kinsoku/>
                    <w:wordWrap/>
                    <w:overflowPunct/>
                    <w:topLinePunct w:val="0"/>
                    <w:autoSpaceDE/>
                    <w:autoSpaceDN/>
                    <w:bidi w:val="0"/>
                    <w:adjustRightInd/>
                    <w:snapToGrid/>
                    <w:spacing w:before="0" w:after="0" w:line="360" w:lineRule="exact"/>
                    <w:ind w:left="0" w:leftChars="0" w:right="0" w:rightChars="0" w:firstLine="0" w:firstLineChars="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项目</w:t>
                  </w:r>
                  <w:r>
                    <w:rPr>
                      <w:rFonts w:hint="eastAsia" w:ascii="Times New Roman" w:hAnsi="Times New Roman" w:eastAsia="宋体" w:cs="Times New Roman"/>
                      <w:color w:val="auto"/>
                      <w:kern w:val="2"/>
                      <w:sz w:val="21"/>
                      <w:szCs w:val="21"/>
                      <w:lang w:val="en-US" w:eastAsia="zh-CN" w:bidi="ar-SA"/>
                    </w:rPr>
                    <w:t>为</w:t>
                  </w:r>
                  <w:r>
                    <w:rPr>
                      <w:rFonts w:hint="eastAsia" w:cs="Times New Roman"/>
                      <w:color w:val="auto"/>
                      <w:kern w:val="2"/>
                      <w:sz w:val="21"/>
                      <w:szCs w:val="21"/>
                      <w:lang w:val="zh-CN" w:eastAsia="zh-CN" w:bidi="ar-SA"/>
                    </w:rPr>
                    <w:t>“</w:t>
                  </w:r>
                  <w:r>
                    <w:rPr>
                      <w:rFonts w:hint="default" w:ascii="Times New Roman" w:hAnsi="Times New Roman" w:eastAsia="宋体" w:cs="Times New Roman"/>
                      <w:b w:val="0"/>
                      <w:bCs/>
                      <w:color w:val="auto"/>
                      <w:sz w:val="21"/>
                      <w:szCs w:val="21"/>
                      <w:lang w:val="en-US" w:eastAsia="zh-CN"/>
                    </w:rPr>
                    <w:t>电子专用材料制造</w:t>
                  </w:r>
                  <w:r>
                    <w:rPr>
                      <w:rFonts w:hint="eastAsia" w:cs="Times New Roman"/>
                      <w:color w:val="auto"/>
                      <w:kern w:val="2"/>
                      <w:sz w:val="21"/>
                      <w:szCs w:val="21"/>
                      <w:lang w:val="zh-CN" w:eastAsia="zh-CN" w:bidi="ar-SA"/>
                    </w:rPr>
                    <w:t>”</w:t>
                  </w:r>
                  <w:r>
                    <w:rPr>
                      <w:rFonts w:hint="eastAsia" w:ascii="Times New Roman" w:hAnsi="Times New Roman" w:eastAsia="宋体" w:cs="Times New Roman"/>
                      <w:b w:val="0"/>
                      <w:bCs/>
                      <w:color w:val="auto"/>
                      <w:sz w:val="21"/>
                      <w:szCs w:val="21"/>
                      <w:lang w:val="en-US" w:eastAsia="zh-CN"/>
                    </w:rPr>
                    <w:t>和</w:t>
                  </w:r>
                  <w:r>
                    <w:rPr>
                      <w:rFonts w:hint="eastAsia" w:cs="Times New Roman"/>
                      <w:b w:val="0"/>
                      <w:bCs/>
                      <w:color w:val="auto"/>
                      <w:sz w:val="21"/>
                      <w:szCs w:val="21"/>
                      <w:lang w:val="en-US" w:eastAsia="zh-CN"/>
                    </w:rPr>
                    <w:t>“</w:t>
                  </w:r>
                  <w:r>
                    <w:rPr>
                      <w:rFonts w:hint="eastAsia" w:ascii="Times New Roman" w:hAnsi="Times New Roman" w:eastAsia="宋体" w:cs="Times New Roman"/>
                      <w:b w:val="0"/>
                      <w:bCs/>
                      <w:color w:val="auto"/>
                      <w:sz w:val="21"/>
                      <w:szCs w:val="21"/>
                      <w:lang w:val="en-US" w:eastAsia="zh-CN"/>
                    </w:rPr>
                    <w:t>橡胶板、管、带制造</w:t>
                  </w:r>
                  <w:r>
                    <w:rPr>
                      <w:rFonts w:hint="eastAsia" w:cs="Times New Roman"/>
                      <w:b w:val="0"/>
                      <w:bCs/>
                      <w:color w:val="auto"/>
                      <w:sz w:val="21"/>
                      <w:szCs w:val="21"/>
                      <w:lang w:val="en-US" w:eastAsia="zh-CN"/>
                    </w:rPr>
                    <w:t>”项目</w:t>
                  </w:r>
                  <w:r>
                    <w:rPr>
                      <w:rFonts w:hint="default" w:ascii="Times New Roman" w:hAnsi="Times New Roman" w:eastAsia="宋体" w:cs="Times New Roman"/>
                      <w:color w:val="auto"/>
                      <w:kern w:val="2"/>
                      <w:sz w:val="21"/>
                      <w:szCs w:val="21"/>
                      <w:lang w:val="en-US" w:eastAsia="zh-CN" w:bidi="ar-SA"/>
                    </w:rPr>
                    <w:t>属于生产环节涉及化工工艺的非化工类别企业，不属于“两重点一重大”企业，可在县级及以上人民政府依法批准的工业园区、工业集中区集聚建设发展。</w:t>
                  </w:r>
                </w:p>
              </w:tc>
              <w:tc>
                <w:tcPr>
                  <w:tcW w:w="235" w:type="pct"/>
                  <w:tcBorders>
                    <w:right w:val="nil"/>
                  </w:tcBorders>
                  <w:tcMar>
                    <w:top w:w="0" w:type="dxa"/>
                    <w:left w:w="28" w:type="dxa"/>
                    <w:bottom w:w="0" w:type="dxa"/>
                    <w:right w:w="28" w:type="dxa"/>
                  </w:tcMar>
                  <w:vAlign w:val="center"/>
                </w:tcPr>
                <w:p w14:paraId="2DB2DC21">
                  <w:pPr>
                    <w:keepNext w:val="0"/>
                    <w:keepLines w:val="0"/>
                    <w:pageBreakBefore w:val="0"/>
                    <w:widowControl w:val="0"/>
                    <w:kinsoku/>
                    <w:wordWrap/>
                    <w:overflowPunct/>
                    <w:topLinePunct w:val="0"/>
                    <w:autoSpaceDE/>
                    <w:autoSpaceDN/>
                    <w:bidi w:val="0"/>
                    <w:adjustRightInd/>
                    <w:snapToGrid/>
                    <w:spacing w:before="0" w:after="0"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25AB6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restart"/>
                  <w:tcBorders>
                    <w:left w:val="nil"/>
                  </w:tcBorders>
                  <w:tcMar>
                    <w:top w:w="0" w:type="dxa"/>
                    <w:left w:w="28" w:type="dxa"/>
                    <w:bottom w:w="0" w:type="dxa"/>
                    <w:right w:w="28" w:type="dxa"/>
                  </w:tcMar>
                  <w:vAlign w:val="center"/>
                </w:tcPr>
                <w:p w14:paraId="3D445479">
                  <w:pPr>
                    <w:keepNext w:val="0"/>
                    <w:keepLines w:val="0"/>
                    <w:pageBreakBefore w:val="0"/>
                    <w:widowControl w:val="0"/>
                    <w:kinsoku/>
                    <w:wordWrap/>
                    <w:overflowPunct/>
                    <w:topLinePunct w:val="0"/>
                    <w:autoSpaceDE/>
                    <w:autoSpaceDN/>
                    <w:bidi w:val="0"/>
                    <w:adjustRightInd/>
                    <w:snapToGrid/>
                    <w:spacing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《重点行业挥发性有机物综合治理方案》</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环大气〔2019〕53号</w:t>
                  </w:r>
                  <w:r>
                    <w:rPr>
                      <w:rFonts w:hint="eastAsia" w:cs="Times New Roman"/>
                      <w:color w:val="auto"/>
                      <w:kern w:val="2"/>
                      <w:sz w:val="21"/>
                      <w:szCs w:val="21"/>
                      <w:lang w:val="en-US" w:eastAsia="zh-CN" w:bidi="ar-SA"/>
                    </w:rPr>
                    <w:t>）</w:t>
                  </w:r>
                </w:p>
              </w:tc>
              <w:tc>
                <w:tcPr>
                  <w:tcW w:w="2885" w:type="pct"/>
                  <w:tcMar>
                    <w:top w:w="0" w:type="dxa"/>
                    <w:left w:w="28" w:type="dxa"/>
                    <w:bottom w:w="0" w:type="dxa"/>
                    <w:right w:w="28" w:type="dxa"/>
                  </w:tcMar>
                  <w:vAlign w:val="center"/>
                </w:tcPr>
                <w:p w14:paraId="15951628">
                  <w:pPr>
                    <w:keepNext w:val="0"/>
                    <w:keepLines w:val="0"/>
                    <w:pageBreakBefore w:val="0"/>
                    <w:widowControl w:val="0"/>
                    <w:kinsoku/>
                    <w:wordWrap/>
                    <w:overflowPunct/>
                    <w:topLinePunct w:val="0"/>
                    <w:autoSpaceDE/>
                    <w:autoSpaceDN/>
                    <w:bidi w:val="0"/>
                    <w:adjustRightInd/>
                    <w:snapToGrid/>
                    <w:spacing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大力推进源头替代。通过使用水性、粉末、高固体分、无溶剂、辐射固化等低VOCs含量的涂料，水性、辐射固化、植物基等低VOCs含量的油墨，水基、热熔、无溶剂、辐射固化、改性、生物降解等低VOCs含量的胶粘剂，以及低VOCs含量、低反应活性的清洗剂等，替代溶剂型涂料、油墨、胶粘剂、清洗剂等，从源头减少VOCs产生。</w:t>
                  </w:r>
                </w:p>
              </w:tc>
              <w:tc>
                <w:tcPr>
                  <w:tcW w:w="1250" w:type="pct"/>
                  <w:tcMar>
                    <w:top w:w="0" w:type="dxa"/>
                    <w:left w:w="28" w:type="dxa"/>
                    <w:bottom w:w="0" w:type="dxa"/>
                    <w:right w:w="28" w:type="dxa"/>
                  </w:tcMar>
                  <w:vAlign w:val="center"/>
                </w:tcPr>
                <w:p w14:paraId="31BB1BD5">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本项目此次技改</w:t>
                  </w:r>
                  <w:r>
                    <w:rPr>
                      <w:rFonts w:hint="eastAsia" w:cs="Times New Roman"/>
                      <w:color w:val="auto"/>
                      <w:kern w:val="2"/>
                      <w:sz w:val="21"/>
                      <w:szCs w:val="21"/>
                      <w:lang w:val="en-US" w:eastAsia="zh-CN" w:bidi="ar-SA"/>
                    </w:rPr>
                    <w:t>有机溶剂二甲苯使用量减少9t/a，美沙克灵使用量减少46t/a，</w:t>
                  </w:r>
                  <w:r>
                    <w:rPr>
                      <w:rFonts w:hint="eastAsia" w:ascii="Times New Roman" w:hAnsi="Times New Roman" w:eastAsia="宋体" w:cs="Times New Roman"/>
                      <w:color w:val="auto"/>
                      <w:kern w:val="2"/>
                      <w:sz w:val="21"/>
                      <w:szCs w:val="21"/>
                      <w:lang w:val="en-US" w:eastAsia="zh-CN" w:bidi="ar-SA"/>
                    </w:rPr>
                    <w:t>从源头上减少了VOCs物料的使用，从源头减少VOCs产生。</w:t>
                  </w:r>
                </w:p>
              </w:tc>
              <w:tc>
                <w:tcPr>
                  <w:tcW w:w="235" w:type="pct"/>
                  <w:tcBorders>
                    <w:right w:val="nil"/>
                  </w:tcBorders>
                  <w:tcMar>
                    <w:top w:w="0" w:type="dxa"/>
                    <w:left w:w="28" w:type="dxa"/>
                    <w:bottom w:w="0" w:type="dxa"/>
                    <w:right w:w="28" w:type="dxa"/>
                  </w:tcMar>
                  <w:vAlign w:val="center"/>
                </w:tcPr>
                <w:p w14:paraId="4BD00CA8">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25591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730E824D">
                  <w:pPr>
                    <w:keepNext w:val="0"/>
                    <w:keepLines w:val="0"/>
                    <w:pageBreakBefore w:val="0"/>
                    <w:widowControl w:val="0"/>
                    <w:kinsoku/>
                    <w:wordWrap/>
                    <w:overflowPunct/>
                    <w:topLinePunct w:val="0"/>
                    <w:autoSpaceDE/>
                    <w:autoSpaceDN/>
                    <w:bidi w:val="0"/>
                    <w:adjustRightInd/>
                    <w:snapToGrid/>
                    <w:spacing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448645F2">
                  <w:pPr>
                    <w:keepNext w:val="0"/>
                    <w:keepLines w:val="0"/>
                    <w:pageBreakBefore w:val="0"/>
                    <w:widowControl w:val="0"/>
                    <w:kinsoku/>
                    <w:wordWrap/>
                    <w:overflowPunct/>
                    <w:topLinePunct w:val="0"/>
                    <w:autoSpaceDE/>
                    <w:autoSpaceDN/>
                    <w:bidi w:val="0"/>
                    <w:adjustRightInd/>
                    <w:snapToGrid/>
                    <w:spacing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全面加强无组织排放控制。重点对含VOCs物料</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包括含VOCs原辅材料、含VOCs产品、含VOCs废料以及有机聚合物材料等</w:t>
                  </w:r>
                  <w:r>
                    <w:rPr>
                      <w:rFonts w:hint="eastAsia"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储存、转移和输送、设备与管线组件泄漏、敞开液面逸散以及工艺过程等五类排放源实施管控，通过采取设备与场所密闭、工艺改进、废气有效收集等措施，削减VOCs无组织排放。加强设备与场所密闭管理。含VOCs物料应储存于密闭容器、包装袋，高效密封储罐，封闭式储库、料仓等。含VOCs物料生产和使用过程，应采取有效收集措施或在密闭空间中操作。提高废气收集率。遵循“应收尽收、分质收集”的原则，科学设计废气收集系统，将无组织排放转变为有组织排放进行控制。采用全密闭集气罩或密闭空间的，除行业有特殊要求外，应保持微负压状态，并根据相关规范合理设置通风量。</w:t>
                  </w:r>
                </w:p>
              </w:tc>
              <w:tc>
                <w:tcPr>
                  <w:tcW w:w="1250" w:type="pct"/>
                  <w:tcMar>
                    <w:top w:w="0" w:type="dxa"/>
                    <w:left w:w="28" w:type="dxa"/>
                    <w:bottom w:w="0" w:type="dxa"/>
                    <w:right w:w="28" w:type="dxa"/>
                  </w:tcMar>
                  <w:vAlign w:val="center"/>
                </w:tcPr>
                <w:p w14:paraId="77FA73E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本项目</w:t>
                  </w:r>
                  <w:r>
                    <w:rPr>
                      <w:rFonts w:hint="eastAsia" w:cs="Times New Roman"/>
                      <w:color w:val="auto"/>
                      <w:kern w:val="2"/>
                      <w:sz w:val="21"/>
                      <w:szCs w:val="21"/>
                      <w:lang w:val="en-US" w:eastAsia="zh-CN" w:bidi="ar-SA"/>
                    </w:rPr>
                    <w:t>涂胶、轴芯清洗、</w:t>
                  </w:r>
                  <w:r>
                    <w:rPr>
                      <w:rFonts w:hint="eastAsia" w:ascii="Times New Roman" w:hAnsi="Times New Roman" w:eastAsia="宋体" w:cs="Times New Roman"/>
                      <w:color w:val="auto"/>
                      <w:kern w:val="2"/>
                      <w:sz w:val="21"/>
                      <w:szCs w:val="21"/>
                      <w:lang w:val="en-US" w:eastAsia="zh-CN" w:bidi="ar-SA"/>
                    </w:rPr>
                    <w:t>轴芯涂胶、喷涂、加热、</w:t>
                  </w:r>
                  <w:r>
                    <w:rPr>
                      <w:rFonts w:hint="eastAsia" w:cs="Times New Roman"/>
                      <w:color w:val="auto"/>
                      <w:kern w:val="2"/>
                      <w:sz w:val="21"/>
                      <w:szCs w:val="21"/>
                      <w:lang w:val="en-US" w:eastAsia="zh-CN" w:bidi="ar-SA"/>
                    </w:rPr>
                    <w:t>密炼</w:t>
                  </w:r>
                  <w:r>
                    <w:rPr>
                      <w:rFonts w:hint="eastAsia" w:ascii="Times New Roman" w:hAnsi="Times New Roman" w:eastAsia="宋体" w:cs="Times New Roman"/>
                      <w:color w:val="auto"/>
                      <w:kern w:val="2"/>
                      <w:sz w:val="21"/>
                      <w:szCs w:val="21"/>
                      <w:lang w:val="en-US" w:eastAsia="zh-CN" w:bidi="ar-SA"/>
                    </w:rPr>
                    <w:t>、过滤、开炼和挤出</w:t>
                  </w:r>
                  <w:r>
                    <w:rPr>
                      <w:rFonts w:hint="eastAsia" w:cs="Times New Roman"/>
                      <w:color w:val="auto"/>
                      <w:kern w:val="2"/>
                      <w:sz w:val="21"/>
                      <w:szCs w:val="21"/>
                      <w:lang w:val="en-US" w:eastAsia="zh-CN" w:bidi="ar-SA"/>
                    </w:rPr>
                    <w:t>等</w:t>
                  </w:r>
                  <w:r>
                    <w:rPr>
                      <w:rFonts w:hint="eastAsia" w:ascii="Times New Roman" w:hAnsi="Times New Roman" w:eastAsia="宋体" w:cs="Times New Roman"/>
                      <w:color w:val="auto"/>
                      <w:kern w:val="2"/>
                      <w:sz w:val="21"/>
                      <w:szCs w:val="21"/>
                      <w:lang w:val="en-US" w:eastAsia="zh-CN" w:bidi="ar-SA"/>
                    </w:rPr>
                    <w:t>均在独立密闭车间内</w:t>
                  </w:r>
                  <w:r>
                    <w:rPr>
                      <w:rFonts w:hint="eastAsia"/>
                      <w:color w:val="auto"/>
                      <w:lang w:eastAsia="zh-CN"/>
                    </w:rPr>
                    <w:t>产生的有机废气通过</w:t>
                  </w:r>
                  <w:r>
                    <w:rPr>
                      <w:rFonts w:hint="eastAsia" w:ascii="Times New Roman" w:hAnsi="Times New Roman" w:eastAsia="宋体" w:cs="Times New Roman"/>
                      <w:color w:val="auto"/>
                      <w:kern w:val="2"/>
                      <w:sz w:val="21"/>
                      <w:szCs w:val="21"/>
                      <w:lang w:val="en-US" w:eastAsia="zh-CN" w:bidi="ar-SA"/>
                    </w:rPr>
                    <w:t>负压收集处理，</w:t>
                  </w:r>
                  <w:r>
                    <w:rPr>
                      <w:rFonts w:hint="eastAsia" w:cs="Times New Roman"/>
                      <w:color w:val="auto"/>
                      <w:kern w:val="2"/>
                      <w:sz w:val="21"/>
                      <w:szCs w:val="21"/>
                      <w:lang w:val="en-US" w:eastAsia="zh-CN" w:bidi="ar-SA"/>
                    </w:rPr>
                    <w:t>硫化</w:t>
                  </w:r>
                  <w:r>
                    <w:rPr>
                      <w:rFonts w:hint="eastAsia" w:ascii="Times New Roman" w:hAnsi="Times New Roman" w:eastAsia="宋体" w:cs="Times New Roman"/>
                      <w:color w:val="auto"/>
                      <w:kern w:val="2"/>
                      <w:sz w:val="21"/>
                      <w:szCs w:val="21"/>
                      <w:lang w:val="en-US" w:eastAsia="zh-CN" w:bidi="ar-SA"/>
                    </w:rPr>
                    <w:t>工序</w:t>
                  </w:r>
                  <w:r>
                    <w:rPr>
                      <w:rFonts w:hint="eastAsia"/>
                      <w:color w:val="auto"/>
                      <w:lang w:eastAsia="zh-CN"/>
                    </w:rPr>
                    <w:t>产生的有机废气通过</w:t>
                  </w:r>
                  <w:r>
                    <w:rPr>
                      <w:rFonts w:hint="eastAsia" w:ascii="Times New Roman" w:hAnsi="Times New Roman" w:eastAsia="宋体" w:cs="Times New Roman"/>
                      <w:color w:val="auto"/>
                      <w:kern w:val="2"/>
                      <w:sz w:val="21"/>
                      <w:szCs w:val="21"/>
                      <w:lang w:val="en-US" w:eastAsia="zh-CN" w:bidi="ar-SA"/>
                    </w:rPr>
                    <w:t>采用密闭管道进行负压收集处理。</w:t>
                  </w:r>
                </w:p>
              </w:tc>
              <w:tc>
                <w:tcPr>
                  <w:tcW w:w="235" w:type="pct"/>
                  <w:tcBorders>
                    <w:right w:val="nil"/>
                  </w:tcBorders>
                  <w:tcMar>
                    <w:top w:w="0" w:type="dxa"/>
                    <w:left w:w="28" w:type="dxa"/>
                    <w:bottom w:w="0" w:type="dxa"/>
                    <w:right w:w="28" w:type="dxa"/>
                  </w:tcMar>
                  <w:vAlign w:val="center"/>
                </w:tcPr>
                <w:p w14:paraId="52E031C3">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32FD6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tcBorders>
                    <w:left w:val="nil"/>
                  </w:tcBorders>
                  <w:tcMar>
                    <w:top w:w="0" w:type="dxa"/>
                    <w:left w:w="28" w:type="dxa"/>
                    <w:bottom w:w="0" w:type="dxa"/>
                    <w:right w:w="28" w:type="dxa"/>
                  </w:tcMar>
                  <w:vAlign w:val="center"/>
                </w:tcPr>
                <w:p w14:paraId="5BDD08C6">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《省生态环境厅关于实施厂区内挥发性有机物无组织排放监控要求的通告》（苏环办〔2020〕218号）</w:t>
                  </w:r>
                </w:p>
              </w:tc>
              <w:tc>
                <w:tcPr>
                  <w:tcW w:w="2885" w:type="pct"/>
                  <w:tcMar>
                    <w:top w:w="0" w:type="dxa"/>
                    <w:left w:w="28" w:type="dxa"/>
                    <w:bottom w:w="0" w:type="dxa"/>
                    <w:right w:w="28" w:type="dxa"/>
                  </w:tcMar>
                  <w:vAlign w:val="center"/>
                </w:tcPr>
                <w:p w14:paraId="6510F27F">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为强化挥发性有机物（VOCs）综合治理  严格落实无组织排放控制标准，切实减少VOCs排放，促进空气质量持续改善，根据《挥发性有机物无组织排放控制标准》（GB37822-2019）和《关于执行大气污染物特别排放限值的通告》（苏环办〔2018〕299号）等有关规定，现就实施厂区内挥发性有机物无组织排放监控要求有关事项通告如下：（一）自2020年7月1日起，我省全面实施《挥发性有机物无组织排放控制标准》附录A“厂区内VOCs无组织排放监控要求”，实施范围为省内涉及VOCs无组织排放的现有企业及新建企业。（二）企业厂区内VOCs无组织排放监控点浓度执行特别排放限值。（三）如新制（修）订标准或发布标准修改单有关规定严于《挥发性有机物无组织排放控制标准》附录A“厂区内VOCs无组织排放监控要求”的，按照更严格标准要求执行。</w:t>
                  </w:r>
                </w:p>
              </w:tc>
              <w:tc>
                <w:tcPr>
                  <w:tcW w:w="1250" w:type="pct"/>
                  <w:tcMar>
                    <w:top w:w="0" w:type="dxa"/>
                    <w:left w:w="28" w:type="dxa"/>
                    <w:bottom w:w="0" w:type="dxa"/>
                    <w:right w:w="28" w:type="dxa"/>
                  </w:tcMar>
                  <w:vAlign w:val="center"/>
                </w:tcPr>
                <w:p w14:paraId="79991C0A">
                  <w:pPr>
                    <w:keepNext w:val="0"/>
                    <w:keepLines w:val="0"/>
                    <w:pageBreakBefore w:val="0"/>
                    <w:widowControl w:val="0"/>
                    <w:kinsoku/>
                    <w:wordWrap w:val="0"/>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项目无组织厂区内VOCs执行《大气污染物综合排放标准》（DB32/4041-2021）限值要求，与GB37822-2019附录A特别排放限值要求一致。</w:t>
                  </w:r>
                </w:p>
              </w:tc>
              <w:tc>
                <w:tcPr>
                  <w:tcW w:w="235" w:type="pct"/>
                  <w:tcBorders>
                    <w:right w:val="nil"/>
                  </w:tcBorders>
                  <w:tcMar>
                    <w:top w:w="0" w:type="dxa"/>
                    <w:left w:w="28" w:type="dxa"/>
                    <w:bottom w:w="0" w:type="dxa"/>
                    <w:right w:w="28" w:type="dxa"/>
                  </w:tcMar>
                  <w:vAlign w:val="center"/>
                </w:tcPr>
                <w:p w14:paraId="07031764">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51F70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tcBorders>
                    <w:left w:val="nil"/>
                  </w:tcBorders>
                  <w:tcMar>
                    <w:top w:w="0" w:type="dxa"/>
                    <w:left w:w="28" w:type="dxa"/>
                    <w:bottom w:w="0" w:type="dxa"/>
                    <w:right w:w="28" w:type="dxa"/>
                  </w:tcMar>
                  <w:vAlign w:val="center"/>
                </w:tcPr>
                <w:p w14:paraId="4050D443">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《省生态环境厅关于做好江苏省危险废物全生命周期监控系统上线运行工作的通知》（苏环办〔2020〕401号）</w:t>
                  </w:r>
                </w:p>
              </w:tc>
              <w:tc>
                <w:tcPr>
                  <w:tcW w:w="2885" w:type="pct"/>
                  <w:tcMar>
                    <w:top w:w="0" w:type="dxa"/>
                    <w:left w:w="28" w:type="dxa"/>
                    <w:bottom w:w="0" w:type="dxa"/>
                    <w:right w:w="28" w:type="dxa"/>
                  </w:tcMar>
                  <w:vAlign w:val="center"/>
                </w:tcPr>
                <w:p w14:paraId="2AF5F845">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二、分类实施，做好视频监控联网工作按照“分类实施，逐步接入”的原则，2021年2月底前，危险废物年产生量1000吨及以上的企业和危险废物利用处置单位要将其贮存设施出入口、设施内部、装卸区域、危险废物运输车辆通道等关键位置视频监控信息接入系统，其中各地生态环境部门确定的需进行AI视频分析的企业，摄像头和宽带应满足相关要求（附件2）。</w:t>
                  </w:r>
                </w:p>
                <w:p w14:paraId="167CA5CA">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三、压实责任，做好企业培训相关工作各级生态环境部门要进一步提高政治站位，提高对危险废物全生命周期管理工作重要性的认识，压实企业环境保护主体责任，督促企业通过新系统实时申报危险废物产生、贮存、转移及利用处置等信息，建立危险废物设施和包装识别信息化标识（附件3），形成组织构架清晰、责任主体明确的危险废物信息化管理体系。</w:t>
                  </w:r>
                </w:p>
              </w:tc>
              <w:tc>
                <w:tcPr>
                  <w:tcW w:w="1250" w:type="pct"/>
                  <w:tcMar>
                    <w:top w:w="0" w:type="dxa"/>
                    <w:left w:w="28" w:type="dxa"/>
                    <w:bottom w:w="0" w:type="dxa"/>
                    <w:right w:w="28" w:type="dxa"/>
                  </w:tcMar>
                  <w:vAlign w:val="center"/>
                </w:tcPr>
                <w:p w14:paraId="49EE448D">
                  <w:pPr>
                    <w:keepNext w:val="0"/>
                    <w:keepLines w:val="0"/>
                    <w:pageBreakBefore w:val="0"/>
                    <w:widowControl w:val="0"/>
                    <w:kinsoku/>
                    <w:wordWrap w:val="0"/>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技改</w:t>
                  </w:r>
                  <w:r>
                    <w:rPr>
                      <w:rFonts w:hint="default" w:ascii="Times New Roman" w:hAnsi="Times New Roman" w:eastAsia="宋体" w:cs="Times New Roman"/>
                      <w:color w:val="auto"/>
                      <w:kern w:val="2"/>
                      <w:sz w:val="21"/>
                      <w:szCs w:val="21"/>
                      <w:lang w:val="en-US" w:eastAsia="zh-CN" w:bidi="ar-SA"/>
                    </w:rPr>
                    <w:t>项目建成后危险废物年产生量约</w:t>
                  </w:r>
                  <w:r>
                    <w:rPr>
                      <w:rFonts w:hint="eastAsia" w:cs="Times New Roman"/>
                      <w:color w:val="auto"/>
                      <w:kern w:val="2"/>
                      <w:sz w:val="21"/>
                      <w:szCs w:val="21"/>
                      <w:lang w:val="en-US" w:eastAsia="zh-CN" w:bidi="ar-SA"/>
                    </w:rPr>
                    <w:t>100.41</w:t>
                  </w:r>
                  <w:r>
                    <w:rPr>
                      <w:rFonts w:hint="default" w:ascii="Times New Roman" w:hAnsi="Times New Roman" w:eastAsia="宋体" w:cs="Times New Roman"/>
                      <w:color w:val="auto"/>
                      <w:kern w:val="2"/>
                      <w:sz w:val="21"/>
                      <w:szCs w:val="21"/>
                      <w:lang w:val="en-US" w:eastAsia="zh-CN" w:bidi="ar-SA"/>
                    </w:rPr>
                    <w:t>t/a，企业将通过江苏省危险废物全生命周期监控系统实时申报危险废物产生、贮存、转移及利用处置等信息，建立危险废物设施和包装识别信息化标识。</w:t>
                  </w:r>
                </w:p>
              </w:tc>
              <w:tc>
                <w:tcPr>
                  <w:tcW w:w="235" w:type="pct"/>
                  <w:tcBorders>
                    <w:right w:val="nil"/>
                  </w:tcBorders>
                  <w:tcMar>
                    <w:top w:w="0" w:type="dxa"/>
                    <w:left w:w="28" w:type="dxa"/>
                    <w:bottom w:w="0" w:type="dxa"/>
                    <w:right w:w="28" w:type="dxa"/>
                  </w:tcMar>
                  <w:vAlign w:val="center"/>
                </w:tcPr>
                <w:p w14:paraId="7A3EEA47">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68925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restart"/>
                  <w:tcBorders>
                    <w:left w:val="nil"/>
                  </w:tcBorders>
                  <w:tcMar>
                    <w:top w:w="0" w:type="dxa"/>
                    <w:left w:w="28" w:type="dxa"/>
                    <w:bottom w:w="0" w:type="dxa"/>
                    <w:right w:w="28" w:type="dxa"/>
                  </w:tcMar>
                  <w:vAlign w:val="center"/>
                </w:tcPr>
                <w:p w14:paraId="263D9149">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《省生态环境厅关于进一步加强危险废物环境管理工作的通知》（苏环办〔2021〕207号）</w:t>
                  </w:r>
                </w:p>
              </w:tc>
              <w:tc>
                <w:tcPr>
                  <w:tcW w:w="2885" w:type="pct"/>
                  <w:tcMar>
                    <w:top w:w="0" w:type="dxa"/>
                    <w:left w:w="28" w:type="dxa"/>
                    <w:bottom w:w="0" w:type="dxa"/>
                    <w:right w:w="28" w:type="dxa"/>
                  </w:tcMar>
                  <w:vAlign w:val="center"/>
                </w:tcPr>
                <w:p w14:paraId="372B1FEF">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一、严格落实产废单位危险废物污染环境防治主体责任。</w:t>
                  </w:r>
                  <w:r>
                    <w:rPr>
                      <w:rFonts w:hint="default" w:ascii="Times New Roman" w:hAnsi="Times New Roman" w:eastAsia="宋体" w:cs="Times New Roman"/>
                      <w:color w:val="auto"/>
                      <w:kern w:val="2"/>
                      <w:sz w:val="21"/>
                      <w:szCs w:val="21"/>
                      <w:lang w:val="en-US" w:eastAsia="zh-CN" w:bidi="ar-SA"/>
                    </w:rPr>
                    <w:t>产废单位必须将危险废物提供或者委托给有资质单位从事收集、贮存、利用处置活动，并有危险废物利用处置合同、资金往来、废物交接等相关证明材料。严禁产废单位委托第三方中介机构运输和利用处置危险废物；严禁将危险废物提供或者委托给无资质单位进行收集、贮存和利用处置。违反上述要求的，各地生态环境部门按照《固体废物污染环境防治法》“第一百一十二条”、“第一百一十四条”规定，追究产废单位和第三方中介机构法律责任。</w:t>
                  </w:r>
                </w:p>
              </w:tc>
              <w:tc>
                <w:tcPr>
                  <w:tcW w:w="1250" w:type="pct"/>
                  <w:tcMar>
                    <w:top w:w="0" w:type="dxa"/>
                    <w:left w:w="28" w:type="dxa"/>
                    <w:bottom w:w="0" w:type="dxa"/>
                    <w:right w:w="28" w:type="dxa"/>
                  </w:tcMar>
                  <w:vAlign w:val="center"/>
                </w:tcPr>
                <w:p w14:paraId="6A244643">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项目建成后按要求将危险废物提供或者委托给有资质单位从事收集、贮存、利用处置活动，并存留危险废物利用处置合同、资金往来、废物交接等相关证明材料。</w:t>
                  </w:r>
                </w:p>
              </w:tc>
              <w:tc>
                <w:tcPr>
                  <w:tcW w:w="235" w:type="pct"/>
                  <w:tcBorders>
                    <w:right w:val="nil"/>
                  </w:tcBorders>
                  <w:tcMar>
                    <w:top w:w="0" w:type="dxa"/>
                    <w:left w:w="28" w:type="dxa"/>
                    <w:bottom w:w="0" w:type="dxa"/>
                    <w:right w:w="28" w:type="dxa"/>
                  </w:tcMar>
                  <w:vAlign w:val="center"/>
                </w:tcPr>
                <w:p w14:paraId="152DA210">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76242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1D73F785">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438A3DDF">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二、严格危险废物产生贮存环境监管。</w:t>
                  </w:r>
                  <w:r>
                    <w:rPr>
                      <w:rFonts w:hint="default" w:ascii="Times New Roman" w:hAnsi="Times New Roman" w:eastAsia="宋体" w:cs="Times New Roman"/>
                      <w:color w:val="auto"/>
                      <w:kern w:val="2"/>
                      <w:sz w:val="21"/>
                      <w:szCs w:val="21"/>
                      <w:lang w:val="en-US" w:eastAsia="zh-CN" w:bidi="ar-SA"/>
                    </w:rPr>
                    <w:t>通过“江苏环保脸谱”，全面推行产生和贮存现场实时申报，自动生成二维码包装标识，实现危险废物从产生到贮存信息化监管。严禁任何企业、供应商、经销商等以生态环境部门名义向产废单位、收集单位、利用处置单位推销购买任何与全生命周期监控系统相关的智能设备；严禁任何第三方在全生命周期监控系统推广使用、宣传、培训过程中以夸大、捆绑、谎称、垄断等方式借机推销相关设备和软件系统。</w:t>
                  </w:r>
                </w:p>
              </w:tc>
              <w:tc>
                <w:tcPr>
                  <w:tcW w:w="1250" w:type="pct"/>
                  <w:tcMar>
                    <w:top w:w="0" w:type="dxa"/>
                    <w:left w:w="28" w:type="dxa"/>
                    <w:bottom w:w="0" w:type="dxa"/>
                    <w:right w:w="28" w:type="dxa"/>
                  </w:tcMar>
                  <w:vAlign w:val="center"/>
                </w:tcPr>
                <w:p w14:paraId="1F27623E">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技改</w:t>
                  </w:r>
                  <w:r>
                    <w:rPr>
                      <w:rFonts w:hint="default" w:ascii="Times New Roman" w:hAnsi="Times New Roman" w:eastAsia="宋体" w:cs="Times New Roman"/>
                      <w:color w:val="auto"/>
                      <w:kern w:val="2"/>
                      <w:sz w:val="21"/>
                      <w:szCs w:val="21"/>
                      <w:lang w:val="en-US" w:eastAsia="zh-CN" w:bidi="ar-SA"/>
                    </w:rPr>
                    <w:t>项目建成后将通过“江苏环保脸谱”，对产生和贮存现场实时申报，自动生成二维码包装标识。</w:t>
                  </w:r>
                </w:p>
              </w:tc>
              <w:tc>
                <w:tcPr>
                  <w:tcW w:w="235" w:type="pct"/>
                  <w:tcBorders>
                    <w:right w:val="nil"/>
                  </w:tcBorders>
                  <w:tcMar>
                    <w:top w:w="0" w:type="dxa"/>
                    <w:left w:w="28" w:type="dxa"/>
                    <w:bottom w:w="0" w:type="dxa"/>
                    <w:right w:w="28" w:type="dxa"/>
                  </w:tcMar>
                  <w:vAlign w:val="center"/>
                </w:tcPr>
                <w:p w14:paraId="538E42DB">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7346D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661844D3">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3F0AAA74">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三、严格危险废物转移环境监管。</w:t>
                  </w:r>
                  <w:r>
                    <w:rPr>
                      <w:rFonts w:hint="default" w:ascii="Times New Roman" w:hAnsi="Times New Roman" w:eastAsia="宋体" w:cs="Times New Roman"/>
                      <w:color w:val="auto"/>
                      <w:kern w:val="2"/>
                      <w:sz w:val="21"/>
                      <w:szCs w:val="21"/>
                      <w:lang w:val="en-US" w:eastAsia="zh-CN" w:bidi="ar-SA"/>
                    </w:rPr>
                    <w:t xml:space="preserve"> 全面推行危险废物转移电子联单，自2021年7月10日起，危险废物通过全生命周期监控系统扫描二维码转移，严禁无二维码转移行为（槽罐车、管道等除外）。各地要加强危险废物流向监控，建立电子档案，严厉打击危险废转移过程中的环境违法行为。严禁生态环境系统人员直接或间接为产废单位指定或介绍收集、转运、利用处置单位。违反上述要求的，各地生态环境部门可关闭相关企业危险废物转移系统功能，禁止其危险废物转移，并追究相关责任人责任。</w:t>
                  </w:r>
                </w:p>
              </w:tc>
              <w:tc>
                <w:tcPr>
                  <w:tcW w:w="1250" w:type="pct"/>
                  <w:tcMar>
                    <w:top w:w="0" w:type="dxa"/>
                    <w:left w:w="28" w:type="dxa"/>
                    <w:bottom w:w="0" w:type="dxa"/>
                    <w:right w:w="28" w:type="dxa"/>
                  </w:tcMar>
                  <w:vAlign w:val="center"/>
                </w:tcPr>
                <w:p w14:paraId="59BD0203">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项目建成后产生的危险废物通过全生命周期监控系统扫描二维码转移。</w:t>
                  </w:r>
                </w:p>
              </w:tc>
              <w:tc>
                <w:tcPr>
                  <w:tcW w:w="235" w:type="pct"/>
                  <w:tcBorders>
                    <w:right w:val="nil"/>
                  </w:tcBorders>
                  <w:tcMar>
                    <w:top w:w="0" w:type="dxa"/>
                    <w:left w:w="28" w:type="dxa"/>
                    <w:bottom w:w="0" w:type="dxa"/>
                    <w:right w:w="28" w:type="dxa"/>
                  </w:tcMar>
                  <w:vAlign w:val="center"/>
                </w:tcPr>
                <w:p w14:paraId="5F42FEF7">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6C77DD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restart"/>
                  <w:tcBorders>
                    <w:left w:val="nil"/>
                  </w:tcBorders>
                  <w:tcMar>
                    <w:top w:w="0" w:type="dxa"/>
                    <w:left w:w="28" w:type="dxa"/>
                    <w:bottom w:w="0" w:type="dxa"/>
                    <w:right w:w="28" w:type="dxa"/>
                  </w:tcMar>
                  <w:vAlign w:val="center"/>
                </w:tcPr>
                <w:p w14:paraId="7024A67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《江苏省“十四五”生态环境保护规划》（苏政发〔2021〕84号）</w:t>
                  </w:r>
                </w:p>
              </w:tc>
              <w:tc>
                <w:tcPr>
                  <w:tcW w:w="2885" w:type="pct"/>
                  <w:tcMar>
                    <w:top w:w="0" w:type="dxa"/>
                    <w:left w:w="28" w:type="dxa"/>
                    <w:bottom w:w="0" w:type="dxa"/>
                    <w:right w:w="28" w:type="dxa"/>
                  </w:tcMar>
                  <w:vAlign w:val="center"/>
                </w:tcPr>
                <w:p w14:paraId="2AED1698">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大力推进源头替代：</w:t>
                  </w:r>
                  <w:r>
                    <w:rPr>
                      <w:rFonts w:hint="default" w:ascii="Times New Roman" w:hAnsi="Times New Roman" w:eastAsia="宋体" w:cs="Times New Roman"/>
                      <w:color w:val="auto"/>
                      <w:kern w:val="2"/>
                      <w:sz w:val="21"/>
                      <w:szCs w:val="21"/>
                      <w:lang w:val="en-US" w:eastAsia="zh-CN" w:bidi="ar-SA"/>
                    </w:rPr>
                    <w:t>实施《江苏省重点行业挥发性有机物清洁原料替代工作方案》，全面排查使用高VOCs含量原辅材料的企业，按照“可替尽替、应代尽代”的原则，推进实施源头替代，培育一批源头替代示范型企业。加大工业涂装、包装印刷等行业源头替代力度，在化工行业推广使用低（无）VOCs含量、低反应活性的原辅材料，加快芳香烃、含卤素有机化合物的绿色替代。严格准入要求，禁止建设生产和使用高VOCs含量的溶剂型涂料、油墨、胶黏剂等项目。将符合低挥发性有机化合物含量产品技术要求的企业纳入清洁原料替代正面清单。</w:t>
                  </w:r>
                </w:p>
              </w:tc>
              <w:tc>
                <w:tcPr>
                  <w:tcW w:w="1250" w:type="pct"/>
                  <w:tcMar>
                    <w:top w:w="0" w:type="dxa"/>
                    <w:left w:w="28" w:type="dxa"/>
                    <w:bottom w:w="0" w:type="dxa"/>
                    <w:right w:w="28" w:type="dxa"/>
                  </w:tcMar>
                  <w:vAlign w:val="center"/>
                </w:tcPr>
                <w:p w14:paraId="1077722A">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项目不属于工业涂装、包装印刷等行业。</w:t>
                  </w:r>
                  <w:r>
                    <w:rPr>
                      <w:rFonts w:hint="eastAsia" w:cs="Times New Roman"/>
                      <w:color w:val="auto"/>
                      <w:kern w:val="2"/>
                      <w:sz w:val="21"/>
                      <w:szCs w:val="21"/>
                      <w:lang w:val="en-US" w:eastAsia="zh-CN" w:bidi="ar-SA"/>
                    </w:rPr>
                    <w:t>项目</w:t>
                  </w:r>
                  <w:r>
                    <w:rPr>
                      <w:rFonts w:hint="eastAsia" w:ascii="Times New Roman" w:hAnsi="Times New Roman" w:eastAsia="宋体" w:cs="Times New Roman"/>
                      <w:color w:val="auto"/>
                      <w:kern w:val="2"/>
                      <w:sz w:val="21"/>
                      <w:szCs w:val="21"/>
                      <w:lang w:val="en-US" w:eastAsia="zh-CN" w:bidi="ar-SA"/>
                    </w:rPr>
                    <w:t>密炼机清理、涂</w:t>
                  </w:r>
                  <w:r>
                    <w:rPr>
                      <w:rFonts w:hint="eastAsia" w:cs="Times New Roman"/>
                      <w:color w:val="auto"/>
                      <w:kern w:val="2"/>
                      <w:sz w:val="21"/>
                      <w:szCs w:val="21"/>
                      <w:lang w:val="en-US" w:eastAsia="zh-CN" w:bidi="ar-SA"/>
                    </w:rPr>
                    <w:t>胶、</w:t>
                  </w:r>
                  <w:r>
                    <w:rPr>
                      <w:rFonts w:hint="default" w:cs="Times New Roman"/>
                      <w:color w:val="auto"/>
                      <w:kern w:val="2"/>
                      <w:sz w:val="21"/>
                      <w:szCs w:val="21"/>
                      <w:lang w:val="en-US" w:eastAsia="zh-CN" w:bidi="ar-SA"/>
                    </w:rPr>
                    <w:t>轴芯</w:t>
                  </w:r>
                  <w:r>
                    <w:rPr>
                      <w:rFonts w:hint="eastAsia" w:cs="Times New Roman"/>
                      <w:color w:val="auto"/>
                      <w:kern w:val="2"/>
                      <w:sz w:val="21"/>
                      <w:szCs w:val="21"/>
                      <w:lang w:val="en-US" w:eastAsia="zh-CN" w:bidi="ar-SA"/>
                    </w:rPr>
                    <w:t>涂胶、喷涂过程使用的有机溶剂均为不可替代有机溶剂，详见附件14《不可替代说明》。</w:t>
                  </w:r>
                </w:p>
              </w:tc>
              <w:tc>
                <w:tcPr>
                  <w:tcW w:w="235" w:type="pct"/>
                  <w:tcBorders>
                    <w:right w:val="nil"/>
                  </w:tcBorders>
                  <w:tcMar>
                    <w:top w:w="0" w:type="dxa"/>
                    <w:left w:w="28" w:type="dxa"/>
                    <w:bottom w:w="0" w:type="dxa"/>
                    <w:right w:w="28" w:type="dxa"/>
                  </w:tcMar>
                  <w:vAlign w:val="center"/>
                </w:tcPr>
                <w:p w14:paraId="35B3E8A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28735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153B59B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05D05560">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强化重点行业VOCs治理减排：</w:t>
                  </w:r>
                  <w:r>
                    <w:rPr>
                      <w:rFonts w:hint="default" w:ascii="Times New Roman" w:hAnsi="Times New Roman" w:eastAsia="宋体" w:cs="Times New Roman"/>
                      <w:color w:val="auto"/>
                      <w:kern w:val="2"/>
                      <w:sz w:val="21"/>
                      <w:szCs w:val="21"/>
                      <w:lang w:val="en-US" w:eastAsia="zh-CN" w:bidi="ar-SA"/>
                    </w:rPr>
                    <w:t>加强石化、化工、工业涂装、包装印刷、油品储运销售等重点行业VOCs深度治理，发布VOCs重点监管企业名录，编制实施“一企一策”综合治理方案。完善省重点行业VOCs总量核算体系，实施新建项目总量平衡“减二增一”。引导石化、化工、煤化工、制药、农药等行业合理安排停检修计划，减少非正常工况VOCs排放。</w:t>
                  </w:r>
                </w:p>
              </w:tc>
              <w:tc>
                <w:tcPr>
                  <w:tcW w:w="1250" w:type="pct"/>
                  <w:tcMar>
                    <w:top w:w="0" w:type="dxa"/>
                    <w:left w:w="28" w:type="dxa"/>
                    <w:bottom w:w="0" w:type="dxa"/>
                    <w:right w:w="28" w:type="dxa"/>
                  </w:tcMar>
                  <w:vAlign w:val="center"/>
                </w:tcPr>
                <w:p w14:paraId="4A935E77">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项目不属于石化、化工、工业涂装、包装印刷、油品储运销售等重点行业</w:t>
                  </w:r>
                  <w:r>
                    <w:rPr>
                      <w:rFonts w:hint="eastAsia" w:cs="Times New Roman"/>
                      <w:color w:val="auto"/>
                      <w:kern w:val="2"/>
                      <w:sz w:val="21"/>
                      <w:szCs w:val="21"/>
                      <w:lang w:val="en-US" w:eastAsia="zh-CN" w:bidi="ar-SA"/>
                    </w:rPr>
                    <w:t>，</w:t>
                  </w:r>
                  <w:r>
                    <w:rPr>
                      <w:rFonts w:hint="eastAsia" w:ascii="Times New Roman" w:hAnsi="Times New Roman" w:eastAsia="宋体" w:cs="Times New Roman"/>
                      <w:color w:val="auto"/>
                      <w:kern w:val="2"/>
                      <w:sz w:val="21"/>
                      <w:szCs w:val="21"/>
                      <w:lang w:val="en-US" w:eastAsia="zh-CN" w:bidi="ar-SA"/>
                    </w:rPr>
                    <w:t>本项目</w:t>
                  </w:r>
                  <w:r>
                    <w:rPr>
                      <w:rFonts w:hint="eastAsia" w:cs="Times New Roman"/>
                      <w:color w:val="auto"/>
                      <w:kern w:val="2"/>
                      <w:sz w:val="21"/>
                      <w:szCs w:val="21"/>
                      <w:lang w:val="en-US" w:eastAsia="zh-CN" w:bidi="ar-SA"/>
                    </w:rPr>
                    <w:t>涂胶、轴芯清洗、</w:t>
                  </w:r>
                  <w:r>
                    <w:rPr>
                      <w:rFonts w:hint="eastAsia" w:ascii="Times New Roman" w:hAnsi="Times New Roman" w:eastAsia="宋体" w:cs="Times New Roman"/>
                      <w:color w:val="auto"/>
                      <w:kern w:val="2"/>
                      <w:sz w:val="21"/>
                      <w:szCs w:val="21"/>
                      <w:lang w:val="en-US" w:eastAsia="zh-CN" w:bidi="ar-SA"/>
                    </w:rPr>
                    <w:t>轴芯涂胶、喷涂、加热、</w:t>
                  </w:r>
                  <w:r>
                    <w:rPr>
                      <w:rFonts w:hint="eastAsia" w:cs="Times New Roman"/>
                      <w:color w:val="auto"/>
                      <w:kern w:val="2"/>
                      <w:sz w:val="21"/>
                      <w:szCs w:val="21"/>
                      <w:lang w:val="en-US" w:eastAsia="zh-CN" w:bidi="ar-SA"/>
                    </w:rPr>
                    <w:t>密炼</w:t>
                  </w:r>
                  <w:r>
                    <w:rPr>
                      <w:rFonts w:hint="eastAsia" w:ascii="Times New Roman" w:hAnsi="Times New Roman" w:eastAsia="宋体" w:cs="Times New Roman"/>
                      <w:color w:val="auto"/>
                      <w:kern w:val="2"/>
                      <w:sz w:val="21"/>
                      <w:szCs w:val="21"/>
                      <w:lang w:val="en-US" w:eastAsia="zh-CN" w:bidi="ar-SA"/>
                    </w:rPr>
                    <w:t>、过滤、开炼和挤出</w:t>
                  </w:r>
                  <w:r>
                    <w:rPr>
                      <w:rFonts w:hint="eastAsia" w:cs="Times New Roman"/>
                      <w:color w:val="auto"/>
                      <w:kern w:val="2"/>
                      <w:sz w:val="21"/>
                      <w:szCs w:val="21"/>
                      <w:lang w:val="en-US" w:eastAsia="zh-CN" w:bidi="ar-SA"/>
                    </w:rPr>
                    <w:t>等</w:t>
                  </w:r>
                  <w:r>
                    <w:rPr>
                      <w:rFonts w:hint="eastAsia" w:ascii="Times New Roman" w:hAnsi="Times New Roman" w:eastAsia="宋体" w:cs="Times New Roman"/>
                      <w:color w:val="auto"/>
                      <w:kern w:val="2"/>
                      <w:sz w:val="21"/>
                      <w:szCs w:val="21"/>
                      <w:lang w:val="en-US" w:eastAsia="zh-CN" w:bidi="ar-SA"/>
                    </w:rPr>
                    <w:t>均在独立密闭车间内</w:t>
                  </w:r>
                  <w:r>
                    <w:rPr>
                      <w:rFonts w:hint="eastAsia"/>
                      <w:color w:val="auto"/>
                      <w:lang w:eastAsia="zh-CN"/>
                    </w:rPr>
                    <w:t>产生的有机废气通过</w:t>
                  </w:r>
                  <w:r>
                    <w:rPr>
                      <w:rFonts w:hint="eastAsia" w:ascii="Times New Roman" w:hAnsi="Times New Roman" w:eastAsia="宋体" w:cs="Times New Roman"/>
                      <w:color w:val="auto"/>
                      <w:kern w:val="2"/>
                      <w:sz w:val="21"/>
                      <w:szCs w:val="21"/>
                      <w:lang w:val="en-US" w:eastAsia="zh-CN" w:bidi="ar-SA"/>
                    </w:rPr>
                    <w:t>负压收集处理，</w:t>
                  </w:r>
                  <w:r>
                    <w:rPr>
                      <w:rFonts w:hint="eastAsia" w:cs="Times New Roman"/>
                      <w:color w:val="auto"/>
                      <w:kern w:val="2"/>
                      <w:sz w:val="21"/>
                      <w:szCs w:val="21"/>
                      <w:lang w:val="en-US" w:eastAsia="zh-CN" w:bidi="ar-SA"/>
                    </w:rPr>
                    <w:t>硫化</w:t>
                  </w:r>
                  <w:r>
                    <w:rPr>
                      <w:rFonts w:hint="eastAsia" w:ascii="Times New Roman" w:hAnsi="Times New Roman" w:eastAsia="宋体" w:cs="Times New Roman"/>
                      <w:color w:val="auto"/>
                      <w:kern w:val="2"/>
                      <w:sz w:val="21"/>
                      <w:szCs w:val="21"/>
                      <w:lang w:val="en-US" w:eastAsia="zh-CN" w:bidi="ar-SA"/>
                    </w:rPr>
                    <w:t>工序</w:t>
                  </w:r>
                  <w:r>
                    <w:rPr>
                      <w:rFonts w:hint="eastAsia"/>
                      <w:color w:val="auto"/>
                      <w:lang w:eastAsia="zh-CN"/>
                    </w:rPr>
                    <w:t>产生的有机废气通过</w:t>
                  </w:r>
                  <w:r>
                    <w:rPr>
                      <w:rFonts w:hint="eastAsia" w:ascii="Times New Roman" w:hAnsi="Times New Roman" w:eastAsia="宋体" w:cs="Times New Roman"/>
                      <w:color w:val="auto"/>
                      <w:kern w:val="2"/>
                      <w:sz w:val="21"/>
                      <w:szCs w:val="21"/>
                      <w:lang w:val="en-US" w:eastAsia="zh-CN" w:bidi="ar-SA"/>
                    </w:rPr>
                    <w:t>采用密闭管道进行负压收集处理。</w:t>
                  </w:r>
                </w:p>
              </w:tc>
              <w:tc>
                <w:tcPr>
                  <w:tcW w:w="235" w:type="pct"/>
                  <w:tcBorders>
                    <w:right w:val="nil"/>
                  </w:tcBorders>
                  <w:tcMar>
                    <w:top w:w="0" w:type="dxa"/>
                    <w:left w:w="28" w:type="dxa"/>
                    <w:bottom w:w="0" w:type="dxa"/>
                    <w:right w:w="28" w:type="dxa"/>
                  </w:tcMar>
                  <w:vAlign w:val="center"/>
                </w:tcPr>
                <w:p w14:paraId="0607F59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1AAE5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restart"/>
                  <w:tcBorders>
                    <w:left w:val="nil"/>
                  </w:tcBorders>
                  <w:tcMar>
                    <w:top w:w="0" w:type="dxa"/>
                    <w:left w:w="28" w:type="dxa"/>
                    <w:bottom w:w="0" w:type="dxa"/>
                    <w:right w:w="28" w:type="dxa"/>
                  </w:tcMar>
                  <w:vAlign w:val="center"/>
                </w:tcPr>
                <w:p w14:paraId="2F1094A1">
                  <w:pPr>
                    <w:keepNext w:val="0"/>
                    <w:keepLines w:val="0"/>
                    <w:pageBreakBefore w:val="0"/>
                    <w:widowControl w:val="0"/>
                    <w:kinsoku/>
                    <w:wordWrap/>
                    <w:overflowPunct/>
                    <w:topLinePunct w:val="0"/>
                    <w:autoSpaceDE/>
                    <w:autoSpaceDN/>
                    <w:bidi w:val="0"/>
                    <w:adjustRightInd/>
                    <w:snapToGrid/>
                    <w:spacing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《挥发性有机物无组织排放控制标</w:t>
                  </w:r>
                </w:p>
                <w:p w14:paraId="0FCDAAEA">
                  <w:pPr>
                    <w:keepNext w:val="0"/>
                    <w:keepLines w:val="0"/>
                    <w:pageBreakBefore w:val="0"/>
                    <w:widowControl w:val="0"/>
                    <w:kinsoku/>
                    <w:wordWrap/>
                    <w:overflowPunct/>
                    <w:topLinePunct w:val="0"/>
                    <w:autoSpaceDE/>
                    <w:autoSpaceDN/>
                    <w:bidi w:val="0"/>
                    <w:adjustRightInd/>
                    <w:snapToGrid/>
                    <w:spacing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准》（GB378</w:t>
                  </w:r>
                </w:p>
                <w:p w14:paraId="77AF44AE">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22-2019）</w:t>
                  </w:r>
                </w:p>
              </w:tc>
              <w:tc>
                <w:tcPr>
                  <w:tcW w:w="2885" w:type="pct"/>
                  <w:tcMar>
                    <w:top w:w="0" w:type="dxa"/>
                    <w:left w:w="28" w:type="dxa"/>
                    <w:bottom w:w="0" w:type="dxa"/>
                    <w:right w:w="28" w:type="dxa"/>
                  </w:tcMar>
                  <w:vAlign w:val="center"/>
                </w:tcPr>
                <w:p w14:paraId="3357C787">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both"/>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6.1.1液态VOCs物料应采用密闭管道输送。采用非管道输送方式转移液态VOCs物料时，应采用密闭容器、罐车。</w:t>
                  </w:r>
                </w:p>
              </w:tc>
              <w:tc>
                <w:tcPr>
                  <w:tcW w:w="1250" w:type="pct"/>
                  <w:tcMar>
                    <w:top w:w="0" w:type="dxa"/>
                    <w:left w:w="28" w:type="dxa"/>
                    <w:bottom w:w="0" w:type="dxa"/>
                    <w:right w:w="28" w:type="dxa"/>
                  </w:tcMar>
                  <w:vAlign w:val="center"/>
                </w:tcPr>
                <w:p w14:paraId="3A9B4C07">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both"/>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kern w:val="2"/>
                      <w:sz w:val="21"/>
                      <w:szCs w:val="21"/>
                      <w:highlight w:val="none"/>
                      <w:lang w:val="en-US" w:eastAsia="zh-CN" w:bidi="ar-SA"/>
                    </w:rPr>
                    <w:t>本</w:t>
                  </w:r>
                  <w:r>
                    <w:rPr>
                      <w:rFonts w:hint="default" w:ascii="Times New Roman" w:hAnsi="Times New Roman" w:eastAsia="宋体" w:cs="Times New Roman"/>
                      <w:color w:val="auto"/>
                      <w:kern w:val="2"/>
                      <w:sz w:val="21"/>
                      <w:szCs w:val="21"/>
                      <w:highlight w:val="none"/>
                      <w:lang w:val="en-US" w:eastAsia="zh-CN" w:bidi="ar-SA"/>
                    </w:rPr>
                    <w:t>项目液态VOCs物料均采用密闭容器进行运输。</w:t>
                  </w:r>
                </w:p>
              </w:tc>
              <w:tc>
                <w:tcPr>
                  <w:tcW w:w="235" w:type="pct"/>
                  <w:tcBorders>
                    <w:right w:val="nil"/>
                  </w:tcBorders>
                  <w:tcMar>
                    <w:top w:w="0" w:type="dxa"/>
                    <w:left w:w="28" w:type="dxa"/>
                    <w:bottom w:w="0" w:type="dxa"/>
                    <w:right w:w="28" w:type="dxa"/>
                  </w:tcMar>
                  <w:vAlign w:val="center"/>
                </w:tcPr>
                <w:p w14:paraId="569302FA">
                  <w:pPr>
                    <w:keepNext w:val="0"/>
                    <w:keepLines w:val="0"/>
                    <w:pageBreakBefore w:val="0"/>
                    <w:widowControl w:val="0"/>
                    <w:kinsoku/>
                    <w:wordWrap/>
                    <w:overflowPunct/>
                    <w:topLinePunct w:val="0"/>
                    <w:autoSpaceDE/>
                    <w:autoSpaceDN/>
                    <w:bidi w:val="0"/>
                    <w:adjustRightInd/>
                    <w:snapToGrid/>
                    <w:spacing w:before="0" w:after="0"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符合</w:t>
                  </w:r>
                </w:p>
              </w:tc>
            </w:tr>
            <w:tr w14:paraId="44DD8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19C23CA4">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135D0943">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both"/>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6.2.1 装载方式  挥发性有机液体应采用底部装载方式；若采用顶部浸没式装载，出料管口距离槽（罐）底部高度应小于200mm。</w:t>
                  </w:r>
                </w:p>
              </w:tc>
              <w:tc>
                <w:tcPr>
                  <w:tcW w:w="1250" w:type="pct"/>
                  <w:tcMar>
                    <w:top w:w="0" w:type="dxa"/>
                    <w:left w:w="28" w:type="dxa"/>
                    <w:bottom w:w="0" w:type="dxa"/>
                    <w:right w:w="28" w:type="dxa"/>
                  </w:tcMar>
                  <w:vAlign w:val="center"/>
                </w:tcPr>
                <w:p w14:paraId="26F513B8">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kern w:val="2"/>
                      <w:sz w:val="21"/>
                      <w:szCs w:val="21"/>
                      <w:highlight w:val="none"/>
                      <w:lang w:val="en-US" w:eastAsia="zh-CN" w:bidi="ar-SA"/>
                    </w:rPr>
                    <w:t>本</w:t>
                  </w:r>
                  <w:r>
                    <w:rPr>
                      <w:rFonts w:hint="default" w:ascii="Times New Roman" w:hAnsi="Times New Roman" w:eastAsia="宋体" w:cs="Times New Roman"/>
                      <w:color w:val="auto"/>
                      <w:kern w:val="2"/>
                      <w:sz w:val="21"/>
                      <w:szCs w:val="21"/>
                      <w:highlight w:val="none"/>
                      <w:lang w:val="en-US" w:eastAsia="zh-CN" w:bidi="ar-SA"/>
                    </w:rPr>
                    <w:t>项目</w:t>
                  </w:r>
                  <w:r>
                    <w:rPr>
                      <w:rFonts w:hint="eastAsia" w:ascii="Times New Roman" w:hAnsi="Times New Roman" w:eastAsia="宋体" w:cs="Times New Roman"/>
                      <w:color w:val="auto"/>
                      <w:kern w:val="2"/>
                      <w:sz w:val="21"/>
                      <w:szCs w:val="21"/>
                      <w:highlight w:val="none"/>
                      <w:lang w:val="en-US" w:eastAsia="zh-CN" w:bidi="ar-SA"/>
                    </w:rPr>
                    <w:t>不涉及</w:t>
                  </w:r>
                  <w:r>
                    <w:rPr>
                      <w:rFonts w:hint="default" w:ascii="Times New Roman" w:hAnsi="Times New Roman" w:eastAsia="宋体" w:cs="Times New Roman"/>
                      <w:color w:val="auto"/>
                      <w:kern w:val="2"/>
                      <w:sz w:val="21"/>
                      <w:szCs w:val="21"/>
                      <w:highlight w:val="none"/>
                      <w:lang w:val="en-US" w:eastAsia="zh-CN" w:bidi="ar-SA"/>
                    </w:rPr>
                    <w:t>。</w:t>
                  </w:r>
                </w:p>
              </w:tc>
              <w:tc>
                <w:tcPr>
                  <w:tcW w:w="235" w:type="pct"/>
                  <w:tcBorders>
                    <w:right w:val="nil"/>
                  </w:tcBorders>
                  <w:tcMar>
                    <w:top w:w="0" w:type="dxa"/>
                    <w:left w:w="28" w:type="dxa"/>
                    <w:bottom w:w="0" w:type="dxa"/>
                    <w:right w:w="28" w:type="dxa"/>
                  </w:tcMar>
                  <w:vAlign w:val="center"/>
                </w:tcPr>
                <w:p w14:paraId="761ED1F8">
                  <w:pPr>
                    <w:keepNext w:val="0"/>
                    <w:keepLines w:val="0"/>
                    <w:pageBreakBefore w:val="0"/>
                    <w:widowControl w:val="0"/>
                    <w:kinsoku/>
                    <w:wordWrap/>
                    <w:overflowPunct/>
                    <w:topLinePunct w:val="0"/>
                    <w:autoSpaceDE/>
                    <w:autoSpaceDN/>
                    <w:bidi w:val="0"/>
                    <w:adjustRightInd/>
                    <w:snapToGrid/>
                    <w:spacing w:before="0" w:after="0"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符合</w:t>
                  </w:r>
                </w:p>
              </w:tc>
            </w:tr>
            <w:tr w14:paraId="643FA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tcBorders>
                  <w:tcMar>
                    <w:top w:w="0" w:type="dxa"/>
                    <w:left w:w="28" w:type="dxa"/>
                    <w:bottom w:w="0" w:type="dxa"/>
                    <w:right w:w="28" w:type="dxa"/>
                  </w:tcMar>
                  <w:vAlign w:val="center"/>
                </w:tcPr>
                <w:p w14:paraId="069D9A60">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Mar>
                    <w:top w:w="0" w:type="dxa"/>
                    <w:left w:w="28" w:type="dxa"/>
                    <w:bottom w:w="0" w:type="dxa"/>
                    <w:right w:w="28" w:type="dxa"/>
                  </w:tcMar>
                  <w:vAlign w:val="center"/>
                </w:tcPr>
                <w:p w14:paraId="4ACFBD7A">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10.3.2 收集的废气中NMHC初始排放速率≥3kg/h时，应配置VOCs处理设施，处理效率不应低于80%；对于重点地区收集的废气中NMHC初始排放速率≥2kg/h时，应配置VOCs处理设施，处理效率不应低于80%；采用的原辅材料符合国家有关低VOCs含量产品规定的除外。</w:t>
                  </w:r>
                </w:p>
              </w:tc>
              <w:tc>
                <w:tcPr>
                  <w:tcW w:w="1250" w:type="pct"/>
                  <w:tcMar>
                    <w:top w:w="0" w:type="dxa"/>
                    <w:left w:w="28" w:type="dxa"/>
                    <w:bottom w:w="0" w:type="dxa"/>
                    <w:right w:w="28" w:type="dxa"/>
                  </w:tcMar>
                  <w:vAlign w:val="center"/>
                </w:tcPr>
                <w:p w14:paraId="57D2A3AB">
                  <w:pPr>
                    <w:keepNext w:val="0"/>
                    <w:keepLines w:val="0"/>
                    <w:pageBreakBefore w:val="0"/>
                    <w:widowControl w:val="0"/>
                    <w:kinsoku/>
                    <w:wordWrap w:val="0"/>
                    <w:overflowPunct/>
                    <w:topLinePunct w:val="0"/>
                    <w:autoSpaceDE/>
                    <w:autoSpaceDN/>
                    <w:bidi w:val="0"/>
                    <w:adjustRightInd/>
                    <w:snapToGrid/>
                    <w:spacing w:line="360" w:lineRule="exact"/>
                    <w:ind w:left="0" w:right="0" w:firstLine="0"/>
                    <w:jc w:val="left"/>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本</w:t>
                  </w:r>
                  <w:r>
                    <w:rPr>
                      <w:rFonts w:hint="default" w:ascii="Times New Roman" w:hAnsi="Times New Roman" w:eastAsia="宋体" w:cs="Times New Roman"/>
                      <w:color w:val="auto"/>
                      <w:kern w:val="2"/>
                      <w:sz w:val="21"/>
                      <w:szCs w:val="21"/>
                      <w:lang w:val="en-US" w:eastAsia="zh-CN" w:bidi="ar-SA"/>
                    </w:rPr>
                    <w:t>项目</w:t>
                  </w:r>
                  <w:r>
                    <w:rPr>
                      <w:rFonts w:hint="eastAsia" w:ascii="Times New Roman" w:hAnsi="Times New Roman" w:eastAsia="宋体" w:cs="Times New Roman"/>
                      <w:color w:val="auto"/>
                      <w:kern w:val="2"/>
                      <w:sz w:val="21"/>
                      <w:szCs w:val="21"/>
                      <w:lang w:val="en-US" w:eastAsia="zh-CN" w:bidi="ar-SA"/>
                    </w:rPr>
                    <w:t>喷涂、加热工序</w:t>
                  </w:r>
                  <w:r>
                    <w:rPr>
                      <w:rFonts w:hint="default" w:ascii="Times New Roman" w:hAnsi="Times New Roman" w:eastAsia="宋体" w:cs="Times New Roman"/>
                      <w:color w:val="auto"/>
                      <w:kern w:val="2"/>
                      <w:sz w:val="21"/>
                      <w:szCs w:val="21"/>
                      <w:lang w:val="en-US" w:eastAsia="zh-CN" w:bidi="ar-SA"/>
                    </w:rPr>
                    <w:t>废气初始排放速率为</w:t>
                  </w:r>
                  <w:r>
                    <w:rPr>
                      <w:rFonts w:hint="eastAsia" w:ascii="Times New Roman" w:hAnsi="Times New Roman" w:eastAsia="宋体" w:cs="Times New Roman"/>
                      <w:color w:val="auto"/>
                      <w:kern w:val="2"/>
                      <w:sz w:val="21"/>
                      <w:szCs w:val="21"/>
                      <w:lang w:val="en-US" w:eastAsia="zh-CN" w:bidi="ar-SA"/>
                    </w:rPr>
                    <w:t>4.159</w:t>
                  </w:r>
                  <w:r>
                    <w:rPr>
                      <w:rFonts w:hint="default" w:ascii="Times New Roman" w:hAnsi="Times New Roman" w:eastAsia="宋体" w:cs="Times New Roman"/>
                      <w:color w:val="auto"/>
                      <w:kern w:val="2"/>
                      <w:sz w:val="21"/>
                      <w:szCs w:val="21"/>
                      <w:lang w:val="en-US" w:eastAsia="zh-CN" w:bidi="ar-SA"/>
                    </w:rPr>
                    <w:t>kg/h，采用</w:t>
                  </w:r>
                  <w:r>
                    <w:rPr>
                      <w:rFonts w:hint="eastAsia" w:ascii="Times New Roman" w:hAnsi="Times New Roman" w:eastAsia="宋体" w:cs="Times New Roman"/>
                      <w:color w:val="auto"/>
                      <w:kern w:val="2"/>
                      <w:sz w:val="21"/>
                      <w:szCs w:val="21"/>
                      <w:lang w:val="en-US" w:eastAsia="zh-CN" w:bidi="ar-SA"/>
                    </w:rPr>
                    <w:t>“</w:t>
                  </w:r>
                  <w:r>
                    <w:rPr>
                      <w:rFonts w:hint="eastAsia" w:cs="Times New Roman"/>
                      <w:color w:val="auto"/>
                      <w:kern w:val="2"/>
                      <w:sz w:val="21"/>
                      <w:szCs w:val="21"/>
                      <w:lang w:val="en-US" w:eastAsia="zh-CN" w:bidi="ar-SA"/>
                    </w:rPr>
                    <w:t>水喷淋+活性炭吸附脱附+</w:t>
                  </w:r>
                  <w:r>
                    <w:rPr>
                      <w:rFonts w:hint="eastAsia" w:ascii="Times New Roman" w:hAnsi="Times New Roman" w:eastAsia="宋体" w:cs="Times New Roman"/>
                      <w:color w:val="auto"/>
                      <w:kern w:val="2"/>
                      <w:sz w:val="21"/>
                      <w:szCs w:val="21"/>
                      <w:lang w:val="en-US" w:eastAsia="zh-CN" w:bidi="ar-SA"/>
                    </w:rPr>
                    <w:t>RCO</w:t>
                  </w:r>
                  <w:r>
                    <w:rPr>
                      <w:rFonts w:hint="eastAsia" w:cs="Times New Roman"/>
                      <w:color w:val="auto"/>
                      <w:kern w:val="2"/>
                      <w:sz w:val="21"/>
                      <w:szCs w:val="21"/>
                      <w:lang w:val="en-US" w:eastAsia="zh-CN" w:bidi="ar-SA"/>
                    </w:rPr>
                    <w:t>装置</w:t>
                  </w:r>
                  <w:r>
                    <w:rPr>
                      <w:rFonts w:hint="eastAsia" w:ascii="Times New Roman" w:hAnsi="Times New Roman" w:eastAsia="宋体"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处理，确保达标排放。处理效率</w:t>
                  </w:r>
                  <w:r>
                    <w:rPr>
                      <w:rFonts w:hint="eastAsia" w:ascii="Times New Roman" w:hAnsi="Times New Roman" w:eastAsia="宋体" w:cs="Times New Roman"/>
                      <w:color w:val="auto"/>
                      <w:kern w:val="2"/>
                      <w:sz w:val="21"/>
                      <w:szCs w:val="21"/>
                      <w:lang w:val="en-US" w:eastAsia="zh-CN" w:bidi="ar-SA"/>
                    </w:rPr>
                    <w:t>为92%，</w:t>
                  </w:r>
                  <w:r>
                    <w:rPr>
                      <w:rFonts w:hint="default" w:ascii="Times New Roman" w:hAnsi="Times New Roman" w:eastAsia="宋体" w:cs="Times New Roman"/>
                      <w:color w:val="auto"/>
                      <w:kern w:val="2"/>
                      <w:sz w:val="21"/>
                      <w:szCs w:val="21"/>
                      <w:lang w:val="en-US" w:eastAsia="zh-CN" w:bidi="ar-SA"/>
                    </w:rPr>
                    <w:t>不低于80%。</w:t>
                  </w:r>
                  <w:r>
                    <w:rPr>
                      <w:rFonts w:hint="eastAsia" w:cs="Times New Roman"/>
                      <w:color w:val="auto"/>
                      <w:kern w:val="2"/>
                      <w:sz w:val="21"/>
                      <w:szCs w:val="21"/>
                      <w:lang w:val="en-US" w:eastAsia="zh-CN" w:bidi="ar-SA"/>
                    </w:rPr>
                    <w:t>项目</w:t>
                  </w:r>
                  <w:r>
                    <w:rPr>
                      <w:rFonts w:hint="eastAsia" w:ascii="Times New Roman" w:hAnsi="Times New Roman" w:eastAsia="宋体" w:cs="Times New Roman"/>
                      <w:color w:val="auto"/>
                      <w:kern w:val="2"/>
                      <w:sz w:val="21"/>
                      <w:szCs w:val="21"/>
                      <w:lang w:val="en-US" w:eastAsia="zh-CN" w:bidi="ar-SA"/>
                    </w:rPr>
                    <w:t>密炼机清理、涂</w:t>
                  </w:r>
                  <w:r>
                    <w:rPr>
                      <w:rFonts w:hint="eastAsia" w:cs="Times New Roman"/>
                      <w:color w:val="auto"/>
                      <w:kern w:val="2"/>
                      <w:sz w:val="21"/>
                      <w:szCs w:val="21"/>
                      <w:lang w:val="en-US" w:eastAsia="zh-CN" w:bidi="ar-SA"/>
                    </w:rPr>
                    <w:t>胶、</w:t>
                  </w:r>
                  <w:r>
                    <w:rPr>
                      <w:rFonts w:hint="default" w:cs="Times New Roman"/>
                      <w:color w:val="auto"/>
                      <w:kern w:val="2"/>
                      <w:sz w:val="21"/>
                      <w:szCs w:val="21"/>
                      <w:lang w:val="en-US" w:eastAsia="zh-CN" w:bidi="ar-SA"/>
                    </w:rPr>
                    <w:t>轴芯</w:t>
                  </w:r>
                  <w:r>
                    <w:rPr>
                      <w:rFonts w:hint="eastAsia" w:cs="Times New Roman"/>
                      <w:color w:val="auto"/>
                      <w:kern w:val="2"/>
                      <w:sz w:val="21"/>
                      <w:szCs w:val="21"/>
                      <w:lang w:val="en-US" w:eastAsia="zh-CN" w:bidi="ar-SA"/>
                    </w:rPr>
                    <w:t>涂胶、喷涂过程使用的有机溶剂均为不可替代有机溶剂，详见附件14 《不可替代说明》。</w:t>
                  </w:r>
                </w:p>
              </w:tc>
              <w:tc>
                <w:tcPr>
                  <w:tcW w:w="235" w:type="pct"/>
                  <w:tcBorders>
                    <w:right w:val="nil"/>
                  </w:tcBorders>
                  <w:tcMar>
                    <w:top w:w="0" w:type="dxa"/>
                    <w:left w:w="28" w:type="dxa"/>
                    <w:bottom w:w="0" w:type="dxa"/>
                    <w:right w:w="28" w:type="dxa"/>
                  </w:tcMar>
                  <w:vAlign w:val="center"/>
                </w:tcPr>
                <w:p w14:paraId="6622ADF8">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r w14:paraId="69087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8" w:type="pct"/>
                  <w:vMerge w:val="continue"/>
                  <w:tcBorders>
                    <w:left w:val="nil"/>
                    <w:bottom w:val="single" w:color="auto" w:sz="12" w:space="0"/>
                  </w:tcBorders>
                  <w:tcMar>
                    <w:top w:w="0" w:type="dxa"/>
                    <w:left w:w="28" w:type="dxa"/>
                    <w:bottom w:w="0" w:type="dxa"/>
                    <w:right w:w="28" w:type="dxa"/>
                  </w:tcMar>
                  <w:vAlign w:val="center"/>
                </w:tcPr>
                <w:p w14:paraId="30D20B16">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p>
              </w:tc>
              <w:tc>
                <w:tcPr>
                  <w:tcW w:w="2885" w:type="pct"/>
                  <w:tcBorders>
                    <w:bottom w:val="single" w:color="auto" w:sz="12" w:space="0"/>
                  </w:tcBorders>
                  <w:tcMar>
                    <w:top w:w="0" w:type="dxa"/>
                    <w:left w:w="28" w:type="dxa"/>
                    <w:bottom w:w="0" w:type="dxa"/>
                    <w:right w:w="28" w:type="dxa"/>
                  </w:tcMar>
                  <w:vAlign w:val="center"/>
                </w:tcPr>
                <w:p w14:paraId="20835427">
                  <w:pPr>
                    <w:keepNext w:val="0"/>
                    <w:keepLines w:val="0"/>
                    <w:pageBreakBefore w:val="0"/>
                    <w:widowControl w:val="0"/>
                    <w:kinsoku/>
                    <w:wordWrap/>
                    <w:overflowPunct/>
                    <w:topLinePunct w:val="0"/>
                    <w:autoSpaceDE/>
                    <w:autoSpaceDN/>
                    <w:bidi w:val="0"/>
                    <w:adjustRightInd/>
                    <w:snapToGrid/>
                    <w:spacing w:line="360" w:lineRule="exact"/>
                    <w:ind w:left="0" w:right="0" w:firstLine="0"/>
                    <w:jc w:val="both"/>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企业应建立台账，记录含VOCs原辅材料和含 VOCs产品的名称、使用量、回收量、废弃量、去向以及VOCs含量等信息。台账保存期限不少于3年。</w:t>
                  </w:r>
                </w:p>
              </w:tc>
              <w:tc>
                <w:tcPr>
                  <w:tcW w:w="1250" w:type="pct"/>
                  <w:tcBorders>
                    <w:bottom w:val="single" w:color="auto" w:sz="12" w:space="0"/>
                  </w:tcBorders>
                  <w:tcMar>
                    <w:top w:w="0" w:type="dxa"/>
                    <w:left w:w="28" w:type="dxa"/>
                    <w:bottom w:w="0" w:type="dxa"/>
                    <w:right w:w="28" w:type="dxa"/>
                  </w:tcMar>
                  <w:vAlign w:val="center"/>
                </w:tcPr>
                <w:p w14:paraId="71C24DBA">
                  <w:pPr>
                    <w:keepNext w:val="0"/>
                    <w:keepLines w:val="0"/>
                    <w:pageBreakBefore w:val="0"/>
                    <w:widowControl w:val="0"/>
                    <w:kinsoku/>
                    <w:wordWrap/>
                    <w:overflowPunct/>
                    <w:topLinePunct w:val="0"/>
                    <w:autoSpaceDE/>
                    <w:autoSpaceDN/>
                    <w:bidi w:val="0"/>
                    <w:adjustRightInd/>
                    <w:snapToGrid/>
                    <w:spacing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企业将按要求记录。台账保存期限不少于3年。</w:t>
                  </w:r>
                </w:p>
              </w:tc>
              <w:tc>
                <w:tcPr>
                  <w:tcW w:w="235" w:type="pct"/>
                  <w:tcBorders>
                    <w:bottom w:val="single" w:color="auto" w:sz="12" w:space="0"/>
                    <w:right w:val="nil"/>
                  </w:tcBorders>
                  <w:tcMar>
                    <w:top w:w="0" w:type="dxa"/>
                    <w:left w:w="28" w:type="dxa"/>
                    <w:bottom w:w="0" w:type="dxa"/>
                    <w:right w:w="28" w:type="dxa"/>
                  </w:tcMar>
                  <w:vAlign w:val="center"/>
                </w:tcPr>
                <w:p w14:paraId="55224239">
                  <w:pPr>
                    <w:keepNext w:val="0"/>
                    <w:keepLines w:val="0"/>
                    <w:pageBreakBefore w:val="0"/>
                    <w:widowControl w:val="0"/>
                    <w:kinsoku/>
                    <w:wordWrap/>
                    <w:overflowPunct/>
                    <w:topLinePunct w:val="0"/>
                    <w:autoSpaceDE/>
                    <w:autoSpaceDN/>
                    <w:bidi w:val="0"/>
                    <w:adjustRightInd/>
                    <w:snapToGrid/>
                    <w:spacing w:before="0" w:after="0" w:line="360" w:lineRule="exact"/>
                    <w:ind w:left="0" w:right="0" w:firstLine="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符合</w:t>
                  </w:r>
                </w:p>
              </w:tc>
            </w:tr>
          </w:tbl>
          <w:p w14:paraId="188AF32D">
            <w:pPr>
              <w:keepNext w:val="0"/>
              <w:keepLines w:val="0"/>
              <w:pageBreakBefore w:val="0"/>
              <w:widowControl w:val="0"/>
              <w:kinsoku/>
              <w:wordWrap/>
              <w:overflowPunct/>
              <w:topLinePunct w:val="0"/>
              <w:autoSpaceDE/>
              <w:autoSpaceDN/>
              <w:bidi w:val="0"/>
              <w:adjustRightInd/>
              <w:snapToGrid/>
              <w:spacing w:line="500" w:lineRule="exact"/>
              <w:ind w:firstLine="442" w:firstLineChars="200"/>
              <w:textAlignment w:val="auto"/>
              <w:outlineLvl w:val="9"/>
              <w:rPr>
                <w:rFonts w:hint="eastAsia" w:ascii="Times New Roman" w:hAnsi="Times New Roman" w:eastAsia="宋体" w:cs="Times New Roman"/>
                <w:b/>
                <w:bCs/>
                <w:color w:val="auto"/>
                <w:sz w:val="22"/>
                <w:szCs w:val="22"/>
                <w:lang w:val="en-US" w:eastAsia="zh-CN"/>
              </w:rPr>
            </w:pPr>
            <w:r>
              <w:rPr>
                <w:rFonts w:hint="eastAsia" w:ascii="Times New Roman" w:hAnsi="Times New Roman" w:eastAsia="宋体" w:cs="Times New Roman"/>
                <w:b/>
                <w:bCs/>
                <w:color w:val="auto"/>
                <w:sz w:val="22"/>
                <w:szCs w:val="22"/>
                <w:lang w:val="en-US" w:eastAsia="zh-CN"/>
              </w:rPr>
              <w:t xml:space="preserve">1.3与《橡胶工厂环境保护设计规范》相符性分析 </w:t>
            </w:r>
          </w:p>
          <w:p w14:paraId="60D9D6CD">
            <w:pPr>
              <w:keepNext w:val="0"/>
              <w:keepLines w:val="0"/>
              <w:pageBreakBefore w:val="0"/>
              <w:widowControl w:val="0"/>
              <w:kinsoku/>
              <w:wordWrap/>
              <w:overflowPunct/>
              <w:topLinePunct w:val="0"/>
              <w:autoSpaceDE/>
              <w:autoSpaceDN/>
              <w:bidi w:val="0"/>
              <w:adjustRightInd/>
              <w:snapToGrid/>
              <w:spacing w:line="500" w:lineRule="exact"/>
              <w:ind w:firstLine="440" w:firstLineChars="200"/>
              <w:textAlignment w:val="auto"/>
              <w:outlineLvl w:val="9"/>
              <w:rPr>
                <w:rFonts w:hint="default" w:ascii="Times New Roman" w:hAnsi="Times New Roman" w:eastAsia="宋体" w:cs="Times New Roman"/>
                <w:color w:val="auto"/>
                <w:sz w:val="22"/>
                <w:szCs w:val="21"/>
                <w:vertAlign w:val="baseline"/>
                <w:lang w:val="en-US" w:eastAsia="zh-CN"/>
              </w:rPr>
            </w:pPr>
            <w:r>
              <w:rPr>
                <w:rFonts w:hint="default" w:ascii="Times New Roman" w:hAnsi="Times New Roman" w:eastAsia="宋体" w:cs="Times New Roman"/>
                <w:color w:val="auto"/>
                <w:sz w:val="22"/>
                <w:szCs w:val="21"/>
                <w:vertAlign w:val="baseline"/>
                <w:lang w:val="en-US" w:eastAsia="zh-CN"/>
              </w:rPr>
              <w:t>本项目与《橡胶工厂环境保护设计规范》（GB50469-2016）的相符性分析见</w:t>
            </w:r>
            <w:r>
              <w:rPr>
                <w:rFonts w:hint="eastAsia" w:ascii="Times New Roman" w:hAnsi="Times New Roman" w:eastAsia="宋体" w:cs="Times New Roman"/>
                <w:color w:val="auto"/>
                <w:sz w:val="22"/>
                <w:szCs w:val="21"/>
                <w:vertAlign w:val="baseline"/>
                <w:lang w:val="en-US" w:eastAsia="zh-CN"/>
              </w:rPr>
              <w:t>下</w:t>
            </w:r>
            <w:r>
              <w:rPr>
                <w:rFonts w:hint="default" w:ascii="Times New Roman" w:hAnsi="Times New Roman" w:eastAsia="宋体" w:cs="Times New Roman"/>
                <w:color w:val="auto"/>
                <w:sz w:val="22"/>
                <w:szCs w:val="21"/>
                <w:vertAlign w:val="baseline"/>
                <w:lang w:val="en-US" w:eastAsia="zh-CN"/>
              </w:rPr>
              <w:t>表</w:t>
            </w:r>
            <w:r>
              <w:rPr>
                <w:rFonts w:hint="eastAsia" w:ascii="Times New Roman" w:hAnsi="Times New Roman" w:eastAsia="宋体" w:cs="Times New Roman"/>
                <w:color w:val="auto"/>
                <w:sz w:val="22"/>
                <w:szCs w:val="21"/>
                <w:vertAlign w:val="baseline"/>
                <w:lang w:val="en-US" w:eastAsia="zh-CN"/>
              </w:rPr>
              <w:t>。</w:t>
            </w:r>
          </w:p>
          <w:p w14:paraId="39B9D663">
            <w:pPr>
              <w:keepNext w:val="0"/>
              <w:keepLines w:val="0"/>
              <w:pageBreakBefore w:val="0"/>
              <w:widowControl w:val="0"/>
              <w:kinsoku/>
              <w:wordWrap/>
              <w:overflowPunct/>
              <w:topLinePunct w:val="0"/>
              <w:autoSpaceDE/>
              <w:autoSpaceDN/>
              <w:bidi w:val="0"/>
              <w:adjustRightInd/>
              <w:snapToGrid/>
              <w:spacing w:line="500" w:lineRule="exact"/>
              <w:ind w:firstLine="0" w:firstLineChars="0"/>
              <w:jc w:val="center"/>
              <w:textAlignment w:val="auto"/>
              <w:outlineLvl w:val="9"/>
              <w:rPr>
                <w:rFonts w:hint="default" w:ascii="Times New Roman" w:hAnsi="Times New Roman" w:eastAsia="宋体" w:cs="Times New Roman"/>
                <w:color w:val="auto"/>
                <w:sz w:val="22"/>
                <w:szCs w:val="21"/>
                <w:vertAlign w:val="baseline"/>
                <w:lang w:val="en-US" w:eastAsia="zh-CN"/>
              </w:rPr>
            </w:pPr>
            <w:r>
              <w:rPr>
                <w:rFonts w:hint="default" w:ascii="Times New Roman" w:hAnsi="Times New Roman" w:eastAsia="宋体" w:cs="Times New Roman"/>
                <w:b/>
                <w:bCs/>
                <w:color w:val="auto"/>
                <w:sz w:val="22"/>
                <w:szCs w:val="21"/>
                <w:vertAlign w:val="baseline"/>
                <w:lang w:val="en-US" w:eastAsia="zh-CN"/>
              </w:rPr>
              <w:t>表1.3-1  本项目与《橡胶工厂环境保护设计规范》（GB50469-2016）的相符性分析</w:t>
            </w:r>
          </w:p>
          <w:tbl>
            <w:tblPr>
              <w:tblStyle w:val="44"/>
              <w:tblpPr w:leftFromText="180" w:rightFromText="180" w:vertAnchor="text" w:tblpXSpec="center" w:tblpY="1"/>
              <w:tblOverlap w:val="never"/>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582"/>
              <w:gridCol w:w="6975"/>
              <w:gridCol w:w="6366"/>
            </w:tblGrid>
            <w:tr w14:paraId="1B29F9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6288A206">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b/>
                      <w:bCs/>
                      <w:color w:val="auto"/>
                      <w:sz w:val="21"/>
                      <w:szCs w:val="20"/>
                      <w:vertAlign w:val="baseline"/>
                      <w:lang w:val="en-US" w:eastAsia="zh-CN"/>
                    </w:rPr>
                  </w:pPr>
                  <w:r>
                    <w:rPr>
                      <w:rFonts w:hint="eastAsia" w:ascii="Times New Roman" w:hAnsi="Times New Roman" w:eastAsia="宋体" w:cs="Times New Roman"/>
                      <w:b/>
                      <w:bCs/>
                      <w:color w:val="auto"/>
                      <w:sz w:val="21"/>
                      <w:szCs w:val="20"/>
                      <w:vertAlign w:val="baseline"/>
                      <w:lang w:val="en-US" w:eastAsia="zh-CN"/>
                    </w:rPr>
                    <w:t>项目</w:t>
                  </w:r>
                </w:p>
              </w:tc>
              <w:tc>
                <w:tcPr>
                  <w:tcW w:w="6975" w:type="dxa"/>
                  <w:tcBorders>
                    <w:tl2br w:val="nil"/>
                    <w:tr2bl w:val="nil"/>
                  </w:tcBorders>
                  <w:vAlign w:val="center"/>
                </w:tcPr>
                <w:p w14:paraId="3EDE43A3">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b/>
                      <w:bCs/>
                      <w:color w:val="auto"/>
                      <w:sz w:val="21"/>
                      <w:szCs w:val="20"/>
                      <w:vertAlign w:val="baseline"/>
                      <w:lang w:val="en-US" w:eastAsia="zh-CN"/>
                    </w:rPr>
                  </w:pPr>
                  <w:r>
                    <w:rPr>
                      <w:rFonts w:hint="default" w:ascii="Times New Roman" w:hAnsi="Times New Roman" w:eastAsia="宋体" w:cs="Times New Roman"/>
                      <w:b/>
                      <w:bCs/>
                      <w:color w:val="auto"/>
                      <w:sz w:val="21"/>
                      <w:szCs w:val="20"/>
                      <w:vertAlign w:val="baseline"/>
                      <w:lang w:val="en-US" w:eastAsia="zh-CN"/>
                    </w:rPr>
                    <w:t xml:space="preserve">《橡胶工厂环境保护设计规范》 </w:t>
                  </w:r>
                </w:p>
              </w:tc>
              <w:tc>
                <w:tcPr>
                  <w:tcW w:w="6366" w:type="dxa"/>
                  <w:tcBorders>
                    <w:tl2br w:val="nil"/>
                    <w:tr2bl w:val="nil"/>
                  </w:tcBorders>
                  <w:vAlign w:val="center"/>
                </w:tcPr>
                <w:p w14:paraId="673B4BFA">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b/>
                      <w:bCs/>
                      <w:color w:val="auto"/>
                      <w:sz w:val="21"/>
                      <w:szCs w:val="20"/>
                      <w:vertAlign w:val="baseline"/>
                      <w:lang w:val="en-US" w:eastAsia="zh-CN"/>
                    </w:rPr>
                  </w:pPr>
                  <w:r>
                    <w:rPr>
                      <w:rFonts w:hint="default" w:ascii="Times New Roman" w:hAnsi="Times New Roman" w:eastAsia="宋体" w:cs="Times New Roman"/>
                      <w:b/>
                      <w:bCs/>
                      <w:color w:val="auto"/>
                      <w:sz w:val="21"/>
                      <w:szCs w:val="20"/>
                      <w:vertAlign w:val="baseline"/>
                      <w:lang w:val="en-US" w:eastAsia="zh-CN"/>
                    </w:rPr>
                    <w:t>符合性分析</w:t>
                  </w:r>
                </w:p>
              </w:tc>
            </w:tr>
            <w:tr w14:paraId="4B37A94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2A2DFA00">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废气防治措施 </w:t>
                  </w:r>
                </w:p>
              </w:tc>
              <w:tc>
                <w:tcPr>
                  <w:tcW w:w="6975" w:type="dxa"/>
                  <w:tcBorders>
                    <w:tl2br w:val="nil"/>
                    <w:tr2bl w:val="nil"/>
                  </w:tcBorders>
                  <w:vAlign w:val="center"/>
                </w:tcPr>
                <w:p w14:paraId="2775C17E">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①产生废气、粉尘等污染物的橡胶加工设备宜选用密闭式，对无法密闭的设备应配设污染物的收集、治理设施；炭黑及其他粉状配合剂应采用密闭管道输送、自动称量、自动投料的密闭系统； </w:t>
                  </w:r>
                </w:p>
                <w:p w14:paraId="506B457A">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②橡胶制品生产过程中产生的废气应采取有组织排放措施； </w:t>
                  </w:r>
                </w:p>
                <w:p w14:paraId="786B3384">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③排放废气、粉尘的部位应设置排风罩、排风围挡，排风罩宜采用密闭式，使罩内形成负压。 </w:t>
                  </w:r>
                </w:p>
                <w:p w14:paraId="3BA01D39">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④橡胶制品生产过程中产生的废气、粉尘等各种污染物的排放浓度、单位产品排气量以及排气筒高度，应符合现行国家《橡胶制品工业污染物排放标准》（GB-27632）的规定，建厂地区污染物排放总量应满足控制指标的要求。 </w:t>
                  </w:r>
                </w:p>
                <w:p w14:paraId="3EC8950F">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⑤橡胶制品生产过程中恶臭污染物的排放国家标准《恶臭污染物排放标准》（GB-14554）的有关规定。 </w:t>
                  </w:r>
                </w:p>
                <w:p w14:paraId="6F25996C">
                  <w:pPr>
                    <w:keepNext w:val="0"/>
                    <w:keepLines w:val="0"/>
                    <w:pageBreakBefore w:val="0"/>
                    <w:widowControl w:val="0"/>
                    <w:kinsoku/>
                    <w:wordWrap w:val="0"/>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⑥废气的有组织排放口应设置采样合现行国家标准《固定污染源排气中颗粒物测定与气态污染物采样方法》 GB/T16157 的有关规定，必要时应设置采样监测平台。 </w:t>
                  </w:r>
                </w:p>
              </w:tc>
              <w:tc>
                <w:tcPr>
                  <w:tcW w:w="6366" w:type="dxa"/>
                  <w:tcBorders>
                    <w:tl2br w:val="nil"/>
                    <w:tr2bl w:val="nil"/>
                  </w:tcBorders>
                  <w:vAlign w:val="center"/>
                </w:tcPr>
                <w:p w14:paraId="08525F91">
                  <w:pPr>
                    <w:keepNext w:val="0"/>
                    <w:keepLines w:val="0"/>
                    <w:pageBreakBefore w:val="0"/>
                    <w:widowControl w:val="0"/>
                    <w:kinsoku/>
                    <w:wordWrap/>
                    <w:overflowPunct/>
                    <w:topLinePunct w:val="0"/>
                    <w:autoSpaceDE/>
                    <w:autoSpaceDN/>
                    <w:bidi w:val="0"/>
                    <w:adjustRightInd/>
                    <w:snapToGrid/>
                    <w:spacing w:line="360" w:lineRule="exact"/>
                    <w:jc w:val="both"/>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①</w:t>
                  </w:r>
                  <w:r>
                    <w:rPr>
                      <w:rFonts w:hint="eastAsia" w:ascii="Times New Roman" w:hAnsi="Times New Roman" w:eastAsia="宋体" w:cs="Times New Roman"/>
                      <w:color w:val="auto"/>
                      <w:sz w:val="21"/>
                      <w:szCs w:val="20"/>
                      <w:vertAlign w:val="baseline"/>
                      <w:lang w:val="en-US" w:eastAsia="zh-CN"/>
                    </w:rPr>
                    <w:t>本项目</w:t>
                  </w:r>
                  <w:r>
                    <w:rPr>
                      <w:rFonts w:hint="eastAsia" w:cs="Times New Roman"/>
                      <w:color w:val="auto"/>
                      <w:sz w:val="21"/>
                      <w:szCs w:val="20"/>
                      <w:vertAlign w:val="baseline"/>
                      <w:lang w:val="en-US" w:eastAsia="zh-CN"/>
                    </w:rPr>
                    <w:t>配料、轴芯涂胶、喷涂、加热、混炼橡胶、橡胶过滤、开炼和挤出均在独立密闭车间内</w:t>
                  </w:r>
                  <w:r>
                    <w:rPr>
                      <w:rFonts w:hint="eastAsia" w:ascii="Times New Roman" w:hAnsi="Times New Roman" w:eastAsia="宋体" w:cs="Times New Roman"/>
                      <w:color w:val="auto"/>
                      <w:sz w:val="21"/>
                      <w:szCs w:val="20"/>
                      <w:vertAlign w:val="baseline"/>
                      <w:lang w:val="en-US" w:eastAsia="zh-CN"/>
                    </w:rPr>
                    <w:t>进行负压收集</w:t>
                  </w:r>
                  <w:r>
                    <w:rPr>
                      <w:rFonts w:hint="eastAsia" w:cs="Times New Roman"/>
                      <w:color w:val="auto"/>
                      <w:sz w:val="21"/>
                      <w:szCs w:val="20"/>
                      <w:vertAlign w:val="baseline"/>
                      <w:lang w:val="en-US" w:eastAsia="zh-CN"/>
                    </w:rPr>
                    <w:t>处理，硫化和研磨加工工序采用密闭管道进行负压收集处理</w:t>
                  </w:r>
                  <w:r>
                    <w:rPr>
                      <w:rFonts w:hint="eastAsia" w:ascii="Times New Roman" w:hAnsi="Times New Roman" w:eastAsia="宋体" w:cs="Times New Roman"/>
                      <w:color w:val="auto"/>
                      <w:sz w:val="21"/>
                      <w:szCs w:val="20"/>
                      <w:vertAlign w:val="baseline"/>
                      <w:lang w:val="en-US" w:eastAsia="zh-CN"/>
                    </w:rPr>
                    <w:t>。</w:t>
                  </w:r>
                  <w:r>
                    <w:rPr>
                      <w:rFonts w:hint="default" w:ascii="Times New Roman" w:hAnsi="Times New Roman" w:eastAsia="宋体" w:cs="Times New Roman"/>
                      <w:color w:val="auto"/>
                      <w:sz w:val="21"/>
                      <w:szCs w:val="20"/>
                      <w:vertAlign w:val="baseline"/>
                      <w:lang w:val="en-US" w:eastAsia="zh-CN"/>
                    </w:rPr>
                    <w:t xml:space="preserve"> </w:t>
                  </w:r>
                </w:p>
                <w:p w14:paraId="3CF0B13D">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②橡胶制品生产过程中产生的废气</w:t>
                  </w:r>
                  <w:r>
                    <w:rPr>
                      <w:rFonts w:hint="eastAsia" w:ascii="Times New Roman" w:hAnsi="Times New Roman" w:eastAsia="宋体" w:cs="Times New Roman"/>
                      <w:color w:val="auto"/>
                      <w:sz w:val="21"/>
                      <w:szCs w:val="20"/>
                      <w:vertAlign w:val="baseline"/>
                      <w:lang w:val="en-US" w:eastAsia="zh-CN"/>
                    </w:rPr>
                    <w:t>采用</w:t>
                  </w:r>
                  <w:r>
                    <w:rPr>
                      <w:rFonts w:hint="eastAsia" w:cs="Times New Roman"/>
                      <w:color w:val="auto"/>
                      <w:sz w:val="21"/>
                      <w:szCs w:val="20"/>
                      <w:vertAlign w:val="baseline"/>
                      <w:lang w:val="en-US" w:eastAsia="zh-CN"/>
                    </w:rPr>
                    <w:t>密闭管道</w:t>
                  </w:r>
                  <w:r>
                    <w:rPr>
                      <w:rFonts w:hint="eastAsia" w:ascii="Times New Roman" w:hAnsi="Times New Roman" w:eastAsia="宋体" w:cs="Times New Roman"/>
                      <w:color w:val="auto"/>
                      <w:sz w:val="21"/>
                      <w:szCs w:val="20"/>
                      <w:vertAlign w:val="baseline"/>
                      <w:lang w:val="en-US" w:eastAsia="zh-CN"/>
                    </w:rPr>
                    <w:t>、密闭车间对废气进行负压收集后通过布袋除尘器、</w:t>
                  </w:r>
                  <w:r>
                    <w:rPr>
                      <w:rFonts w:hint="eastAsia" w:cs="Times New Roman"/>
                      <w:color w:val="auto"/>
                      <w:sz w:val="21"/>
                      <w:szCs w:val="20"/>
                      <w:vertAlign w:val="baseline"/>
                      <w:lang w:val="en-US" w:eastAsia="zh-CN"/>
                    </w:rPr>
                    <w:t>水喷淋、</w:t>
                  </w:r>
                  <w:r>
                    <w:rPr>
                      <w:rFonts w:hint="eastAsia" w:ascii="Times New Roman" w:hAnsi="Times New Roman" w:eastAsia="宋体" w:cs="Times New Roman"/>
                      <w:color w:val="auto"/>
                      <w:sz w:val="21"/>
                      <w:szCs w:val="20"/>
                      <w:vertAlign w:val="baseline"/>
                      <w:lang w:val="en-US" w:eastAsia="zh-CN"/>
                    </w:rPr>
                    <w:t>活性炭吸附装置、RCO装置</w:t>
                  </w:r>
                  <w:r>
                    <w:rPr>
                      <w:rFonts w:hint="eastAsia" w:cs="Times New Roman"/>
                      <w:color w:val="auto"/>
                      <w:sz w:val="21"/>
                      <w:szCs w:val="20"/>
                      <w:vertAlign w:val="baseline"/>
                      <w:lang w:val="en-US" w:eastAsia="zh-CN"/>
                    </w:rPr>
                    <w:t>等</w:t>
                  </w:r>
                  <w:r>
                    <w:rPr>
                      <w:rFonts w:hint="eastAsia" w:ascii="Times New Roman" w:hAnsi="Times New Roman" w:eastAsia="宋体" w:cs="Times New Roman"/>
                      <w:color w:val="auto"/>
                      <w:sz w:val="21"/>
                      <w:szCs w:val="20"/>
                      <w:vertAlign w:val="baseline"/>
                      <w:lang w:val="en-US" w:eastAsia="zh-CN"/>
                    </w:rPr>
                    <w:t>对废气进行处理后达标排放</w:t>
                  </w:r>
                  <w:r>
                    <w:rPr>
                      <w:rFonts w:hint="default" w:ascii="Times New Roman" w:hAnsi="Times New Roman" w:eastAsia="宋体" w:cs="Times New Roman"/>
                      <w:color w:val="auto"/>
                      <w:sz w:val="21"/>
                      <w:szCs w:val="20"/>
                      <w:vertAlign w:val="baseline"/>
                      <w:lang w:val="en-US" w:eastAsia="zh-CN"/>
                    </w:rPr>
                    <w:t xml:space="preserve">；  </w:t>
                  </w:r>
                </w:p>
                <w:p w14:paraId="0527A6B5">
                  <w:pPr>
                    <w:keepNext w:val="0"/>
                    <w:keepLines w:val="0"/>
                    <w:pageBreakBefore w:val="0"/>
                    <w:widowControl w:val="0"/>
                    <w:kinsoku/>
                    <w:wordWrap/>
                    <w:overflowPunct/>
                    <w:topLinePunct w:val="0"/>
                    <w:autoSpaceDE/>
                    <w:autoSpaceDN/>
                    <w:bidi w:val="0"/>
                    <w:adjustRightInd/>
                    <w:snapToGrid/>
                    <w:spacing w:line="360" w:lineRule="exact"/>
                    <w:jc w:val="both"/>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③项目</w:t>
                  </w:r>
                  <w:r>
                    <w:rPr>
                      <w:rFonts w:hint="eastAsia" w:ascii="Times New Roman" w:hAnsi="Times New Roman" w:eastAsia="宋体" w:cs="Times New Roman"/>
                      <w:color w:val="auto"/>
                      <w:sz w:val="21"/>
                      <w:szCs w:val="20"/>
                      <w:vertAlign w:val="baseline"/>
                      <w:lang w:val="en-US" w:eastAsia="zh-CN"/>
                    </w:rPr>
                    <w:t>将按要求</w:t>
                  </w:r>
                  <w:r>
                    <w:rPr>
                      <w:rFonts w:hint="default" w:ascii="Times New Roman" w:hAnsi="Times New Roman" w:eastAsia="宋体" w:cs="Times New Roman"/>
                      <w:color w:val="auto"/>
                      <w:sz w:val="21"/>
                      <w:szCs w:val="20"/>
                      <w:vertAlign w:val="baseline"/>
                      <w:lang w:val="en-US" w:eastAsia="zh-CN"/>
                    </w:rPr>
                    <w:t xml:space="preserve">对排放废气、粉尘的部位设置排风罩、排风围挡，排风罩采用密闭式，使罩内形成负压。 </w:t>
                  </w:r>
                </w:p>
                <w:p w14:paraId="05E08A5B">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④排放的颗粒物、非甲烷总烃等污染物经相应污染防治装置净化满足《橡胶制品工业污染物排放标准》 GB27632中浓度限值等相关要求</w:t>
                  </w:r>
                  <w:r>
                    <w:rPr>
                      <w:rFonts w:hint="eastAsia" w:cs="Times New Roman"/>
                      <w:color w:val="auto"/>
                      <w:sz w:val="21"/>
                      <w:szCs w:val="20"/>
                      <w:vertAlign w:val="baseline"/>
                      <w:lang w:val="en-US" w:eastAsia="zh-CN"/>
                    </w:rPr>
                    <w:t>。</w:t>
                  </w:r>
                  <w:r>
                    <w:rPr>
                      <w:rFonts w:hint="default" w:ascii="Times New Roman" w:hAnsi="Times New Roman" w:eastAsia="宋体" w:cs="Times New Roman"/>
                      <w:color w:val="auto"/>
                      <w:sz w:val="21"/>
                      <w:szCs w:val="20"/>
                      <w:vertAlign w:val="baseline"/>
                      <w:lang w:val="en-US" w:eastAsia="zh-CN"/>
                    </w:rPr>
                    <w:t xml:space="preserve"> </w:t>
                  </w:r>
                </w:p>
                <w:p w14:paraId="144BDA92">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⑤臭气浓度、二硫化碳、硫化氢满足《恶臭污染物排放标准》GB14554的有关规定后高空排放。 </w:t>
                  </w:r>
                </w:p>
                <w:p w14:paraId="3D5763CD">
                  <w:pPr>
                    <w:keepNext w:val="0"/>
                    <w:keepLines w:val="0"/>
                    <w:pageBreakBefore w:val="0"/>
                    <w:widowControl w:val="0"/>
                    <w:kinsoku/>
                    <w:wordWrap/>
                    <w:overflowPunct/>
                    <w:topLinePunct w:val="0"/>
                    <w:autoSpaceDE/>
                    <w:autoSpaceDN/>
                    <w:bidi w:val="0"/>
                    <w:adjustRightInd/>
                    <w:snapToGrid/>
                    <w:spacing w:line="360" w:lineRule="exact"/>
                    <w:jc w:val="both"/>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⑥废气排放设施预留采样孔</w:t>
                  </w:r>
                  <w:r>
                    <w:rPr>
                      <w:rFonts w:hint="eastAsia" w:cs="Times New Roman"/>
                      <w:color w:val="auto"/>
                      <w:sz w:val="21"/>
                      <w:szCs w:val="20"/>
                      <w:vertAlign w:val="baseline"/>
                      <w:lang w:val="en-US" w:eastAsia="zh-CN"/>
                    </w:rPr>
                    <w:t>、设置采样平台</w:t>
                  </w:r>
                  <w:r>
                    <w:rPr>
                      <w:rFonts w:hint="default" w:ascii="Times New Roman" w:hAnsi="Times New Roman" w:eastAsia="宋体" w:cs="Times New Roman"/>
                      <w:color w:val="auto"/>
                      <w:sz w:val="21"/>
                      <w:szCs w:val="20"/>
                      <w:vertAlign w:val="baseline"/>
                      <w:lang w:val="en-US" w:eastAsia="zh-CN"/>
                    </w:rPr>
                    <w:t>。</w:t>
                  </w:r>
                </w:p>
              </w:tc>
            </w:tr>
            <w:tr w14:paraId="2288770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435C4132">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废水防治措施</w:t>
                  </w:r>
                </w:p>
              </w:tc>
              <w:tc>
                <w:tcPr>
                  <w:tcW w:w="6975" w:type="dxa"/>
                  <w:tcBorders>
                    <w:tl2br w:val="nil"/>
                    <w:tr2bl w:val="nil"/>
                  </w:tcBorders>
                  <w:vAlign w:val="center"/>
                </w:tcPr>
                <w:p w14:paraId="733371F1">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①设备运行、维护或发生事故含油废水应设置收集设施单独处理，设备或车间地面清洗产生废水应单独排放至室外预处理。 </w:t>
                  </w:r>
                </w:p>
                <w:p w14:paraId="4D147282">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②橡胶制品硫化过程中产生的废水应设置收集设施，并应单独排至室外进行预处理。 </w:t>
                  </w:r>
                </w:p>
                <w:p w14:paraId="5020E270">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③生活粪便污水应经化粪池处理，食堂含油废水应经隔油池处理，再排入厂区污水管。 </w:t>
                  </w:r>
                </w:p>
                <w:p w14:paraId="2733365C">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④橡胶工厂的原材料存放区域及炼胶车间应设初期雨水收集装置，初期雨水收集量不应小于汇水面积，降雨厚度不应小5mm的初期径流。 </w:t>
                  </w:r>
                </w:p>
                <w:p w14:paraId="7EA82918">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⑤初期雨水池应设监测设施，收集的初期雨水水质符合建厂地区雨水排放要求时，可排入厂区雨水管，否则应排入水管。 </w:t>
                  </w:r>
                </w:p>
                <w:p w14:paraId="61133D27">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⑥输送废水的沟渠、地下管线、检查井等，必须采取防渗漏措施。</w:t>
                  </w:r>
                </w:p>
              </w:tc>
              <w:tc>
                <w:tcPr>
                  <w:tcW w:w="6366" w:type="dxa"/>
                  <w:tcBorders>
                    <w:tl2br w:val="nil"/>
                    <w:tr2bl w:val="nil"/>
                  </w:tcBorders>
                  <w:vAlign w:val="center"/>
                </w:tcPr>
                <w:p w14:paraId="781A211C">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①本项目设备运行、维护或发生事故含油废水</w:t>
                  </w:r>
                  <w:r>
                    <w:rPr>
                      <w:rFonts w:hint="eastAsia" w:cs="Times New Roman"/>
                      <w:color w:val="auto"/>
                      <w:sz w:val="21"/>
                      <w:szCs w:val="20"/>
                      <w:vertAlign w:val="baseline"/>
                      <w:lang w:val="en-US" w:eastAsia="zh-CN"/>
                    </w:rPr>
                    <w:t>使用应急桶</w:t>
                  </w:r>
                  <w:r>
                    <w:rPr>
                      <w:rFonts w:hint="default" w:ascii="Times New Roman" w:hAnsi="Times New Roman" w:eastAsia="宋体" w:cs="Times New Roman"/>
                      <w:color w:val="auto"/>
                      <w:sz w:val="21"/>
                      <w:szCs w:val="20"/>
                      <w:vertAlign w:val="baseline"/>
                      <w:lang w:val="en-US" w:eastAsia="zh-CN"/>
                    </w:rPr>
                    <w:t>收集</w:t>
                  </w:r>
                  <w:r>
                    <w:rPr>
                      <w:rFonts w:hint="eastAsia" w:ascii="Times New Roman" w:hAnsi="Times New Roman" w:eastAsia="宋体" w:cs="Times New Roman"/>
                      <w:color w:val="auto"/>
                      <w:sz w:val="21"/>
                      <w:szCs w:val="20"/>
                      <w:vertAlign w:val="baseline"/>
                      <w:lang w:val="en-US" w:eastAsia="zh-CN"/>
                    </w:rPr>
                    <w:t>后委托有资质单位处置，本项目无清洗废水产生</w:t>
                  </w:r>
                  <w:r>
                    <w:rPr>
                      <w:rFonts w:hint="default" w:ascii="Times New Roman" w:hAnsi="Times New Roman" w:eastAsia="宋体" w:cs="Times New Roman"/>
                      <w:color w:val="auto"/>
                      <w:sz w:val="21"/>
                      <w:szCs w:val="20"/>
                      <w:vertAlign w:val="baseline"/>
                      <w:lang w:val="en-US" w:eastAsia="zh-CN"/>
                    </w:rPr>
                    <w:t xml:space="preserve">。 </w:t>
                  </w:r>
                </w:p>
                <w:p w14:paraId="77F0FC2E">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②</w:t>
                  </w:r>
                  <w:r>
                    <w:rPr>
                      <w:rFonts w:hint="eastAsia" w:ascii="Times New Roman" w:hAnsi="Times New Roman" w:eastAsia="宋体" w:cs="Times New Roman"/>
                      <w:color w:val="auto"/>
                      <w:sz w:val="21"/>
                      <w:szCs w:val="20"/>
                      <w:vertAlign w:val="baseline"/>
                      <w:lang w:val="en-US" w:eastAsia="zh-CN"/>
                    </w:rPr>
                    <w:t>本项目无生产废水产生</w:t>
                  </w:r>
                  <w:r>
                    <w:rPr>
                      <w:rFonts w:hint="default" w:ascii="Times New Roman" w:hAnsi="Times New Roman" w:eastAsia="宋体" w:cs="Times New Roman"/>
                      <w:color w:val="auto"/>
                      <w:sz w:val="21"/>
                      <w:szCs w:val="20"/>
                      <w:vertAlign w:val="baseline"/>
                      <w:lang w:val="en-US" w:eastAsia="zh-CN"/>
                    </w:rPr>
                    <w:t>。</w:t>
                  </w:r>
                </w:p>
                <w:p w14:paraId="03760B92">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③生活污水</w:t>
                  </w:r>
                  <w:r>
                    <w:rPr>
                      <w:rFonts w:hint="eastAsia" w:ascii="Times New Roman" w:hAnsi="Times New Roman" w:eastAsia="宋体" w:cs="Times New Roman"/>
                      <w:color w:val="auto"/>
                      <w:sz w:val="21"/>
                      <w:szCs w:val="20"/>
                      <w:vertAlign w:val="baseline"/>
                      <w:lang w:val="en-US" w:eastAsia="zh-CN"/>
                    </w:rPr>
                    <w:t>经化粪池处理后接管徐溜镇污水处理厂进行处理</w:t>
                  </w:r>
                  <w:r>
                    <w:rPr>
                      <w:rFonts w:hint="default" w:ascii="Times New Roman" w:hAnsi="Times New Roman" w:eastAsia="宋体" w:cs="Times New Roman"/>
                      <w:color w:val="auto"/>
                      <w:sz w:val="21"/>
                      <w:szCs w:val="20"/>
                      <w:vertAlign w:val="baseline"/>
                      <w:lang w:val="en-US" w:eastAsia="zh-CN"/>
                    </w:rPr>
                    <w:t xml:space="preserve">。 </w:t>
                  </w:r>
                </w:p>
                <w:p w14:paraId="3A72FA8D">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④初期雨水经初期雨水池收集，同时对初期雨水进行监测，水质符合雨水排放要求时，排入厂区雨水管</w:t>
                  </w:r>
                  <w:r>
                    <w:rPr>
                      <w:rFonts w:hint="eastAsia" w:ascii="Times New Roman" w:hAnsi="Times New Roman" w:eastAsia="宋体" w:cs="Times New Roman"/>
                      <w:color w:val="auto"/>
                      <w:sz w:val="21"/>
                      <w:szCs w:val="20"/>
                      <w:vertAlign w:val="baseline"/>
                      <w:lang w:val="en-US" w:eastAsia="zh-CN"/>
                    </w:rPr>
                    <w:t>，否则排入污水管</w:t>
                  </w:r>
                  <w:r>
                    <w:rPr>
                      <w:rFonts w:hint="default" w:ascii="Times New Roman" w:hAnsi="Times New Roman" w:eastAsia="宋体" w:cs="Times New Roman"/>
                      <w:color w:val="auto"/>
                      <w:sz w:val="21"/>
                      <w:szCs w:val="20"/>
                      <w:vertAlign w:val="baseline"/>
                      <w:lang w:val="en-US" w:eastAsia="zh-CN"/>
                    </w:rPr>
                    <w:t xml:space="preserve">。 </w:t>
                  </w:r>
                </w:p>
                <w:p w14:paraId="7701FBB8">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⑤输送废水的沟渠、地下管线、检查井等，均采取了防渗漏措施。</w:t>
                  </w:r>
                </w:p>
              </w:tc>
            </w:tr>
            <w:tr w14:paraId="1B8646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50C0D1E5">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固废防治措施 </w:t>
                  </w:r>
                </w:p>
              </w:tc>
              <w:tc>
                <w:tcPr>
                  <w:tcW w:w="6975" w:type="dxa"/>
                  <w:tcBorders>
                    <w:tl2br w:val="nil"/>
                    <w:tr2bl w:val="nil"/>
                  </w:tcBorders>
                  <w:vAlign w:val="center"/>
                </w:tcPr>
                <w:p w14:paraId="29F93B7B">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固体废物应设置堆场存放，不得任意堆放，堆场应根据排出量、运输方式、利用或处理能力等情况设置。 </w:t>
                  </w:r>
                </w:p>
                <w:p w14:paraId="603AD50A">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危险固废严禁与一般工业固废混合收集、装运与堆存。 </w:t>
                  </w:r>
                </w:p>
                <w:p w14:paraId="7E1DB4C2">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废胶料、废橡胶产品、废包装材料等固体废物应采取综合利用措施。 </w:t>
                  </w:r>
                </w:p>
              </w:tc>
              <w:tc>
                <w:tcPr>
                  <w:tcW w:w="6366" w:type="dxa"/>
                  <w:tcBorders>
                    <w:tl2br w:val="nil"/>
                    <w:tr2bl w:val="nil"/>
                  </w:tcBorders>
                  <w:vAlign w:val="center"/>
                </w:tcPr>
                <w:p w14:paraId="16216995">
                  <w:pPr>
                    <w:keepNext w:val="0"/>
                    <w:keepLines w:val="0"/>
                    <w:pageBreakBefore w:val="0"/>
                    <w:widowControl w:val="0"/>
                    <w:kinsoku/>
                    <w:wordWrap/>
                    <w:overflowPunct/>
                    <w:topLinePunct w:val="0"/>
                    <w:autoSpaceDE/>
                    <w:autoSpaceDN/>
                    <w:bidi w:val="0"/>
                    <w:adjustRightInd/>
                    <w:snapToGrid/>
                    <w:spacing w:line="360" w:lineRule="exact"/>
                    <w:jc w:val="both"/>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项目产生的固体废物主要是一般固废、危险废物及生活垃圾等。其中，一般工业固体废物</w:t>
                  </w:r>
                  <w:r>
                    <w:rPr>
                      <w:rFonts w:hint="eastAsia" w:ascii="Times New Roman" w:hAnsi="Times New Roman" w:eastAsia="宋体" w:cs="Times New Roman"/>
                      <w:color w:val="auto"/>
                      <w:sz w:val="21"/>
                      <w:szCs w:val="20"/>
                      <w:vertAlign w:val="baseline"/>
                      <w:lang w:val="en-US" w:eastAsia="zh-CN"/>
                    </w:rPr>
                    <w:t>收集后外售相关单位</w:t>
                  </w:r>
                  <w:r>
                    <w:rPr>
                      <w:rFonts w:hint="default" w:ascii="Times New Roman" w:hAnsi="Times New Roman" w:eastAsia="宋体" w:cs="Times New Roman"/>
                      <w:color w:val="auto"/>
                      <w:sz w:val="21"/>
                      <w:szCs w:val="20"/>
                      <w:vertAlign w:val="baseline"/>
                      <w:lang w:val="en-US" w:eastAsia="zh-CN"/>
                    </w:rPr>
                    <w:t xml:space="preserve">；项目产生的危险废物，委托有危险废物处理资质的单位进行处理。生活垃圾由环卫部门定期清运。因此，本项目产生的固体废物均得到有效处置，不排放至外环境。 </w:t>
                  </w:r>
                </w:p>
              </w:tc>
            </w:tr>
            <w:tr w14:paraId="331FA7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3D4E2ECF">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噪声防治措施 </w:t>
                  </w:r>
                </w:p>
              </w:tc>
              <w:tc>
                <w:tcPr>
                  <w:tcW w:w="6975" w:type="dxa"/>
                  <w:tcBorders>
                    <w:tl2br w:val="nil"/>
                    <w:tr2bl w:val="nil"/>
                  </w:tcBorders>
                  <w:vAlign w:val="center"/>
                </w:tcPr>
                <w:p w14:paraId="7BEB904E">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①选型宜选用噪声较低、振动较小的设备。 </w:t>
                  </w:r>
                </w:p>
                <w:p w14:paraId="1BD66EE4">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②对噪声高于80dB</w:t>
                  </w:r>
                  <w:r>
                    <w:rPr>
                      <w:rFonts w:hint="eastAsia" w:cs="Times New Roman"/>
                      <w:color w:val="auto"/>
                      <w:sz w:val="21"/>
                      <w:szCs w:val="20"/>
                      <w:vertAlign w:val="baseline"/>
                      <w:lang w:val="en-US" w:eastAsia="zh-CN"/>
                    </w:rPr>
                    <w:t>（</w:t>
                  </w:r>
                  <w:r>
                    <w:rPr>
                      <w:rFonts w:hint="default" w:ascii="Times New Roman" w:hAnsi="Times New Roman" w:eastAsia="宋体" w:cs="Times New Roman"/>
                      <w:color w:val="auto"/>
                      <w:sz w:val="21"/>
                      <w:szCs w:val="20"/>
                      <w:vertAlign w:val="baseline"/>
                      <w:lang w:val="en-US" w:eastAsia="zh-CN"/>
                    </w:rPr>
                    <w:t>A</w:t>
                  </w:r>
                  <w:r>
                    <w:rPr>
                      <w:rFonts w:hint="eastAsia" w:cs="Times New Roman"/>
                      <w:color w:val="auto"/>
                      <w:sz w:val="21"/>
                      <w:szCs w:val="20"/>
                      <w:vertAlign w:val="baseline"/>
                      <w:lang w:val="en-US" w:eastAsia="zh-CN"/>
                    </w:rPr>
                    <w:t>）</w:t>
                  </w:r>
                  <w:r>
                    <w:rPr>
                      <w:rFonts w:hint="default" w:ascii="Times New Roman" w:hAnsi="Times New Roman" w:eastAsia="宋体" w:cs="Times New Roman"/>
                      <w:color w:val="auto"/>
                      <w:sz w:val="21"/>
                      <w:szCs w:val="20"/>
                      <w:vertAlign w:val="baseline"/>
                      <w:lang w:val="en-US" w:eastAsia="zh-CN"/>
                    </w:rPr>
                    <w:t xml:space="preserve">的水泵、风机、压缩机、制冷机等工程设备的安装应采取减振降噪措施，进出口管道应设柔性接头。 </w:t>
                  </w:r>
                </w:p>
                <w:p w14:paraId="70916E20">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③厂区周边种植多层次常绿乔木和灌木。 </w:t>
                  </w:r>
                </w:p>
                <w:p w14:paraId="478EE604">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④在总平面布置上，宜将噪声较大的站房集中布置。站房周围宜布置对噪声较不敏感、高大、朝向有利于隔声的建筑物、构筑物和堆场等。 </w:t>
                  </w:r>
                </w:p>
              </w:tc>
              <w:tc>
                <w:tcPr>
                  <w:tcW w:w="6366" w:type="dxa"/>
                  <w:tcBorders>
                    <w:tl2br w:val="nil"/>
                    <w:tr2bl w:val="nil"/>
                  </w:tcBorders>
                  <w:vAlign w:val="center"/>
                </w:tcPr>
                <w:p w14:paraId="5A6EAE36">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①选用噪声较低、振动较小的设备。 </w:t>
                  </w:r>
                </w:p>
                <w:p w14:paraId="6BC755F8">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②空压机配装消声器。 </w:t>
                  </w:r>
                </w:p>
                <w:p w14:paraId="08CA0051">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③在厂区内种植多层次的绿化。 </w:t>
                  </w:r>
                </w:p>
                <w:p w14:paraId="3CF761FE">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④在总平面布置上，将噪声较大的站房集中布置。站房周围布置对噪声较不敏感、高大、朝向有利于隔声的建筑物。 </w:t>
                  </w:r>
                </w:p>
              </w:tc>
            </w:tr>
            <w:tr w14:paraId="5FE843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82" w:type="dxa"/>
                  <w:tcBorders>
                    <w:tl2br w:val="nil"/>
                    <w:tr2bl w:val="nil"/>
                  </w:tcBorders>
                  <w:vAlign w:val="center"/>
                </w:tcPr>
                <w:p w14:paraId="192D219D">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厂址选择与总图布置</w:t>
                  </w:r>
                </w:p>
              </w:tc>
              <w:tc>
                <w:tcPr>
                  <w:tcW w:w="6975" w:type="dxa"/>
                  <w:tcBorders>
                    <w:tl2br w:val="nil"/>
                    <w:tr2bl w:val="nil"/>
                  </w:tcBorders>
                  <w:vAlign w:val="center"/>
                </w:tcPr>
                <w:p w14:paraId="1A551A3D">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①橡胶工厂建设项目的选址必须符合地区环境影响评价和区域规划的要求，并应符合规划环境影响评价和项目环境影响评价的要求。 </w:t>
                  </w:r>
                </w:p>
                <w:p w14:paraId="7C3CFF39">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②厂址不应选择在下列区域内：城市规划确定的生活居住区、文教卫生区；饮用水源保护区；风景名胜区；文化遗产保护区；自然保护区。</w:t>
                  </w:r>
                </w:p>
                <w:p w14:paraId="52BFA191">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③厂址应布置在生活居住区等环境保护目标全年最小频率风向的上风侧</w:t>
                  </w:r>
                  <w:r>
                    <w:rPr>
                      <w:rFonts w:hint="eastAsia" w:ascii="Times New Roman" w:hAnsi="Times New Roman" w:eastAsia="宋体" w:cs="Times New Roman"/>
                      <w:color w:val="auto"/>
                      <w:sz w:val="21"/>
                      <w:szCs w:val="20"/>
                      <w:vertAlign w:val="baseline"/>
                      <w:lang w:val="en-US" w:eastAsia="zh-CN"/>
                    </w:rPr>
                    <w:t>，</w:t>
                  </w:r>
                  <w:r>
                    <w:rPr>
                      <w:rFonts w:hint="default" w:ascii="Times New Roman" w:hAnsi="Times New Roman" w:eastAsia="宋体" w:cs="Times New Roman"/>
                      <w:color w:val="auto"/>
                      <w:sz w:val="21"/>
                      <w:szCs w:val="20"/>
                      <w:vertAlign w:val="baseline"/>
                      <w:lang w:val="en-US" w:eastAsia="zh-CN"/>
                    </w:rPr>
                    <w:t xml:space="preserve">防护距离应根据经批准的环境影响报告书（表）的数据确定。 </w:t>
                  </w:r>
                </w:p>
                <w:p w14:paraId="7614269D">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④总平面布置在满足生产需要的前提下，宜将污染源布置在远离非污染区域或厂区中心区域地带。 </w:t>
                  </w:r>
                </w:p>
              </w:tc>
              <w:tc>
                <w:tcPr>
                  <w:tcW w:w="6366" w:type="dxa"/>
                  <w:tcBorders>
                    <w:tl2br w:val="nil"/>
                    <w:tr2bl w:val="nil"/>
                  </w:tcBorders>
                  <w:vAlign w:val="center"/>
                </w:tcPr>
                <w:p w14:paraId="6650D468">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①本项目位于城镇开发建设边界，符合淮安市国土空间规划要求；项目选址位于淮安高新技术产业开发区循环经济产业园规划环评规划工业用地内，本项目为</w:t>
                  </w:r>
                  <w:r>
                    <w:rPr>
                      <w:rFonts w:hint="default" w:ascii="Times New Roman" w:hAnsi="Times New Roman" w:eastAsia="宋体" w:cs="Times New Roman"/>
                      <w:b w:val="0"/>
                      <w:bCs/>
                      <w:color w:val="auto"/>
                      <w:sz w:val="21"/>
                      <w:szCs w:val="21"/>
                      <w:lang w:val="en-US" w:eastAsia="zh-CN"/>
                    </w:rPr>
                    <w:t>电子专用材料制造</w:t>
                  </w:r>
                  <w:r>
                    <w:rPr>
                      <w:rFonts w:hint="eastAsia" w:ascii="Times New Roman" w:hAnsi="Times New Roman" w:eastAsia="宋体" w:cs="Times New Roman"/>
                      <w:b w:val="0"/>
                      <w:bCs/>
                      <w:color w:val="auto"/>
                      <w:sz w:val="21"/>
                      <w:szCs w:val="21"/>
                      <w:lang w:val="en-US" w:eastAsia="zh-CN"/>
                    </w:rPr>
                    <w:t>和橡胶板、管、带制造</w:t>
                  </w:r>
                  <w:r>
                    <w:rPr>
                      <w:rFonts w:hint="default" w:ascii="Times New Roman" w:hAnsi="Times New Roman" w:eastAsia="宋体" w:cs="Times New Roman"/>
                      <w:color w:val="auto"/>
                      <w:sz w:val="21"/>
                      <w:szCs w:val="20"/>
                      <w:vertAlign w:val="baseline"/>
                      <w:lang w:val="en-US" w:eastAsia="zh-CN"/>
                    </w:rPr>
                    <w:t xml:space="preserve">。 </w:t>
                  </w:r>
                </w:p>
                <w:p w14:paraId="39E7954A">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 xml:space="preserve">②本项目用地已取得用地相关手续，该地块规划为工业用地，不在城市规划确定的生活居住区、文教卫生区、水源保护区、名胜古迹、风景游览区，温泉、疗养区和自然保护区等界区内。 </w:t>
                  </w:r>
                </w:p>
                <w:p w14:paraId="172BBDB5">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③本项目卫生防护距离</w:t>
                  </w:r>
                  <w:r>
                    <w:rPr>
                      <w:rFonts w:hint="eastAsia" w:ascii="Times New Roman" w:hAnsi="Times New Roman" w:eastAsia="宋体" w:cs="Times New Roman"/>
                      <w:color w:val="auto"/>
                      <w:sz w:val="21"/>
                      <w:szCs w:val="20"/>
                      <w:vertAlign w:val="baseline"/>
                      <w:lang w:val="en-US" w:eastAsia="zh-CN"/>
                    </w:rPr>
                    <w:t>内无环境敏感目标</w:t>
                  </w:r>
                  <w:r>
                    <w:rPr>
                      <w:rFonts w:hint="default" w:ascii="Times New Roman" w:hAnsi="Times New Roman" w:eastAsia="宋体" w:cs="Times New Roman"/>
                      <w:color w:val="auto"/>
                      <w:sz w:val="21"/>
                      <w:szCs w:val="20"/>
                      <w:vertAlign w:val="baseline"/>
                      <w:lang w:val="en-US" w:eastAsia="zh-CN"/>
                    </w:rPr>
                    <w:t xml:space="preserve">。 </w:t>
                  </w:r>
                </w:p>
                <w:p w14:paraId="5795C2CE">
                  <w:pPr>
                    <w:keepNext w:val="0"/>
                    <w:keepLines w:val="0"/>
                    <w:pageBreakBefore w:val="0"/>
                    <w:widowControl w:val="0"/>
                    <w:kinsoku/>
                    <w:wordWrap/>
                    <w:overflowPunct/>
                    <w:topLinePunct w:val="0"/>
                    <w:autoSpaceDE/>
                    <w:autoSpaceDN/>
                    <w:bidi w:val="0"/>
                    <w:adjustRightInd/>
                    <w:snapToGrid/>
                    <w:spacing w:line="360" w:lineRule="exact"/>
                    <w:jc w:val="left"/>
                    <w:textAlignment w:val="auto"/>
                    <w:outlineLvl w:val="9"/>
                    <w:rPr>
                      <w:rFonts w:hint="default" w:ascii="Times New Roman" w:hAnsi="Times New Roman" w:eastAsia="宋体" w:cs="Times New Roman"/>
                      <w:color w:val="auto"/>
                      <w:sz w:val="21"/>
                      <w:szCs w:val="20"/>
                      <w:vertAlign w:val="baseline"/>
                      <w:lang w:val="en-US" w:eastAsia="zh-CN"/>
                    </w:rPr>
                  </w:pPr>
                  <w:r>
                    <w:rPr>
                      <w:rFonts w:hint="default" w:ascii="Times New Roman" w:hAnsi="Times New Roman" w:eastAsia="宋体" w:cs="Times New Roman"/>
                      <w:color w:val="auto"/>
                      <w:sz w:val="21"/>
                      <w:szCs w:val="20"/>
                      <w:vertAlign w:val="baseline"/>
                      <w:lang w:val="en-US" w:eastAsia="zh-CN"/>
                    </w:rPr>
                    <w:t>④项目污染源</w:t>
                  </w:r>
                  <w:r>
                    <w:rPr>
                      <w:rFonts w:hint="eastAsia" w:cs="Times New Roman"/>
                      <w:color w:val="auto"/>
                      <w:sz w:val="21"/>
                      <w:szCs w:val="20"/>
                      <w:vertAlign w:val="baseline"/>
                      <w:lang w:val="en-US" w:eastAsia="zh-CN"/>
                    </w:rPr>
                    <w:t>布置在</w:t>
                  </w:r>
                  <w:r>
                    <w:rPr>
                      <w:rFonts w:hint="default" w:ascii="Times New Roman" w:hAnsi="Times New Roman" w:eastAsia="宋体" w:cs="Times New Roman"/>
                      <w:color w:val="auto"/>
                      <w:sz w:val="21"/>
                      <w:szCs w:val="20"/>
                      <w:vertAlign w:val="baseline"/>
                      <w:lang w:val="en-US" w:eastAsia="zh-CN"/>
                    </w:rPr>
                    <w:t>厂区中心区域地带。</w:t>
                  </w:r>
                </w:p>
              </w:tc>
            </w:tr>
          </w:tbl>
          <w:p w14:paraId="236B8311">
            <w:pPr>
              <w:pStyle w:val="49"/>
              <w:rPr>
                <w:rFonts w:hint="default" w:ascii="Times New Roman" w:hAnsi="Times New Roman" w:eastAsia="宋体" w:cs="Times New Roman"/>
                <w:color w:val="auto"/>
                <w:sz w:val="22"/>
                <w:szCs w:val="21"/>
                <w:vertAlign w:val="baseline"/>
              </w:rPr>
            </w:pPr>
          </w:p>
        </w:tc>
      </w:tr>
    </w:tbl>
    <w:p w14:paraId="69FAC008">
      <w:pPr>
        <w:spacing w:line="360" w:lineRule="auto"/>
        <w:outlineLvl w:val="9"/>
        <w:rPr>
          <w:rFonts w:eastAsia="黑体"/>
          <w:color w:val="auto"/>
          <w:sz w:val="30"/>
        </w:rPr>
        <w:sectPr>
          <w:pgSz w:w="16838" w:h="11906" w:orient="landscape"/>
          <w:pgMar w:top="1134" w:right="1134" w:bottom="1134" w:left="1134" w:header="851" w:footer="1077" w:gutter="0"/>
          <w:pgBorders>
            <w:top w:val="none" w:sz="0" w:space="0"/>
            <w:left w:val="none" w:sz="0" w:space="0"/>
            <w:bottom w:val="none" w:sz="0" w:space="0"/>
            <w:right w:val="none" w:sz="0" w:space="0"/>
          </w:pgBorders>
          <w:pgNumType w:fmt="decimal"/>
          <w:cols w:space="720" w:num="1"/>
          <w:docGrid w:linePitch="312" w:charSpace="0"/>
        </w:sectPr>
      </w:pPr>
    </w:p>
    <w:p w14:paraId="43092228">
      <w:pPr>
        <w:pStyle w:val="31"/>
        <w:keepNext w:val="0"/>
        <w:keepLines w:val="0"/>
        <w:pageBreakBefore w:val="0"/>
        <w:widowControl w:val="0"/>
        <w:kinsoku/>
        <w:wordWrap/>
        <w:overflowPunct/>
        <w:topLinePunct w:val="0"/>
        <w:autoSpaceDE/>
        <w:autoSpaceDN/>
        <w:bidi w:val="0"/>
        <w:adjustRightInd/>
        <w:snapToGrid/>
        <w:spacing w:before="0" w:beforeAutospacing="0" w:after="0" w:afterAutospacing="0" w:line="500" w:lineRule="exact"/>
        <w:jc w:val="center"/>
        <w:textAlignment w:val="auto"/>
        <w:outlineLvl w:val="0"/>
        <w:rPr>
          <w:rFonts w:hint="default" w:ascii="Times New Roman" w:hAnsi="Times New Roman" w:eastAsia="黑体" w:cs="Times New Roman"/>
          <w:snapToGrid w:val="0"/>
          <w:color w:val="auto"/>
          <w:sz w:val="30"/>
          <w:szCs w:val="30"/>
        </w:rPr>
      </w:pPr>
      <w:bookmarkStart w:id="43" w:name="_Toc3420"/>
      <w:r>
        <w:rPr>
          <w:rFonts w:hint="default" w:ascii="Times New Roman" w:hAnsi="Times New Roman" w:cs="Times New Roman" w:eastAsiaTheme="minorEastAsia"/>
          <w:b/>
          <w:bCs/>
          <w:snapToGrid w:val="0"/>
          <w:color w:val="auto"/>
          <w:sz w:val="28"/>
          <w:szCs w:val="28"/>
        </w:rPr>
        <w:t>二、建设项目工程分析</w:t>
      </w:r>
      <w:bookmarkEnd w:id="43"/>
    </w:p>
    <w:tbl>
      <w:tblPr>
        <w:tblStyle w:val="43"/>
        <w:tblpPr w:leftFromText="180" w:rightFromText="180" w:vertAnchor="text" w:tblpXSpec="center" w:tblpY="1"/>
        <w:tblOverlap w:val="never"/>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08"/>
        <w:gridCol w:w="9076"/>
      </w:tblGrid>
      <w:tr w14:paraId="7A3138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44" w:hRule="atLeast"/>
          <w:jc w:val="center"/>
        </w:trPr>
        <w:tc>
          <w:tcPr>
            <w:tcW w:w="314" w:type="pct"/>
            <w:tcBorders>
              <w:tl2br w:val="nil"/>
              <w:tr2bl w:val="nil"/>
            </w:tcBorders>
            <w:noWrap w:val="0"/>
            <w:tcMar>
              <w:top w:w="0" w:type="dxa"/>
              <w:left w:w="28" w:type="dxa"/>
              <w:bottom w:w="0" w:type="dxa"/>
              <w:right w:w="28" w:type="dxa"/>
            </w:tcMar>
            <w:vAlign w:val="center"/>
          </w:tcPr>
          <w:p w14:paraId="170FAE25">
            <w:pPr>
              <w:pStyle w:val="31"/>
              <w:keepNext w:val="0"/>
              <w:keepLines w:val="0"/>
              <w:pageBreakBefore w:val="0"/>
              <w:widowControl w:val="0"/>
              <w:kinsoku/>
              <w:wordWrap/>
              <w:overflowPunct/>
              <w:topLinePunct w:val="0"/>
              <w:bidi w:val="0"/>
              <w:adjustRightInd w:val="0"/>
              <w:snapToGrid w:val="0"/>
              <w:spacing w:before="0" w:beforeAutospacing="0" w:after="0" w:afterAutospacing="0" w:line="500" w:lineRule="exact"/>
              <w:ind w:left="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建设内容</w:t>
            </w:r>
          </w:p>
        </w:tc>
        <w:tc>
          <w:tcPr>
            <w:tcW w:w="4685" w:type="pct"/>
            <w:tcBorders>
              <w:tl2br w:val="nil"/>
              <w:tr2bl w:val="nil"/>
            </w:tcBorders>
            <w:noWrap w:val="0"/>
            <w:tcMar>
              <w:top w:w="0" w:type="dxa"/>
              <w:left w:w="28" w:type="dxa"/>
              <w:bottom w:w="0" w:type="dxa"/>
              <w:right w:w="28" w:type="dxa"/>
            </w:tcMar>
            <w:vAlign w:val="top"/>
          </w:tcPr>
          <w:p w14:paraId="53AA269E">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eastAsia" w:cs="Times New Roman"/>
                <w:b/>
                <w:bCs/>
                <w:color w:val="auto"/>
                <w:sz w:val="22"/>
                <w:szCs w:val="22"/>
                <w:lang w:val="en-US" w:eastAsia="zh-CN"/>
              </w:rPr>
            </w:pPr>
            <w:r>
              <w:rPr>
                <w:rFonts w:hint="eastAsia" w:cs="Times New Roman"/>
                <w:b/>
                <w:bCs/>
                <w:color w:val="auto"/>
                <w:sz w:val="22"/>
                <w:szCs w:val="22"/>
                <w:lang w:val="en-US" w:eastAsia="zh-CN"/>
              </w:rPr>
              <w:t>1.项目由来</w:t>
            </w:r>
          </w:p>
          <w:p w14:paraId="22A3FED6">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淮安欣展高分子科技有限公司</w:t>
            </w:r>
            <w:r>
              <w:rPr>
                <w:rFonts w:hint="default" w:ascii="Times New Roman" w:hAnsi="Times New Roman" w:eastAsia="宋体" w:cs="Times New Roman"/>
                <w:color w:val="auto"/>
                <w:w w:val="100"/>
                <w:sz w:val="22"/>
                <w:szCs w:val="22"/>
                <w:highlight w:val="none"/>
              </w:rPr>
              <w:t>位于江苏省</w:t>
            </w:r>
            <w:r>
              <w:rPr>
                <w:rFonts w:hint="default" w:ascii="Times New Roman" w:hAnsi="Times New Roman" w:eastAsia="宋体" w:cs="Times New Roman"/>
                <w:color w:val="auto"/>
                <w:w w:val="100"/>
                <w:sz w:val="22"/>
                <w:szCs w:val="22"/>
                <w:highlight w:val="none"/>
                <w:lang w:eastAsia="zh-CN"/>
              </w:rPr>
              <w:t>淮安市淮阴区徐溜镇工业集中区</w:t>
            </w:r>
            <w:r>
              <w:rPr>
                <w:rFonts w:hint="default" w:ascii="Times New Roman" w:hAnsi="Times New Roman" w:eastAsia="宋体" w:cs="Times New Roman"/>
                <w:color w:val="auto"/>
                <w:w w:val="100"/>
                <w:sz w:val="22"/>
                <w:szCs w:val="22"/>
                <w:highlight w:val="none"/>
              </w:rPr>
              <w:t>，</w:t>
            </w:r>
            <w:r>
              <w:rPr>
                <w:rFonts w:hint="default" w:ascii="Times New Roman" w:hAnsi="Times New Roman" w:eastAsia="宋体" w:cs="Times New Roman"/>
                <w:color w:val="auto"/>
                <w:sz w:val="22"/>
                <w:szCs w:val="22"/>
                <w:lang w:val="en-US" w:eastAsia="zh-CN"/>
              </w:rPr>
              <w:t>项目总占地面积18668m</w:t>
            </w:r>
            <w:r>
              <w:rPr>
                <w:rFonts w:hint="default" w:ascii="Times New Roman" w:hAnsi="Times New Roman" w:eastAsia="宋体" w:cs="Times New Roman"/>
                <w:color w:val="auto"/>
                <w:sz w:val="22"/>
                <w:szCs w:val="22"/>
                <w:vertAlign w:val="superscript"/>
                <w:lang w:val="en-US" w:eastAsia="zh-CN"/>
              </w:rPr>
              <w:t>2</w:t>
            </w:r>
            <w:r>
              <w:rPr>
                <w:rFonts w:hint="default" w:ascii="Times New Roman" w:hAnsi="Times New Roman" w:eastAsia="宋体" w:cs="Times New Roman"/>
                <w:color w:val="auto"/>
                <w:sz w:val="22"/>
                <w:szCs w:val="22"/>
                <w:lang w:val="en-US" w:eastAsia="zh-CN"/>
              </w:rPr>
              <w:t>，建筑面积大约10668m</w:t>
            </w:r>
            <w:r>
              <w:rPr>
                <w:rFonts w:hint="default" w:ascii="Times New Roman" w:hAnsi="Times New Roman" w:eastAsia="宋体" w:cs="Times New Roman"/>
                <w:color w:val="auto"/>
                <w:sz w:val="22"/>
                <w:szCs w:val="22"/>
                <w:vertAlign w:val="superscript"/>
                <w:lang w:val="en-US" w:eastAsia="zh-CN"/>
              </w:rPr>
              <w:t>2</w:t>
            </w:r>
            <w:r>
              <w:rPr>
                <w:rFonts w:hint="default" w:ascii="Times New Roman" w:hAnsi="Times New Roman" w:eastAsia="宋体" w:cs="Times New Roman"/>
                <w:color w:val="auto"/>
                <w:sz w:val="22"/>
                <w:szCs w:val="22"/>
                <w:lang w:eastAsia="zh-CN"/>
              </w:rPr>
              <w:t>，项目于</w:t>
            </w:r>
            <w:r>
              <w:rPr>
                <w:rFonts w:hint="default" w:ascii="Times New Roman" w:hAnsi="Times New Roman" w:eastAsia="宋体" w:cs="Times New Roman"/>
                <w:color w:val="auto"/>
                <w:sz w:val="22"/>
                <w:szCs w:val="22"/>
                <w:lang w:val="en-US" w:eastAsia="zh-CN"/>
              </w:rPr>
              <w:t>2011年8月委托江苏绿源工程设计研究有限公司编制《淮安欣展高分子科技有限公司电子专用材料项目环境影响报告表》，并于2011年8月3日取得</w:t>
            </w:r>
            <w:r>
              <w:rPr>
                <w:rFonts w:hint="default" w:ascii="Times New Roman" w:hAnsi="Times New Roman" w:eastAsia="宋体" w:cs="Times New Roman"/>
                <w:color w:val="auto"/>
                <w:kern w:val="0"/>
                <w:sz w:val="22"/>
                <w:szCs w:val="22"/>
                <w:lang w:val="en-US" w:eastAsia="zh-CN"/>
              </w:rPr>
              <w:t>淮安市淮阴区环境保护局（现为淮安市淮阴生态环境局）的环评批复，</w:t>
            </w:r>
            <w:r>
              <w:rPr>
                <w:rFonts w:hint="default" w:ascii="Times New Roman" w:hAnsi="Times New Roman" w:eastAsia="宋体" w:cs="Times New Roman"/>
                <w:color w:val="auto"/>
                <w:sz w:val="22"/>
                <w:szCs w:val="22"/>
                <w:lang w:val="en-US" w:eastAsia="zh-CN"/>
              </w:rPr>
              <w:t>批复文号：淮环表复〔2011〕122号，</w:t>
            </w:r>
            <w:r>
              <w:rPr>
                <w:rFonts w:hint="eastAsia" w:cs="Times New Roman"/>
                <w:color w:val="auto"/>
                <w:sz w:val="22"/>
                <w:szCs w:val="22"/>
                <w:lang w:val="en-US" w:eastAsia="zh-CN"/>
              </w:rPr>
              <w:t>原项目</w:t>
            </w:r>
            <w:r>
              <w:rPr>
                <w:rFonts w:hint="default" w:ascii="Times New Roman" w:hAnsi="Times New Roman" w:eastAsia="宋体" w:cs="Times New Roman"/>
                <w:color w:val="auto"/>
                <w:sz w:val="22"/>
                <w:szCs w:val="22"/>
                <w:lang w:val="en-US" w:eastAsia="zh-CN"/>
              </w:rPr>
              <w:t>于2014年4月16日通过淮安市淮阴区环境保护局环保“三同时”竣工验收。</w:t>
            </w:r>
          </w:p>
          <w:p w14:paraId="4B2F9724">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kern w:val="0"/>
                <w:sz w:val="22"/>
                <w:szCs w:val="22"/>
                <w:lang w:val="en-US" w:eastAsia="zh-CN"/>
              </w:rPr>
              <w:t>淮安欣展高分子科技有限公司</w:t>
            </w:r>
            <w:r>
              <w:rPr>
                <w:rFonts w:hint="eastAsia" w:cs="Times New Roman"/>
                <w:color w:val="auto"/>
                <w:kern w:val="0"/>
                <w:sz w:val="22"/>
                <w:szCs w:val="22"/>
                <w:lang w:val="en-US" w:eastAsia="zh-CN"/>
              </w:rPr>
              <w:t>2020年对项目进行技改，</w:t>
            </w:r>
            <w:r>
              <w:rPr>
                <w:rFonts w:hint="eastAsia" w:ascii="Times New Roman" w:hAnsi="Times New Roman" w:eastAsia="宋体" w:cs="Times New Roman"/>
                <w:color w:val="auto"/>
                <w:sz w:val="22"/>
                <w:szCs w:val="22"/>
                <w:lang w:val="en-US" w:eastAsia="zh-CN"/>
              </w:rPr>
              <w:t>并委托江苏启信环境科技有限公司</w:t>
            </w:r>
            <w:r>
              <w:rPr>
                <w:rFonts w:hint="eastAsia" w:cs="Times New Roman"/>
                <w:color w:val="auto"/>
                <w:sz w:val="22"/>
                <w:szCs w:val="22"/>
                <w:lang w:val="en-US" w:eastAsia="zh-CN"/>
              </w:rPr>
              <w:t>编制《</w:t>
            </w:r>
            <w:r>
              <w:rPr>
                <w:rFonts w:hint="default" w:ascii="Times New Roman" w:hAnsi="Times New Roman" w:eastAsia="宋体" w:cs="Times New Roman"/>
                <w:color w:val="auto"/>
                <w:sz w:val="22"/>
                <w:szCs w:val="22"/>
                <w:lang w:val="en-US" w:eastAsia="zh-CN"/>
              </w:rPr>
              <w:t>淮安欣展高分子科技有限公司</w:t>
            </w:r>
            <w:r>
              <w:rPr>
                <w:rFonts w:hint="eastAsia" w:cs="Times New Roman"/>
                <w:color w:val="auto"/>
                <w:sz w:val="22"/>
                <w:szCs w:val="22"/>
                <w:lang w:val="en-US" w:eastAsia="zh-CN"/>
              </w:rPr>
              <w:t>高分子半导电胶辊生产线技改项目环</w:t>
            </w:r>
            <w:r>
              <w:rPr>
                <w:rFonts w:hint="default" w:ascii="Times New Roman" w:hAnsi="Times New Roman" w:eastAsia="宋体" w:cs="Times New Roman"/>
                <w:color w:val="auto"/>
                <w:sz w:val="22"/>
                <w:szCs w:val="22"/>
                <w:lang w:val="en-US" w:eastAsia="zh-CN"/>
              </w:rPr>
              <w:t>境影响报告表</w:t>
            </w:r>
            <w:r>
              <w:rPr>
                <w:rFonts w:hint="eastAsia"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，并于20</w:t>
            </w:r>
            <w:r>
              <w:rPr>
                <w:rFonts w:hint="eastAsia" w:cs="Times New Roman"/>
                <w:color w:val="auto"/>
                <w:sz w:val="22"/>
                <w:szCs w:val="22"/>
                <w:lang w:val="en-US" w:eastAsia="zh-CN"/>
              </w:rPr>
              <w:t>21</w:t>
            </w:r>
            <w:r>
              <w:rPr>
                <w:rFonts w:hint="default" w:ascii="Times New Roman" w:hAnsi="Times New Roman" w:eastAsia="宋体" w:cs="Times New Roman"/>
                <w:color w:val="auto"/>
                <w:sz w:val="22"/>
                <w:szCs w:val="22"/>
                <w:lang w:val="en-US" w:eastAsia="zh-CN"/>
              </w:rPr>
              <w:t>年</w:t>
            </w:r>
            <w:r>
              <w:rPr>
                <w:rFonts w:hint="eastAsia" w:cs="Times New Roman"/>
                <w:color w:val="auto"/>
                <w:sz w:val="22"/>
                <w:szCs w:val="22"/>
                <w:lang w:val="en-US" w:eastAsia="zh-CN"/>
              </w:rPr>
              <w:t>05</w:t>
            </w:r>
            <w:r>
              <w:rPr>
                <w:rFonts w:hint="default" w:ascii="Times New Roman" w:hAnsi="Times New Roman" w:eastAsia="宋体" w:cs="Times New Roman"/>
                <w:color w:val="auto"/>
                <w:sz w:val="22"/>
                <w:szCs w:val="22"/>
                <w:lang w:val="en-US" w:eastAsia="zh-CN"/>
              </w:rPr>
              <w:t>月</w:t>
            </w:r>
            <w:r>
              <w:rPr>
                <w:rFonts w:hint="eastAsia" w:cs="Times New Roman"/>
                <w:color w:val="auto"/>
                <w:sz w:val="22"/>
                <w:szCs w:val="22"/>
                <w:lang w:val="en-US" w:eastAsia="zh-CN"/>
              </w:rPr>
              <w:t>21</w:t>
            </w:r>
            <w:r>
              <w:rPr>
                <w:rFonts w:hint="default" w:ascii="Times New Roman" w:hAnsi="Times New Roman" w:eastAsia="宋体" w:cs="Times New Roman"/>
                <w:color w:val="auto"/>
                <w:sz w:val="22"/>
                <w:szCs w:val="22"/>
                <w:lang w:val="en-US" w:eastAsia="zh-CN"/>
              </w:rPr>
              <w:t>日取得</w:t>
            </w:r>
            <w:r>
              <w:rPr>
                <w:rFonts w:hint="default" w:ascii="Times New Roman" w:hAnsi="Times New Roman" w:eastAsia="宋体" w:cs="Times New Roman"/>
                <w:color w:val="auto"/>
                <w:kern w:val="0"/>
                <w:sz w:val="22"/>
                <w:szCs w:val="22"/>
                <w:lang w:val="en-US" w:eastAsia="zh-CN"/>
              </w:rPr>
              <w:t>淮安市生态环境局的环评批复，</w:t>
            </w:r>
            <w:r>
              <w:rPr>
                <w:rFonts w:hint="default" w:ascii="Times New Roman" w:hAnsi="Times New Roman" w:eastAsia="宋体" w:cs="Times New Roman"/>
                <w:color w:val="auto"/>
                <w:sz w:val="22"/>
                <w:szCs w:val="22"/>
                <w:lang w:val="en-US" w:eastAsia="zh-CN"/>
              </w:rPr>
              <w:t>批复文号：淮环表复〔20</w:t>
            </w:r>
            <w:r>
              <w:rPr>
                <w:rFonts w:hint="eastAsia" w:cs="Times New Roman"/>
                <w:color w:val="auto"/>
                <w:sz w:val="22"/>
                <w:szCs w:val="22"/>
                <w:lang w:val="en-US" w:eastAsia="zh-CN"/>
              </w:rPr>
              <w:t>21</w:t>
            </w:r>
            <w:r>
              <w:rPr>
                <w:rFonts w:hint="default" w:ascii="Times New Roman" w:hAnsi="Times New Roman" w:eastAsia="宋体" w:cs="Times New Roman"/>
                <w:color w:val="auto"/>
                <w:sz w:val="22"/>
                <w:szCs w:val="22"/>
                <w:lang w:val="en-US" w:eastAsia="zh-CN"/>
              </w:rPr>
              <w:t>〕</w:t>
            </w:r>
            <w:r>
              <w:rPr>
                <w:rFonts w:hint="eastAsia" w:cs="Times New Roman"/>
                <w:color w:val="auto"/>
                <w:sz w:val="22"/>
                <w:szCs w:val="22"/>
                <w:lang w:val="en-US" w:eastAsia="zh-CN"/>
              </w:rPr>
              <w:t>51</w:t>
            </w:r>
            <w:r>
              <w:rPr>
                <w:rFonts w:hint="default" w:ascii="Times New Roman" w:hAnsi="Times New Roman" w:eastAsia="宋体" w:cs="Times New Roman"/>
                <w:color w:val="auto"/>
                <w:sz w:val="22"/>
                <w:szCs w:val="22"/>
                <w:lang w:val="en-US" w:eastAsia="zh-CN"/>
              </w:rPr>
              <w:t>号，</w:t>
            </w:r>
            <w:r>
              <w:rPr>
                <w:rFonts w:hint="eastAsia" w:cs="Times New Roman"/>
                <w:color w:val="auto"/>
                <w:sz w:val="22"/>
                <w:szCs w:val="22"/>
                <w:lang w:val="en-US" w:eastAsia="zh-CN"/>
              </w:rPr>
              <w:t>技改项目</w:t>
            </w:r>
            <w:r>
              <w:rPr>
                <w:rFonts w:hint="default" w:ascii="Times New Roman" w:hAnsi="Times New Roman" w:eastAsia="宋体" w:cs="Times New Roman"/>
                <w:color w:val="auto"/>
                <w:sz w:val="22"/>
                <w:szCs w:val="22"/>
                <w:lang w:val="en-US" w:eastAsia="zh-CN"/>
              </w:rPr>
              <w:t>于20</w:t>
            </w:r>
            <w:r>
              <w:rPr>
                <w:rFonts w:hint="eastAsia" w:cs="Times New Roman"/>
                <w:color w:val="auto"/>
                <w:sz w:val="22"/>
                <w:szCs w:val="22"/>
                <w:lang w:val="en-US" w:eastAsia="zh-CN"/>
              </w:rPr>
              <w:t>21</w:t>
            </w:r>
            <w:r>
              <w:rPr>
                <w:rFonts w:hint="default" w:ascii="Times New Roman" w:hAnsi="Times New Roman" w:eastAsia="宋体" w:cs="Times New Roman"/>
                <w:color w:val="auto"/>
                <w:sz w:val="22"/>
                <w:szCs w:val="22"/>
                <w:lang w:val="en-US" w:eastAsia="zh-CN"/>
              </w:rPr>
              <w:t>年</w:t>
            </w:r>
            <w:r>
              <w:rPr>
                <w:rFonts w:hint="eastAsia" w:cs="Times New Roman"/>
                <w:color w:val="auto"/>
                <w:sz w:val="22"/>
                <w:szCs w:val="22"/>
                <w:lang w:val="en-US" w:eastAsia="zh-CN"/>
              </w:rPr>
              <w:t>09</w:t>
            </w:r>
            <w:r>
              <w:rPr>
                <w:rFonts w:hint="default" w:ascii="Times New Roman" w:hAnsi="Times New Roman" w:eastAsia="宋体" w:cs="Times New Roman"/>
                <w:color w:val="auto"/>
                <w:sz w:val="22"/>
                <w:szCs w:val="22"/>
                <w:lang w:val="en-US" w:eastAsia="zh-CN"/>
              </w:rPr>
              <w:t>月</w:t>
            </w:r>
            <w:r>
              <w:rPr>
                <w:rFonts w:hint="eastAsia" w:cs="Times New Roman"/>
                <w:color w:val="auto"/>
                <w:sz w:val="22"/>
                <w:szCs w:val="22"/>
                <w:lang w:val="en-US" w:eastAsia="zh-CN"/>
              </w:rPr>
              <w:t>24</w:t>
            </w:r>
            <w:r>
              <w:rPr>
                <w:rFonts w:hint="default" w:ascii="Times New Roman" w:hAnsi="Times New Roman" w:eastAsia="宋体" w:cs="Times New Roman"/>
                <w:color w:val="auto"/>
                <w:sz w:val="22"/>
                <w:szCs w:val="22"/>
                <w:lang w:val="en-US" w:eastAsia="zh-CN"/>
              </w:rPr>
              <w:t>日通过</w:t>
            </w:r>
            <w:r>
              <w:rPr>
                <w:rFonts w:hint="eastAsia" w:cs="Times New Roman"/>
                <w:color w:val="auto"/>
                <w:sz w:val="22"/>
                <w:szCs w:val="22"/>
                <w:lang w:val="en-US" w:eastAsia="zh-CN"/>
              </w:rPr>
              <w:t>企业自主验收</w:t>
            </w:r>
            <w:r>
              <w:rPr>
                <w:rFonts w:hint="default" w:ascii="Times New Roman" w:hAnsi="Times New Roman" w:eastAsia="宋体" w:cs="Times New Roman"/>
                <w:color w:val="auto"/>
                <w:sz w:val="22"/>
                <w:szCs w:val="22"/>
                <w:lang w:val="en-US" w:eastAsia="zh-CN"/>
              </w:rPr>
              <w:t>。</w:t>
            </w:r>
          </w:p>
          <w:p w14:paraId="305A0415">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eastAsia" w:cs="Times New Roman"/>
                <w:color w:val="auto"/>
                <w:sz w:val="22"/>
                <w:szCs w:val="22"/>
                <w:lang w:val="en-US" w:eastAsia="zh-CN"/>
              </w:rPr>
              <w:t>2024年由于企业工艺调整对项目进行技改，</w:t>
            </w:r>
            <w:r>
              <w:rPr>
                <w:rFonts w:hint="eastAsia" w:ascii="Times New Roman" w:hAnsi="Times New Roman" w:eastAsia="宋体" w:cs="Times New Roman"/>
                <w:color w:val="auto"/>
                <w:sz w:val="22"/>
                <w:szCs w:val="22"/>
                <w:lang w:val="en-US" w:eastAsia="zh-CN"/>
              </w:rPr>
              <w:t>并委托江苏</w:t>
            </w:r>
            <w:r>
              <w:rPr>
                <w:rFonts w:hint="eastAsia" w:cs="Times New Roman"/>
                <w:color w:val="auto"/>
                <w:sz w:val="22"/>
                <w:szCs w:val="22"/>
                <w:lang w:val="en-US" w:eastAsia="zh-CN"/>
              </w:rPr>
              <w:t>绿航工程项目管理</w:t>
            </w:r>
            <w:r>
              <w:rPr>
                <w:rFonts w:hint="eastAsia" w:ascii="Times New Roman" w:hAnsi="Times New Roman" w:eastAsia="宋体" w:cs="Times New Roman"/>
                <w:color w:val="auto"/>
                <w:sz w:val="22"/>
                <w:szCs w:val="22"/>
                <w:lang w:val="en-US" w:eastAsia="zh-CN"/>
              </w:rPr>
              <w:t>有限公司</w:t>
            </w:r>
            <w:r>
              <w:rPr>
                <w:rFonts w:hint="eastAsia" w:cs="Times New Roman"/>
                <w:color w:val="auto"/>
                <w:sz w:val="22"/>
                <w:szCs w:val="22"/>
                <w:lang w:val="en-US" w:eastAsia="zh-CN"/>
              </w:rPr>
              <w:t>编制《</w:t>
            </w:r>
            <w:r>
              <w:rPr>
                <w:rFonts w:hint="default" w:ascii="Times New Roman" w:hAnsi="Times New Roman" w:eastAsia="宋体" w:cs="Times New Roman"/>
                <w:color w:val="auto"/>
                <w:sz w:val="22"/>
                <w:szCs w:val="22"/>
                <w:lang w:val="en-US" w:eastAsia="zh-CN"/>
              </w:rPr>
              <w:t>淮安欣展高分子科技有限公司</w:t>
            </w:r>
            <w:r>
              <w:rPr>
                <w:rFonts w:hint="eastAsia" w:cs="Times New Roman"/>
                <w:color w:val="auto"/>
                <w:sz w:val="22"/>
                <w:szCs w:val="22"/>
                <w:lang w:val="en-US" w:eastAsia="zh-CN"/>
              </w:rPr>
              <w:t>高分子半导电胶辊生产线技改项目</w:t>
            </w:r>
            <w:r>
              <w:rPr>
                <w:rFonts w:hint="default" w:ascii="Times New Roman" w:hAnsi="Times New Roman" w:eastAsia="宋体" w:cs="Times New Roman"/>
                <w:color w:val="auto"/>
                <w:sz w:val="22"/>
                <w:szCs w:val="22"/>
                <w:lang w:val="en-US" w:eastAsia="zh-CN"/>
              </w:rPr>
              <w:t>境影响报告表</w:t>
            </w:r>
            <w:r>
              <w:rPr>
                <w:rFonts w:hint="eastAsia"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w:t>
            </w:r>
            <w:r>
              <w:rPr>
                <w:rFonts w:hint="eastAsia" w:cs="Times New Roman"/>
                <w:color w:val="auto"/>
                <w:sz w:val="22"/>
                <w:szCs w:val="22"/>
                <w:lang w:val="en-US" w:eastAsia="zh-CN"/>
              </w:rPr>
              <w:t>并</w:t>
            </w:r>
            <w:r>
              <w:rPr>
                <w:rFonts w:hint="default" w:ascii="Times New Roman" w:hAnsi="Times New Roman" w:eastAsia="宋体" w:cs="Times New Roman"/>
                <w:color w:val="auto"/>
                <w:sz w:val="22"/>
                <w:szCs w:val="22"/>
                <w:lang w:val="en-US" w:eastAsia="zh-CN"/>
              </w:rPr>
              <w:t>于20</w:t>
            </w:r>
            <w:r>
              <w:rPr>
                <w:rFonts w:hint="eastAsia" w:cs="Times New Roman"/>
                <w:color w:val="auto"/>
                <w:sz w:val="22"/>
                <w:szCs w:val="22"/>
                <w:lang w:val="en-US" w:eastAsia="zh-CN"/>
              </w:rPr>
              <w:t>24</w:t>
            </w:r>
            <w:r>
              <w:rPr>
                <w:rFonts w:hint="default" w:ascii="Times New Roman" w:hAnsi="Times New Roman" w:eastAsia="宋体" w:cs="Times New Roman"/>
                <w:color w:val="auto"/>
                <w:sz w:val="22"/>
                <w:szCs w:val="22"/>
                <w:lang w:val="en-US" w:eastAsia="zh-CN"/>
              </w:rPr>
              <w:t>年</w:t>
            </w:r>
            <w:r>
              <w:rPr>
                <w:rFonts w:hint="eastAsia" w:cs="Times New Roman"/>
                <w:color w:val="auto"/>
                <w:sz w:val="22"/>
                <w:szCs w:val="22"/>
                <w:lang w:val="en-US" w:eastAsia="zh-CN"/>
              </w:rPr>
              <w:t>09</w:t>
            </w:r>
            <w:r>
              <w:rPr>
                <w:rFonts w:hint="default" w:ascii="Times New Roman" w:hAnsi="Times New Roman" w:eastAsia="宋体" w:cs="Times New Roman"/>
                <w:color w:val="auto"/>
                <w:sz w:val="22"/>
                <w:szCs w:val="22"/>
                <w:lang w:val="en-US" w:eastAsia="zh-CN"/>
              </w:rPr>
              <w:t>月</w:t>
            </w:r>
            <w:r>
              <w:rPr>
                <w:rFonts w:hint="eastAsia" w:cs="Times New Roman"/>
                <w:color w:val="auto"/>
                <w:sz w:val="22"/>
                <w:szCs w:val="22"/>
                <w:lang w:val="en-US" w:eastAsia="zh-CN"/>
              </w:rPr>
              <w:t>25</w:t>
            </w:r>
            <w:r>
              <w:rPr>
                <w:rFonts w:hint="default" w:ascii="Times New Roman" w:hAnsi="Times New Roman" w:eastAsia="宋体" w:cs="Times New Roman"/>
                <w:color w:val="auto"/>
                <w:sz w:val="22"/>
                <w:szCs w:val="22"/>
                <w:lang w:val="en-US" w:eastAsia="zh-CN"/>
              </w:rPr>
              <w:t>日取得</w:t>
            </w:r>
            <w:r>
              <w:rPr>
                <w:rFonts w:hint="default" w:ascii="Times New Roman" w:hAnsi="Times New Roman" w:eastAsia="宋体" w:cs="Times New Roman"/>
                <w:color w:val="auto"/>
                <w:kern w:val="0"/>
                <w:sz w:val="22"/>
                <w:szCs w:val="22"/>
                <w:lang w:val="en-US" w:eastAsia="zh-CN"/>
              </w:rPr>
              <w:t>淮安市生态环境局的环评批复，</w:t>
            </w:r>
            <w:r>
              <w:rPr>
                <w:rFonts w:hint="default" w:ascii="Times New Roman" w:hAnsi="Times New Roman" w:eastAsia="宋体" w:cs="Times New Roman"/>
                <w:color w:val="auto"/>
                <w:sz w:val="22"/>
                <w:szCs w:val="22"/>
                <w:lang w:val="en-US" w:eastAsia="zh-CN"/>
              </w:rPr>
              <w:t>批复文号：淮环表复〔20</w:t>
            </w:r>
            <w:r>
              <w:rPr>
                <w:rFonts w:hint="eastAsia" w:cs="Times New Roman"/>
                <w:color w:val="auto"/>
                <w:sz w:val="22"/>
                <w:szCs w:val="22"/>
                <w:lang w:val="en-US" w:eastAsia="zh-CN"/>
              </w:rPr>
              <w:t>24</w:t>
            </w:r>
            <w:r>
              <w:rPr>
                <w:rFonts w:hint="default" w:ascii="Times New Roman" w:hAnsi="Times New Roman" w:eastAsia="宋体" w:cs="Times New Roman"/>
                <w:color w:val="auto"/>
                <w:sz w:val="22"/>
                <w:szCs w:val="22"/>
                <w:lang w:val="en-US" w:eastAsia="zh-CN"/>
              </w:rPr>
              <w:t>〕</w:t>
            </w:r>
            <w:r>
              <w:rPr>
                <w:rFonts w:hint="eastAsia" w:cs="Times New Roman"/>
                <w:color w:val="auto"/>
                <w:sz w:val="22"/>
                <w:szCs w:val="22"/>
                <w:lang w:val="en-US" w:eastAsia="zh-CN"/>
              </w:rPr>
              <w:t>63</w:t>
            </w:r>
            <w:r>
              <w:rPr>
                <w:rFonts w:hint="default" w:ascii="Times New Roman" w:hAnsi="Times New Roman" w:eastAsia="宋体" w:cs="Times New Roman"/>
                <w:color w:val="auto"/>
                <w:sz w:val="22"/>
                <w:szCs w:val="22"/>
                <w:lang w:val="en-US" w:eastAsia="zh-CN"/>
              </w:rPr>
              <w:t>号</w:t>
            </w:r>
            <w:r>
              <w:rPr>
                <w:rFonts w:hint="eastAsia" w:cs="Times New Roman"/>
                <w:color w:val="auto"/>
                <w:sz w:val="22"/>
                <w:szCs w:val="22"/>
                <w:lang w:val="en-US" w:eastAsia="zh-CN"/>
              </w:rPr>
              <w:t>。</w:t>
            </w:r>
          </w:p>
          <w:p w14:paraId="37E540D3">
            <w:pPr>
              <w:keepNext w:val="0"/>
              <w:keepLines w:val="0"/>
              <w:pageBreakBefore w:val="0"/>
              <w:widowControl w:val="0"/>
              <w:kinsoku/>
              <w:wordWrap w:val="0"/>
              <w:overflowPunct/>
              <w:topLinePunct w:val="0"/>
              <w:autoSpaceDE/>
              <w:autoSpaceDN/>
              <w:bidi w:val="0"/>
              <w:adjustRightInd/>
              <w:snapToGrid/>
              <w:spacing w:line="500" w:lineRule="exact"/>
              <w:ind w:left="0" w:firstLine="440" w:firstLineChars="200"/>
              <w:jc w:val="left"/>
              <w:textAlignment w:val="auto"/>
              <w:outlineLvl w:val="9"/>
              <w:rPr>
                <w:rFonts w:hint="eastAsia" w:cs="Times New Roman"/>
                <w:b w:val="0"/>
                <w:bCs w:val="0"/>
                <w:color w:val="auto"/>
                <w:sz w:val="22"/>
                <w:szCs w:val="22"/>
                <w:lang w:val="en-US" w:eastAsia="zh-CN"/>
              </w:rPr>
            </w:pPr>
            <w:r>
              <w:rPr>
                <w:rFonts w:hint="eastAsia" w:cs="Times New Roman"/>
                <w:color w:val="auto"/>
                <w:sz w:val="22"/>
                <w:szCs w:val="22"/>
                <w:lang w:val="en-US" w:eastAsia="zh-CN"/>
              </w:rPr>
              <w:t>在项目建设过程中，由于企业发展需要对现有项目进行技改，增加</w:t>
            </w:r>
            <w:r>
              <w:rPr>
                <w:rFonts w:hint="eastAsia" w:cs="Times New Roman"/>
                <w:b w:val="0"/>
                <w:bCs w:val="0"/>
                <w:color w:val="auto"/>
                <w:sz w:val="22"/>
                <w:szCs w:val="22"/>
                <w:lang w:val="en-US" w:eastAsia="zh-CN"/>
              </w:rPr>
              <w:t>高分子纳米增强型橡胶条生产线。淮安欣展高分子科技有限公司计划投资4500万元，其中新增设备投资1000万元，利用原有土地及厂房9000平方米，办公用房1500平方米，购置密炼机8台，开炼机8台、过滤机1台，挤出机4台、硫化设备5台，磨边机2台，环保设备1套、穿管机5台，切边机5台，自动清洗机3台，自动涂胶机2台，照射机5台，共需技改设备共54台（套）；建设“高分子纳米增强型橡胶条生产线”1条，工艺流程为：“配料-密炼-过滤-开炼-挤出-涂胶-覆布-平板硫化-磨边-刻字-检验-包装-出货”：建设半导电胶辊生产线1条，工艺流程为：“配料-密炼-过滤-开炼-清洗-涂胶-挤出-硫化-穿管-切边-研磨-清洗-UV照射-喷涂-加热-检验-出货”，项目建成后形成年产100万条高分子纳米增强型橡胶条、年产1800万支高分子半导电胶辊的生产能力。技改项目于2025年04月07日</w:t>
            </w:r>
            <w:r>
              <w:rPr>
                <w:rFonts w:hint="eastAsia" w:ascii="Times New Roman" w:hAnsi="Times New Roman" w:cs="Times New Roman"/>
                <w:b w:val="0"/>
                <w:bCs w:val="0"/>
                <w:color w:val="auto"/>
                <w:sz w:val="22"/>
                <w:szCs w:val="22"/>
                <w:lang w:val="en-US" w:eastAsia="zh-CN"/>
              </w:rPr>
              <w:t>通过淮安市淮阴区工业和信息化局备案</w:t>
            </w:r>
            <w:r>
              <w:rPr>
                <w:rFonts w:hint="eastAsia" w:cs="Times New Roman"/>
                <w:b w:val="0"/>
                <w:bCs w:val="0"/>
                <w:color w:val="auto"/>
                <w:sz w:val="22"/>
                <w:szCs w:val="22"/>
                <w:lang w:val="en-US" w:eastAsia="zh-CN"/>
              </w:rPr>
              <w:t>（备案证号</w:t>
            </w:r>
            <w:r>
              <w:rPr>
                <w:rFonts w:hint="eastAsia" w:ascii="Times New Roman" w:hAnsi="Times New Roman" w:cs="Times New Roman"/>
                <w:b w:val="0"/>
                <w:bCs w:val="0"/>
                <w:color w:val="auto"/>
                <w:sz w:val="22"/>
                <w:szCs w:val="22"/>
                <w:lang w:val="en-US" w:eastAsia="zh-CN"/>
              </w:rPr>
              <w:t>：</w:t>
            </w:r>
            <w:r>
              <w:rPr>
                <w:rFonts w:hint="eastAsia" w:cs="Times New Roman"/>
                <w:b w:val="0"/>
                <w:bCs w:val="0"/>
                <w:color w:val="auto"/>
                <w:sz w:val="22"/>
                <w:szCs w:val="22"/>
                <w:lang w:val="en-US" w:eastAsia="zh-CN"/>
              </w:rPr>
              <w:t>淮阴区工信备〔2025〕25号</w:t>
            </w:r>
            <w:r>
              <w:rPr>
                <w:rFonts w:hint="default" w:ascii="Times New Roman" w:hAnsi="Times New Roman" w:cs="Times New Roman"/>
                <w:b w:val="0"/>
                <w:bCs w:val="0"/>
                <w:color w:val="auto"/>
                <w:sz w:val="22"/>
                <w:szCs w:val="22"/>
                <w:lang w:val="en-US" w:eastAsia="zh-CN"/>
              </w:rPr>
              <w:t>）</w:t>
            </w:r>
            <w:r>
              <w:rPr>
                <w:rFonts w:hint="eastAsia" w:cs="Times New Roman"/>
                <w:b w:val="0"/>
                <w:bCs w:val="0"/>
                <w:color w:val="auto"/>
                <w:sz w:val="22"/>
                <w:szCs w:val="22"/>
                <w:lang w:val="en-US" w:eastAsia="zh-CN"/>
              </w:rPr>
              <w:t>，项目代码：2405-320804-07-02-812400。</w:t>
            </w:r>
          </w:p>
          <w:p w14:paraId="25E05AD7">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jc w:val="left"/>
              <w:textAlignment w:val="auto"/>
              <w:outlineLvl w:val="9"/>
              <w:rPr>
                <w:rFonts w:hint="eastAsia" w:cs="Times New Roman"/>
                <w:b w:val="0"/>
                <w:bCs w:val="0"/>
                <w:color w:val="auto"/>
                <w:sz w:val="22"/>
                <w:szCs w:val="22"/>
                <w:lang w:val="en-US" w:eastAsia="zh-CN"/>
              </w:rPr>
            </w:pPr>
            <w:r>
              <w:rPr>
                <w:rFonts w:hint="eastAsia" w:cs="Times New Roman"/>
                <w:b w:val="0"/>
                <w:bCs w:val="0"/>
                <w:color w:val="auto"/>
                <w:sz w:val="22"/>
                <w:szCs w:val="22"/>
                <w:lang w:val="en-US" w:eastAsia="zh-CN"/>
              </w:rPr>
              <w:t>根据《建设项目环境影响评价分类管理名录》（2021年版），建设项目环境影响评价文件类别判定过程见表2-1。</w:t>
            </w:r>
          </w:p>
          <w:p w14:paraId="4667260B">
            <w:pPr>
              <w:autoSpaceDE w:val="0"/>
              <w:autoSpaceDN w:val="0"/>
              <w:adjustRightInd w:val="0"/>
              <w:snapToGrid w:val="0"/>
              <w:spacing w:line="500" w:lineRule="exact"/>
              <w:jc w:val="center"/>
              <w:textAlignment w:val="baseline"/>
              <w:rPr>
                <w:rFonts w:hint="eastAsia" w:ascii="Times New Roman" w:hAnsi="Times New Roman" w:eastAsia="宋体" w:cs="Times New Roman"/>
                <w:b/>
                <w:bCs/>
                <w:color w:val="auto"/>
                <w:sz w:val="24"/>
              </w:rPr>
            </w:pPr>
            <w:r>
              <w:rPr>
                <w:rFonts w:hint="eastAsia" w:ascii="Times New Roman" w:hAnsi="Times New Roman" w:eastAsia="宋体" w:cs="Times New Roman"/>
                <w:b/>
                <w:bCs/>
                <w:color w:val="auto"/>
                <w:sz w:val="24"/>
              </w:rPr>
              <w:t>表</w:t>
            </w:r>
            <w:r>
              <w:rPr>
                <w:rFonts w:hint="eastAsia" w:ascii="Times New Roman" w:hAnsi="Times New Roman" w:eastAsia="宋体" w:cs="Times New Roman"/>
                <w:b/>
                <w:bCs/>
                <w:color w:val="auto"/>
                <w:sz w:val="24"/>
                <w:lang w:val="en-US" w:eastAsia="zh-CN"/>
              </w:rPr>
              <w:t>2</w:t>
            </w:r>
            <w:r>
              <w:rPr>
                <w:rFonts w:hint="eastAsia" w:ascii="Times New Roman" w:hAnsi="Times New Roman" w:eastAsia="宋体" w:cs="Times New Roman"/>
                <w:b/>
                <w:bCs/>
                <w:color w:val="auto"/>
                <w:sz w:val="24"/>
              </w:rPr>
              <w:t xml:space="preserve">-1 </w:t>
            </w:r>
            <w:r>
              <w:rPr>
                <w:rFonts w:hint="eastAsia" w:ascii="Times New Roman" w:hAnsi="Times New Roman" w:cs="Times New Roman"/>
                <w:b/>
                <w:bCs/>
                <w:color w:val="auto"/>
                <w:sz w:val="24"/>
                <w:lang w:val="en-US" w:eastAsia="zh-CN"/>
              </w:rPr>
              <w:t xml:space="preserve"> </w:t>
            </w:r>
            <w:r>
              <w:rPr>
                <w:rFonts w:hint="eastAsia" w:ascii="Times New Roman" w:hAnsi="Times New Roman" w:eastAsia="宋体" w:cs="Times New Roman"/>
                <w:b/>
                <w:bCs/>
                <w:color w:val="auto"/>
                <w:sz w:val="24"/>
              </w:rPr>
              <w:t>建设项目环境影响评价文件类别判定表</w:t>
            </w:r>
          </w:p>
          <w:tbl>
            <w:tblPr>
              <w:tblStyle w:val="44"/>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367"/>
              <w:gridCol w:w="1861"/>
              <w:gridCol w:w="2524"/>
              <w:gridCol w:w="3024"/>
              <w:gridCol w:w="1239"/>
            </w:tblGrid>
            <w:tr w14:paraId="66796E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585" w:hRule="atLeast"/>
                <w:jc w:val="center"/>
              </w:trPr>
              <w:tc>
                <w:tcPr>
                  <w:tcW w:w="1236" w:type="pct"/>
                  <w:gridSpan w:val="2"/>
                  <w:vAlign w:val="center"/>
                </w:tcPr>
                <w:p w14:paraId="0CA126B1">
                  <w:pPr>
                    <w:adjustRightInd w:val="0"/>
                    <w:snapToGrid w:val="0"/>
                    <w:spacing w:line="360" w:lineRule="exact"/>
                    <w:jc w:val="center"/>
                    <w:rPr>
                      <w:rFonts w:hint="eastAsia" w:ascii="Times New Roman" w:hAnsi="Times New Roman" w:eastAsia="宋体" w:cs="Times New Roman"/>
                      <w:b/>
                      <w:bCs/>
                      <w:color w:val="auto"/>
                      <w:szCs w:val="21"/>
                      <w:lang w:val="en-US" w:eastAsia="zh-CN"/>
                    </w:rPr>
                  </w:pPr>
                  <w:r>
                    <w:rPr>
                      <w:rFonts w:hint="eastAsia" w:ascii="Times New Roman" w:hAnsi="Times New Roman" w:eastAsia="宋体" w:cs="Times New Roman"/>
                      <w:b/>
                      <w:bCs/>
                      <w:color w:val="auto"/>
                      <w:szCs w:val="21"/>
                      <w:lang w:val="en-US" w:eastAsia="zh-CN"/>
                    </w:rPr>
                    <w:t>项目类别</w:t>
                  </w:r>
                </w:p>
              </w:tc>
              <w:tc>
                <w:tcPr>
                  <w:tcW w:w="1400" w:type="pct"/>
                  <w:vAlign w:val="center"/>
                </w:tcPr>
                <w:p w14:paraId="2A774755">
                  <w:pPr>
                    <w:adjustRightInd w:val="0"/>
                    <w:snapToGrid w:val="0"/>
                    <w:spacing w:line="360" w:lineRule="exact"/>
                    <w:jc w:val="center"/>
                    <w:rPr>
                      <w:rFonts w:hint="default" w:ascii="Times New Roman" w:hAnsi="Times New Roman" w:eastAsia="宋体" w:cs="Times New Roman"/>
                      <w:b/>
                      <w:bCs/>
                      <w:color w:val="auto"/>
                      <w:szCs w:val="21"/>
                      <w:lang w:val="en-US" w:eastAsia="zh-CN"/>
                    </w:rPr>
                  </w:pPr>
                  <w:r>
                    <w:rPr>
                      <w:rFonts w:hint="eastAsia" w:ascii="Times New Roman" w:hAnsi="Times New Roman" w:eastAsia="宋体" w:cs="Times New Roman"/>
                      <w:b/>
                      <w:bCs/>
                      <w:color w:val="auto"/>
                      <w:szCs w:val="21"/>
                      <w:lang w:val="en-US" w:eastAsia="zh-CN"/>
                    </w:rPr>
                    <w:t>报告书</w:t>
                  </w:r>
                </w:p>
              </w:tc>
              <w:tc>
                <w:tcPr>
                  <w:tcW w:w="1677" w:type="pct"/>
                  <w:vAlign w:val="center"/>
                </w:tcPr>
                <w:p w14:paraId="3B641903">
                  <w:pPr>
                    <w:adjustRightInd w:val="0"/>
                    <w:snapToGrid w:val="0"/>
                    <w:spacing w:line="360" w:lineRule="exact"/>
                    <w:jc w:val="center"/>
                    <w:rPr>
                      <w:rFonts w:hint="default" w:ascii="Times New Roman" w:hAnsi="Times New Roman" w:eastAsia="宋体" w:cs="Times New Roman"/>
                      <w:b/>
                      <w:bCs/>
                      <w:color w:val="auto"/>
                      <w:szCs w:val="21"/>
                      <w:lang w:val="en-US" w:eastAsia="zh-CN"/>
                    </w:rPr>
                  </w:pPr>
                  <w:r>
                    <w:rPr>
                      <w:rFonts w:hint="eastAsia" w:ascii="Times New Roman" w:hAnsi="Times New Roman" w:eastAsia="宋体" w:cs="Times New Roman"/>
                      <w:b/>
                      <w:bCs/>
                      <w:color w:val="auto"/>
                      <w:szCs w:val="21"/>
                      <w:lang w:val="en-US" w:eastAsia="zh-CN"/>
                    </w:rPr>
                    <w:t>报告表</w:t>
                  </w:r>
                </w:p>
              </w:tc>
              <w:tc>
                <w:tcPr>
                  <w:tcW w:w="686" w:type="pct"/>
                  <w:shd w:val="clear" w:color="auto" w:fill="auto"/>
                  <w:vAlign w:val="center"/>
                </w:tcPr>
                <w:p w14:paraId="7FFBCFB6">
                  <w:pPr>
                    <w:adjustRightInd w:val="0"/>
                    <w:snapToGrid w:val="0"/>
                    <w:spacing w:line="360" w:lineRule="exact"/>
                    <w:jc w:val="center"/>
                    <w:rPr>
                      <w:rFonts w:hint="eastAsia" w:ascii="Times New Roman" w:hAnsi="Times New Roman" w:eastAsia="宋体" w:cs="Times New Roman"/>
                      <w:b/>
                      <w:bCs/>
                      <w:color w:val="auto"/>
                      <w:szCs w:val="21"/>
                      <w:lang w:val="en-US" w:eastAsia="zh-CN"/>
                    </w:rPr>
                  </w:pPr>
                  <w:r>
                    <w:rPr>
                      <w:rFonts w:hint="eastAsia" w:ascii="Times New Roman" w:hAnsi="Times New Roman" w:eastAsia="宋体" w:cs="Times New Roman"/>
                      <w:b/>
                      <w:bCs/>
                      <w:color w:val="auto"/>
                      <w:szCs w:val="21"/>
                      <w:lang w:val="en-US" w:eastAsia="zh-CN"/>
                    </w:rPr>
                    <w:t>编制类别</w:t>
                  </w:r>
                </w:p>
              </w:tc>
            </w:tr>
            <w:tr w14:paraId="4022FC4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10" w:hRule="atLeast"/>
                <w:jc w:val="center"/>
              </w:trPr>
              <w:tc>
                <w:tcPr>
                  <w:tcW w:w="5000" w:type="pct"/>
                  <w:gridSpan w:val="5"/>
                  <w:shd w:val="clear" w:color="auto" w:fill="auto"/>
                  <w:vAlign w:val="center"/>
                </w:tcPr>
                <w:p w14:paraId="5F11FF47">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ascii="Times New Roman" w:hAnsi="Times New Roman" w:cs="Times New Roman"/>
                      <w:color w:val="auto"/>
                    </w:rPr>
                  </w:pPr>
                  <w:r>
                    <w:rPr>
                      <w:rFonts w:hint="default" w:ascii="Times New Roman" w:hAnsi="Times New Roman" w:cs="Times New Roman"/>
                      <w:b/>
                      <w:bCs/>
                      <w:color w:val="auto"/>
                      <w:lang w:val="en-US" w:eastAsia="zh-CN"/>
                    </w:rPr>
                    <w:t>二十六、橡胶和塑料制品业 29</w:t>
                  </w:r>
                </w:p>
              </w:tc>
            </w:tr>
            <w:tr w14:paraId="3E40E0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04" w:type="pct"/>
                  <w:vAlign w:val="center"/>
                </w:tcPr>
                <w:p w14:paraId="30A316AE">
                  <w:pPr>
                    <w:adjustRightInd w:val="0"/>
                    <w:snapToGrid w:val="0"/>
                    <w:spacing w:line="360" w:lineRule="exact"/>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 xml:space="preserve">52 </w:t>
                  </w:r>
                </w:p>
              </w:tc>
              <w:tc>
                <w:tcPr>
                  <w:tcW w:w="1032" w:type="pct"/>
                  <w:vAlign w:val="center"/>
                </w:tcPr>
                <w:p w14:paraId="48656E56">
                  <w:pPr>
                    <w:keepNext w:val="0"/>
                    <w:keepLines w:val="0"/>
                    <w:pageBreakBefore w:val="0"/>
                    <w:widowControl w:val="0"/>
                    <w:kinsoku/>
                    <w:wordWrap w:val="0"/>
                    <w:overflowPunct/>
                    <w:topLinePunct w:val="0"/>
                    <w:autoSpaceDE/>
                    <w:autoSpaceDN/>
                    <w:bidi w:val="0"/>
                    <w:adjustRightInd w:val="0"/>
                    <w:snapToGrid w:val="0"/>
                    <w:spacing w:line="360" w:lineRule="exact"/>
                    <w:jc w:val="center"/>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橡胶制品业 291</w:t>
                  </w:r>
                </w:p>
              </w:tc>
              <w:tc>
                <w:tcPr>
                  <w:tcW w:w="1400" w:type="pct"/>
                  <w:vAlign w:val="center"/>
                </w:tcPr>
                <w:p w14:paraId="4F314CE5">
                  <w:pPr>
                    <w:adjustRightInd w:val="0"/>
                    <w:snapToGrid w:val="0"/>
                    <w:spacing w:line="360" w:lineRule="exact"/>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轮胎制造；再生橡胶制造（常压连续脱硫工艺除外）</w:t>
                  </w:r>
                </w:p>
              </w:tc>
              <w:tc>
                <w:tcPr>
                  <w:tcW w:w="1677" w:type="pct"/>
                  <w:shd w:val="clear" w:color="auto" w:fill="auto"/>
                  <w:vAlign w:val="center"/>
                </w:tcPr>
                <w:p w14:paraId="4412B70F">
                  <w:pPr>
                    <w:adjustRightInd w:val="0"/>
                    <w:snapToGrid w:val="0"/>
                    <w:spacing w:line="360" w:lineRule="exact"/>
                    <w:jc w:val="center"/>
                    <w:rPr>
                      <w:rFonts w:hint="eastAsia" w:ascii="Times New Roman" w:hAnsi="Times New Roman" w:eastAsia="宋体" w:cs="Times New Roman"/>
                      <w:color w:val="auto"/>
                      <w:kern w:val="2"/>
                      <w:sz w:val="21"/>
                      <w:szCs w:val="24"/>
                      <w:lang w:val="en-US" w:eastAsia="zh-CN" w:bidi="ar-SA"/>
                    </w:rPr>
                  </w:pPr>
                  <w:r>
                    <w:rPr>
                      <w:rFonts w:hint="eastAsia" w:ascii="Times New Roman" w:hAnsi="Times New Roman" w:cs="Times New Roman"/>
                      <w:color w:val="auto"/>
                      <w:shd w:val="clear" w:fill="BEBEBE" w:themeFill="background1" w:themeFillShade="BF"/>
                      <w:lang w:val="en-US" w:eastAsia="zh-CN"/>
                    </w:rPr>
                    <w:t>其他</w:t>
                  </w:r>
                </w:p>
              </w:tc>
              <w:tc>
                <w:tcPr>
                  <w:tcW w:w="686" w:type="pct"/>
                  <w:shd w:val="clear" w:color="auto" w:fill="auto"/>
                  <w:vAlign w:val="center"/>
                </w:tcPr>
                <w:p w14:paraId="3ADDB69B">
                  <w:pPr>
                    <w:adjustRightInd w:val="0"/>
                    <w:snapToGrid w:val="0"/>
                    <w:spacing w:line="360" w:lineRule="exact"/>
                    <w:jc w:val="center"/>
                    <w:rPr>
                      <w:rFonts w:hint="eastAsia" w:ascii="Times New Roman" w:hAnsi="Times New Roman" w:eastAsia="宋体" w:cs="Times New Roman"/>
                      <w:color w:val="auto"/>
                      <w:kern w:val="2"/>
                      <w:sz w:val="21"/>
                      <w:szCs w:val="24"/>
                      <w:lang w:val="en-US" w:eastAsia="zh-CN" w:bidi="ar-SA"/>
                    </w:rPr>
                  </w:pPr>
                  <w:r>
                    <w:rPr>
                      <w:rFonts w:ascii="Times New Roman" w:hAnsi="Times New Roman" w:cs="Times New Roman"/>
                      <w:color w:val="auto"/>
                    </w:rPr>
                    <w:t>报告表</w:t>
                  </w:r>
                </w:p>
              </w:tc>
            </w:tr>
            <w:tr w14:paraId="5B1D80A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000" w:type="pct"/>
                  <w:gridSpan w:val="5"/>
                  <w:vAlign w:val="center"/>
                </w:tcPr>
                <w:p w14:paraId="6D74E7C1">
                  <w:pPr>
                    <w:adjustRightInd w:val="0"/>
                    <w:snapToGrid w:val="0"/>
                    <w:spacing w:line="360" w:lineRule="exact"/>
                    <w:jc w:val="left"/>
                    <w:rPr>
                      <w:rFonts w:ascii="Times New Roman" w:hAnsi="Times New Roman" w:cs="Times New Roman"/>
                      <w:color w:val="auto"/>
                    </w:rPr>
                  </w:pPr>
                  <w:r>
                    <w:rPr>
                      <w:rFonts w:hint="default" w:ascii="Times New Roman" w:hAnsi="Times New Roman" w:cs="Times New Roman"/>
                      <w:b/>
                      <w:bCs/>
                      <w:color w:val="auto"/>
                      <w:lang w:val="en-US" w:eastAsia="zh-CN"/>
                    </w:rPr>
                    <w:t>三十六、计算机、通信和其他电子设备制造业 39</w:t>
                  </w:r>
                </w:p>
              </w:tc>
            </w:tr>
            <w:tr w14:paraId="52B661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04" w:type="pct"/>
                  <w:vAlign w:val="center"/>
                </w:tcPr>
                <w:p w14:paraId="24C027BF">
                  <w:pPr>
                    <w:adjustRightInd w:val="0"/>
                    <w:snapToGrid w:val="0"/>
                    <w:spacing w:line="360" w:lineRule="exact"/>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81</w:t>
                  </w:r>
                </w:p>
              </w:tc>
              <w:tc>
                <w:tcPr>
                  <w:tcW w:w="1032" w:type="pct"/>
                  <w:vAlign w:val="center"/>
                </w:tcPr>
                <w:p w14:paraId="39EE274F">
                  <w:pPr>
                    <w:keepNext w:val="0"/>
                    <w:keepLines w:val="0"/>
                    <w:pageBreakBefore w:val="0"/>
                    <w:widowControl w:val="0"/>
                    <w:kinsoku/>
                    <w:wordWrap w:val="0"/>
                    <w:overflowPunct/>
                    <w:topLinePunct w:val="0"/>
                    <w:autoSpaceDE/>
                    <w:autoSpaceDN/>
                    <w:bidi w:val="0"/>
                    <w:adjustRightInd w:val="0"/>
                    <w:snapToGrid w:val="0"/>
                    <w:spacing w:line="360" w:lineRule="exact"/>
                    <w:jc w:val="center"/>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电子元件及电子专用材料制造 398</w:t>
                  </w:r>
                </w:p>
              </w:tc>
              <w:tc>
                <w:tcPr>
                  <w:tcW w:w="1400" w:type="pct"/>
                  <w:vAlign w:val="center"/>
                </w:tcPr>
                <w:p w14:paraId="160577E2">
                  <w:pPr>
                    <w:adjustRightInd w:val="0"/>
                    <w:snapToGrid w:val="0"/>
                    <w:spacing w:line="360" w:lineRule="exact"/>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半导体材料制造；电子化工材料制造</w:t>
                  </w:r>
                </w:p>
              </w:tc>
              <w:tc>
                <w:tcPr>
                  <w:tcW w:w="1677" w:type="pct"/>
                  <w:vAlign w:val="center"/>
                </w:tcPr>
                <w:p w14:paraId="55FC24A3">
                  <w:pPr>
                    <w:adjustRightInd w:val="0"/>
                    <w:snapToGrid w:val="0"/>
                    <w:spacing w:line="360" w:lineRule="exact"/>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印刷电路板制造；</w:t>
                  </w:r>
                  <w:r>
                    <w:rPr>
                      <w:rFonts w:hint="eastAsia" w:ascii="Times New Roman" w:hAnsi="Times New Roman" w:cs="Times New Roman"/>
                      <w:color w:val="auto"/>
                      <w:shd w:val="clear" w:fill="A4A4A4" w:themeFill="background1" w:themeFillShade="A5"/>
                      <w:lang w:val="en-US" w:eastAsia="zh-CN"/>
                    </w:rPr>
                    <w:t>电子专用材料制造（电子化工材料制造除外）</w:t>
                  </w:r>
                  <w:r>
                    <w:rPr>
                      <w:rFonts w:hint="eastAsia" w:ascii="Times New Roman" w:hAnsi="Times New Roman" w:cs="Times New Roman"/>
                      <w:color w:val="auto"/>
                      <w:lang w:val="en-US" w:eastAsia="zh-CN"/>
                    </w:rPr>
                    <w:t>；使用有机溶剂的；有酸洗的以上均不含仅分割、焊接、组装的</w:t>
                  </w:r>
                </w:p>
              </w:tc>
              <w:tc>
                <w:tcPr>
                  <w:tcW w:w="686" w:type="pct"/>
                  <w:vAlign w:val="center"/>
                </w:tcPr>
                <w:p w14:paraId="21F33083">
                  <w:pPr>
                    <w:adjustRightInd w:val="0"/>
                    <w:snapToGrid w:val="0"/>
                    <w:spacing w:line="360" w:lineRule="exact"/>
                    <w:jc w:val="center"/>
                    <w:rPr>
                      <w:rFonts w:ascii="Times New Roman" w:hAnsi="Times New Roman" w:cs="Times New Roman"/>
                      <w:color w:val="auto"/>
                    </w:rPr>
                  </w:pPr>
                  <w:r>
                    <w:rPr>
                      <w:rFonts w:ascii="Times New Roman" w:hAnsi="Times New Roman" w:cs="Times New Roman"/>
                      <w:color w:val="auto"/>
                    </w:rPr>
                    <w:t>报告表</w:t>
                  </w:r>
                </w:p>
              </w:tc>
            </w:tr>
          </w:tbl>
          <w:p w14:paraId="58A14BFC">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jc w:val="left"/>
              <w:textAlignment w:val="auto"/>
              <w:outlineLvl w:val="9"/>
              <w:rPr>
                <w:rFonts w:hint="eastAsia" w:cs="Times New Roman"/>
                <w:b w:val="0"/>
                <w:bCs w:val="0"/>
                <w:color w:val="auto"/>
                <w:sz w:val="22"/>
                <w:szCs w:val="22"/>
                <w:lang w:val="en-US" w:eastAsia="zh-CN"/>
              </w:rPr>
            </w:pPr>
            <w:r>
              <w:rPr>
                <w:rFonts w:hint="eastAsia" w:cs="Times New Roman"/>
                <w:b w:val="0"/>
                <w:bCs w:val="0"/>
                <w:color w:val="auto"/>
                <w:sz w:val="22"/>
                <w:szCs w:val="22"/>
                <w:lang w:val="en-US" w:eastAsia="zh-CN"/>
              </w:rPr>
              <w:t>根据上表可知本项目应编制环境影响报告表。环评编制单位接受委托后，环评工作组进行了实地踏勘和资料收集，在工程分析的基础上，编制了本环境影响报告表。</w:t>
            </w:r>
          </w:p>
          <w:p w14:paraId="7CA49961">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2.</w:t>
            </w:r>
            <w:r>
              <w:rPr>
                <w:rFonts w:hint="default" w:ascii="Times New Roman" w:hAnsi="Times New Roman" w:eastAsia="宋体" w:cs="Times New Roman"/>
                <w:b/>
                <w:bCs/>
                <w:color w:val="auto"/>
                <w:sz w:val="22"/>
                <w:szCs w:val="22"/>
                <w:lang w:val="en-US" w:eastAsia="zh-CN"/>
              </w:rPr>
              <w:t>项目建设内容及规模</w:t>
            </w:r>
          </w:p>
          <w:p w14:paraId="24510997">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项目名称：高分子半导电胶辊生产线技改项目；</w:t>
            </w:r>
          </w:p>
          <w:p w14:paraId="41873E04">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总投资：</w:t>
            </w:r>
            <w:r>
              <w:rPr>
                <w:rFonts w:hint="eastAsia" w:cs="Times New Roman"/>
                <w:color w:val="auto"/>
                <w:sz w:val="22"/>
                <w:szCs w:val="22"/>
                <w:lang w:val="en-US" w:eastAsia="zh-CN"/>
              </w:rPr>
              <w:t>45</w:t>
            </w:r>
            <w:r>
              <w:rPr>
                <w:rFonts w:hint="default" w:ascii="Times New Roman" w:hAnsi="Times New Roman" w:eastAsia="宋体" w:cs="Times New Roman"/>
                <w:color w:val="auto"/>
                <w:sz w:val="22"/>
                <w:szCs w:val="22"/>
                <w:lang w:val="en-US" w:eastAsia="zh-CN"/>
              </w:rPr>
              <w:t>00万元，其中环保投资1</w:t>
            </w:r>
            <w:r>
              <w:rPr>
                <w:rFonts w:hint="eastAsia"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0万元，占总投资比例</w:t>
            </w:r>
            <w:r>
              <w:rPr>
                <w:rFonts w:hint="eastAsia" w:cs="Times New Roman"/>
                <w:color w:val="auto"/>
                <w:sz w:val="22"/>
                <w:szCs w:val="22"/>
                <w:lang w:val="en-US" w:eastAsia="zh-CN"/>
              </w:rPr>
              <w:t>3.56</w:t>
            </w:r>
            <w:r>
              <w:rPr>
                <w:rFonts w:hint="default" w:ascii="Times New Roman" w:hAnsi="Times New Roman" w:eastAsia="宋体" w:cs="Times New Roman"/>
                <w:color w:val="auto"/>
                <w:sz w:val="22"/>
                <w:szCs w:val="22"/>
                <w:lang w:val="en-US" w:eastAsia="zh-CN"/>
              </w:rPr>
              <w:t>%；</w:t>
            </w:r>
          </w:p>
          <w:p w14:paraId="6165107A">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建设性质：</w:t>
            </w:r>
            <w:r>
              <w:rPr>
                <w:rFonts w:hint="eastAsia" w:ascii="Times New Roman" w:hAnsi="Times New Roman" w:eastAsia="宋体" w:cs="Times New Roman"/>
                <w:color w:val="auto"/>
                <w:sz w:val="22"/>
                <w:szCs w:val="22"/>
                <w:lang w:val="en-US" w:eastAsia="zh-CN"/>
              </w:rPr>
              <w:t>技改项目</w:t>
            </w:r>
            <w:r>
              <w:rPr>
                <w:rFonts w:hint="default" w:ascii="Times New Roman" w:hAnsi="Times New Roman" w:eastAsia="宋体" w:cs="Times New Roman"/>
                <w:color w:val="auto"/>
                <w:sz w:val="22"/>
                <w:szCs w:val="22"/>
                <w:lang w:val="en-US" w:eastAsia="zh-CN"/>
              </w:rPr>
              <w:t>；</w:t>
            </w:r>
          </w:p>
          <w:p w14:paraId="7FB9B3D7">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工作时数：年工作300天，</w:t>
            </w:r>
            <w:r>
              <w:rPr>
                <w:rFonts w:hint="default" w:ascii="Times New Roman" w:hAnsi="Times New Roman" w:eastAsia="宋体" w:cs="Times New Roman"/>
                <w:color w:val="auto"/>
                <w:w w:val="100"/>
                <w:sz w:val="22"/>
                <w:szCs w:val="22"/>
              </w:rPr>
              <w:t>实行两班制，每班工作</w:t>
            </w:r>
            <w:r>
              <w:rPr>
                <w:rFonts w:hint="eastAsia" w:cs="Times New Roman"/>
                <w:color w:val="auto"/>
                <w:w w:val="100"/>
                <w:sz w:val="22"/>
                <w:szCs w:val="22"/>
                <w:lang w:val="en-US" w:eastAsia="zh-CN"/>
              </w:rPr>
              <w:t>12</w:t>
            </w:r>
            <w:r>
              <w:rPr>
                <w:rFonts w:hint="default" w:ascii="Times New Roman" w:hAnsi="Times New Roman" w:eastAsia="宋体" w:cs="Times New Roman"/>
                <w:color w:val="auto"/>
                <w:w w:val="100"/>
                <w:sz w:val="22"/>
                <w:szCs w:val="22"/>
              </w:rPr>
              <w:t>h，年生产时间约为</w:t>
            </w:r>
            <w:r>
              <w:rPr>
                <w:rFonts w:hint="eastAsia" w:cs="Times New Roman"/>
                <w:color w:val="auto"/>
                <w:w w:val="100"/>
                <w:sz w:val="22"/>
                <w:szCs w:val="22"/>
                <w:lang w:val="en-US" w:eastAsia="zh-CN"/>
              </w:rPr>
              <w:t>72</w:t>
            </w:r>
            <w:r>
              <w:rPr>
                <w:rFonts w:hint="default" w:ascii="Times New Roman" w:hAnsi="Times New Roman" w:eastAsia="宋体" w:cs="Times New Roman"/>
                <w:color w:val="auto"/>
                <w:w w:val="100"/>
                <w:sz w:val="22"/>
                <w:szCs w:val="22"/>
                <w:lang w:val="en-US" w:eastAsia="zh-CN"/>
              </w:rPr>
              <w:t>0</w:t>
            </w:r>
            <w:r>
              <w:rPr>
                <w:rFonts w:hint="default" w:ascii="Times New Roman" w:hAnsi="Times New Roman" w:eastAsia="宋体" w:cs="Times New Roman"/>
                <w:color w:val="auto"/>
                <w:w w:val="100"/>
                <w:sz w:val="22"/>
                <w:szCs w:val="22"/>
              </w:rPr>
              <w:t>0h</w:t>
            </w:r>
            <w:r>
              <w:rPr>
                <w:rFonts w:hint="default" w:ascii="Times New Roman" w:hAnsi="Times New Roman" w:eastAsia="宋体" w:cs="Times New Roman"/>
                <w:color w:val="auto"/>
                <w:sz w:val="22"/>
                <w:szCs w:val="22"/>
                <w:lang w:val="en-US" w:eastAsia="zh-CN"/>
              </w:rPr>
              <w:t>；</w:t>
            </w:r>
          </w:p>
          <w:p w14:paraId="7A99CDDA">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职工人数：员工</w:t>
            </w:r>
            <w:r>
              <w:rPr>
                <w:rFonts w:hint="eastAsia" w:cs="Times New Roman"/>
                <w:color w:val="auto"/>
                <w:sz w:val="22"/>
                <w:szCs w:val="22"/>
                <w:lang w:val="en-US" w:eastAsia="zh-CN"/>
              </w:rPr>
              <w:t>1</w:t>
            </w:r>
            <w:r>
              <w:rPr>
                <w:rFonts w:hint="default" w:ascii="Times New Roman" w:hAnsi="Times New Roman" w:eastAsia="宋体" w:cs="Times New Roman"/>
                <w:color w:val="auto"/>
                <w:sz w:val="22"/>
                <w:szCs w:val="22"/>
                <w:lang w:val="en-US" w:eastAsia="zh-CN"/>
              </w:rPr>
              <w:t>00人；</w:t>
            </w:r>
          </w:p>
          <w:p w14:paraId="48D28564">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建设规模：</w:t>
            </w:r>
            <w:r>
              <w:rPr>
                <w:rFonts w:hint="eastAsia" w:cs="Times New Roman"/>
                <w:color w:val="auto"/>
                <w:w w:val="100"/>
                <w:sz w:val="22"/>
                <w:szCs w:val="22"/>
                <w:lang w:eastAsia="zh-CN"/>
              </w:rPr>
              <w:t>年产</w:t>
            </w:r>
            <w:r>
              <w:rPr>
                <w:rFonts w:hint="eastAsia" w:cs="Times New Roman"/>
                <w:color w:val="auto"/>
                <w:w w:val="100"/>
                <w:sz w:val="22"/>
                <w:szCs w:val="22"/>
                <w:lang w:val="en-US" w:eastAsia="zh-CN"/>
              </w:rPr>
              <w:t>100万条高分子纳米增强型橡胶条，</w:t>
            </w:r>
            <w:r>
              <w:rPr>
                <w:rFonts w:hint="default" w:ascii="Times New Roman" w:hAnsi="Times New Roman" w:eastAsia="宋体" w:cs="Times New Roman"/>
                <w:color w:val="auto"/>
                <w:sz w:val="22"/>
                <w:szCs w:val="22"/>
                <w:lang w:val="en-US" w:eastAsia="zh-CN"/>
              </w:rPr>
              <w:t>年产</w:t>
            </w:r>
            <w:r>
              <w:rPr>
                <w:rFonts w:hint="default" w:ascii="Times New Roman" w:hAnsi="Times New Roman" w:eastAsia="宋体" w:cs="Times New Roman"/>
                <w:color w:val="auto"/>
                <w:w w:val="100"/>
                <w:sz w:val="22"/>
                <w:szCs w:val="22"/>
                <w:lang w:val="en-US" w:eastAsia="zh-CN"/>
              </w:rPr>
              <w:t>1800万支</w:t>
            </w:r>
            <w:r>
              <w:rPr>
                <w:rFonts w:hint="eastAsia" w:cs="Times New Roman"/>
                <w:b w:val="0"/>
                <w:bCs w:val="0"/>
                <w:color w:val="auto"/>
                <w:sz w:val="22"/>
                <w:szCs w:val="22"/>
                <w:lang w:val="en-US" w:eastAsia="zh-CN"/>
              </w:rPr>
              <w:t>高分子半导电胶辊</w:t>
            </w:r>
            <w:r>
              <w:rPr>
                <w:rFonts w:hint="default" w:ascii="Times New Roman" w:hAnsi="Times New Roman" w:eastAsia="宋体" w:cs="Times New Roman"/>
                <w:color w:val="auto"/>
                <w:sz w:val="22"/>
                <w:szCs w:val="22"/>
                <w:lang w:val="en-US" w:eastAsia="zh-CN"/>
              </w:rPr>
              <w:t>。</w:t>
            </w:r>
          </w:p>
          <w:p w14:paraId="6666991E">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公用及辅助工程见表2-</w:t>
            </w:r>
            <w:r>
              <w:rPr>
                <w:rFonts w:hint="eastAsia" w:cs="Times New Roman"/>
                <w:color w:val="auto"/>
                <w:sz w:val="22"/>
                <w:szCs w:val="22"/>
                <w:lang w:val="en-US" w:eastAsia="zh-CN"/>
              </w:rPr>
              <w:t>2</w:t>
            </w:r>
            <w:r>
              <w:rPr>
                <w:rFonts w:hint="default" w:ascii="Times New Roman" w:hAnsi="Times New Roman" w:eastAsia="宋体" w:cs="Times New Roman"/>
                <w:color w:val="auto"/>
                <w:sz w:val="22"/>
                <w:szCs w:val="22"/>
                <w:lang w:val="en-US" w:eastAsia="zh-CN"/>
              </w:rPr>
              <w:t>。</w:t>
            </w:r>
          </w:p>
          <w:p w14:paraId="56FE0964">
            <w:pPr>
              <w:pStyle w:val="34"/>
              <w:keepNext w:val="0"/>
              <w:keepLines w:val="0"/>
              <w:pageBreakBefore w:val="0"/>
              <w:widowControl w:val="0"/>
              <w:kinsoku/>
              <w:wordWrap/>
              <w:overflowPunct/>
              <w:topLinePunct w:val="0"/>
              <w:autoSpaceDE w:val="0"/>
              <w:autoSpaceDN w:val="0"/>
              <w:bidi w:val="0"/>
              <w:adjustRightInd/>
              <w:snapToGrid/>
              <w:spacing w:line="500" w:lineRule="exact"/>
              <w:ind w:left="0" w:firstLine="442" w:firstLineChars="200"/>
              <w:jc w:val="center"/>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表2-</w:t>
            </w:r>
            <w:r>
              <w:rPr>
                <w:rFonts w:hint="eastAsia" w:ascii="Times New Roman" w:cs="Times New Roman"/>
                <w:color w:val="auto"/>
                <w:sz w:val="22"/>
                <w:szCs w:val="22"/>
                <w:lang w:val="en-US" w:eastAsia="zh-CN"/>
              </w:rPr>
              <w:t>2</w:t>
            </w:r>
            <w:r>
              <w:rPr>
                <w:rFonts w:hint="default" w:ascii="Times New Roman" w:hAnsi="Times New Roman" w:eastAsia="宋体" w:cs="Times New Roman"/>
                <w:color w:val="auto"/>
                <w:sz w:val="22"/>
                <w:szCs w:val="22"/>
                <w:lang w:val="en-US" w:eastAsia="zh-CN"/>
              </w:rPr>
              <w:t xml:space="preserve">  </w:t>
            </w:r>
            <w:r>
              <w:rPr>
                <w:rFonts w:hint="default" w:ascii="Times New Roman" w:hAnsi="Times New Roman" w:eastAsia="宋体" w:cs="Times New Roman"/>
                <w:color w:val="auto"/>
                <w:sz w:val="22"/>
                <w:szCs w:val="22"/>
              </w:rPr>
              <w:t>项目公用与辅助工程一览表</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autofit"/>
              <w:tblCellMar>
                <w:top w:w="0" w:type="dxa"/>
                <w:left w:w="108" w:type="dxa"/>
                <w:bottom w:w="0" w:type="dxa"/>
                <w:right w:w="108" w:type="dxa"/>
              </w:tblCellMar>
            </w:tblPr>
            <w:tblGrid>
              <w:gridCol w:w="678"/>
              <w:gridCol w:w="1039"/>
              <w:gridCol w:w="2555"/>
              <w:gridCol w:w="2344"/>
              <w:gridCol w:w="2399"/>
            </w:tblGrid>
            <w:tr w14:paraId="1E7484B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PrEx>
              <w:trPr>
                <w:trHeight w:val="442" w:hRule="atLeast"/>
                <w:jc w:val="center"/>
              </w:trPr>
              <w:tc>
                <w:tcPr>
                  <w:tcW w:w="376" w:type="pct"/>
                  <w:vMerge w:val="restart"/>
                  <w:noWrap w:val="0"/>
                  <w:tcMar>
                    <w:top w:w="0" w:type="dxa"/>
                    <w:left w:w="57" w:type="dxa"/>
                    <w:right w:w="57" w:type="dxa"/>
                  </w:tcMar>
                  <w:vAlign w:val="center"/>
                </w:tcPr>
                <w:p w14:paraId="5B40581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类别</w:t>
                  </w:r>
                </w:p>
              </w:tc>
              <w:tc>
                <w:tcPr>
                  <w:tcW w:w="576" w:type="pct"/>
                  <w:vMerge w:val="restart"/>
                  <w:noWrap w:val="0"/>
                  <w:tcMar>
                    <w:top w:w="0" w:type="dxa"/>
                    <w:left w:w="57" w:type="dxa"/>
                    <w:right w:w="57" w:type="dxa"/>
                  </w:tcMar>
                  <w:vAlign w:val="center"/>
                </w:tcPr>
                <w:p w14:paraId="79CBFA98">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建设名称</w:t>
                  </w:r>
                </w:p>
              </w:tc>
              <w:tc>
                <w:tcPr>
                  <w:tcW w:w="4047" w:type="pct"/>
                  <w:gridSpan w:val="3"/>
                  <w:noWrap w:val="0"/>
                  <w:tcMar>
                    <w:top w:w="0" w:type="dxa"/>
                    <w:left w:w="57" w:type="dxa"/>
                    <w:right w:w="57" w:type="dxa"/>
                  </w:tcMar>
                  <w:vAlign w:val="center"/>
                </w:tcPr>
                <w:p w14:paraId="57177AF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设计能力</w:t>
                  </w:r>
                </w:p>
              </w:tc>
            </w:tr>
            <w:tr w14:paraId="5FF3DFA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4D2252C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rPr>
                  </w:pPr>
                </w:p>
              </w:tc>
              <w:tc>
                <w:tcPr>
                  <w:tcW w:w="576" w:type="pct"/>
                  <w:vMerge w:val="continue"/>
                  <w:noWrap w:val="0"/>
                  <w:tcMar>
                    <w:top w:w="0" w:type="dxa"/>
                    <w:left w:w="57" w:type="dxa"/>
                    <w:right w:w="57" w:type="dxa"/>
                  </w:tcMar>
                  <w:vAlign w:val="center"/>
                </w:tcPr>
                <w:p w14:paraId="47D0BA9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rPr>
                  </w:pPr>
                </w:p>
              </w:tc>
              <w:tc>
                <w:tcPr>
                  <w:tcW w:w="1417" w:type="pct"/>
                  <w:noWrap w:val="0"/>
                  <w:tcMar>
                    <w:top w:w="0" w:type="dxa"/>
                    <w:left w:w="57" w:type="dxa"/>
                    <w:right w:w="57" w:type="dxa"/>
                  </w:tcMar>
                  <w:vAlign w:val="center"/>
                </w:tcPr>
                <w:p w14:paraId="6D56FC02">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lang w:eastAsia="zh-CN"/>
                    </w:rPr>
                  </w:pPr>
                  <w:r>
                    <w:rPr>
                      <w:rFonts w:hint="eastAsia" w:ascii="Times New Roman" w:hAnsi="Times New Roman" w:eastAsia="宋体" w:cs="Times New Roman"/>
                      <w:b/>
                      <w:bCs w:val="0"/>
                      <w:color w:val="auto"/>
                      <w:w w:val="100"/>
                      <w:sz w:val="21"/>
                      <w:szCs w:val="21"/>
                      <w:highlight w:val="none"/>
                      <w:lang w:eastAsia="zh-CN"/>
                    </w:rPr>
                    <w:t>现有</w:t>
                  </w:r>
                  <w:r>
                    <w:rPr>
                      <w:rFonts w:hint="default" w:ascii="Times New Roman" w:hAnsi="Times New Roman" w:eastAsia="宋体" w:cs="Times New Roman"/>
                      <w:b/>
                      <w:bCs w:val="0"/>
                      <w:color w:val="auto"/>
                      <w:w w:val="100"/>
                      <w:sz w:val="21"/>
                      <w:szCs w:val="21"/>
                      <w:highlight w:val="none"/>
                      <w:lang w:eastAsia="zh-CN"/>
                    </w:rPr>
                    <w:t>项目</w:t>
                  </w:r>
                </w:p>
              </w:tc>
              <w:tc>
                <w:tcPr>
                  <w:tcW w:w="1300" w:type="pct"/>
                  <w:noWrap w:val="0"/>
                  <w:tcMar>
                    <w:top w:w="0" w:type="dxa"/>
                    <w:left w:w="57" w:type="dxa"/>
                    <w:right w:w="57" w:type="dxa"/>
                  </w:tcMar>
                  <w:vAlign w:val="center"/>
                </w:tcPr>
                <w:p w14:paraId="35E29A0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lang w:eastAsia="zh-CN"/>
                    </w:rPr>
                  </w:pPr>
                  <w:r>
                    <w:rPr>
                      <w:rFonts w:hint="eastAsia" w:ascii="Times New Roman" w:hAnsi="Times New Roman" w:eastAsia="宋体" w:cs="Times New Roman"/>
                      <w:b/>
                      <w:bCs w:val="0"/>
                      <w:color w:val="auto"/>
                      <w:w w:val="100"/>
                      <w:sz w:val="21"/>
                      <w:szCs w:val="21"/>
                      <w:highlight w:val="none"/>
                      <w:lang w:eastAsia="zh-CN"/>
                    </w:rPr>
                    <w:t>技改项目</w:t>
                  </w:r>
                </w:p>
              </w:tc>
              <w:tc>
                <w:tcPr>
                  <w:tcW w:w="1330" w:type="pct"/>
                  <w:noWrap w:val="0"/>
                  <w:tcMar>
                    <w:top w:w="0" w:type="dxa"/>
                    <w:left w:w="57" w:type="dxa"/>
                    <w:right w:w="57" w:type="dxa"/>
                  </w:tcMar>
                  <w:vAlign w:val="center"/>
                </w:tcPr>
                <w:p w14:paraId="3CD9FF8A">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bCs w:val="0"/>
                      <w:color w:val="auto"/>
                      <w:w w:val="100"/>
                      <w:sz w:val="21"/>
                      <w:szCs w:val="21"/>
                      <w:highlight w:val="none"/>
                      <w:lang w:eastAsia="zh-CN"/>
                    </w:rPr>
                  </w:pPr>
                  <w:r>
                    <w:rPr>
                      <w:rFonts w:hint="default" w:ascii="Times New Roman" w:hAnsi="Times New Roman" w:eastAsia="宋体" w:cs="Times New Roman"/>
                      <w:b/>
                      <w:bCs w:val="0"/>
                      <w:color w:val="auto"/>
                      <w:w w:val="100"/>
                      <w:sz w:val="21"/>
                      <w:szCs w:val="21"/>
                      <w:highlight w:val="none"/>
                      <w:lang w:eastAsia="zh-CN"/>
                    </w:rPr>
                    <w:t>全厂</w:t>
                  </w:r>
                </w:p>
              </w:tc>
            </w:tr>
            <w:tr w14:paraId="1C51031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restart"/>
                  <w:noWrap w:val="0"/>
                  <w:tcMar>
                    <w:top w:w="0" w:type="dxa"/>
                    <w:left w:w="57" w:type="dxa"/>
                    <w:right w:w="57" w:type="dxa"/>
                  </w:tcMar>
                  <w:vAlign w:val="center"/>
                </w:tcPr>
                <w:p w14:paraId="002EA1FD">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主体工程</w:t>
                  </w:r>
                </w:p>
              </w:tc>
              <w:tc>
                <w:tcPr>
                  <w:tcW w:w="576" w:type="pct"/>
                  <w:noWrap w:val="0"/>
                  <w:tcMar>
                    <w:top w:w="0" w:type="dxa"/>
                    <w:left w:w="57" w:type="dxa"/>
                    <w:right w:w="57" w:type="dxa"/>
                  </w:tcMar>
                  <w:vAlign w:val="center"/>
                </w:tcPr>
                <w:p w14:paraId="4B451E7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val="en-US"/>
                    </w:rPr>
                  </w:pPr>
                  <w:r>
                    <w:rPr>
                      <w:rFonts w:hint="default" w:ascii="Times New Roman" w:hAnsi="Times New Roman" w:eastAsia="宋体" w:cs="Times New Roman"/>
                      <w:b w:val="0"/>
                      <w:bCs/>
                      <w:color w:val="auto"/>
                      <w:w w:val="100"/>
                      <w:sz w:val="21"/>
                      <w:szCs w:val="21"/>
                      <w:highlight w:val="none"/>
                      <w:lang w:val="en-US" w:eastAsia="zh-CN"/>
                    </w:rPr>
                    <w:t>1#厂房</w:t>
                  </w:r>
                </w:p>
              </w:tc>
              <w:tc>
                <w:tcPr>
                  <w:tcW w:w="1417" w:type="pct"/>
                  <w:shd w:val="clear" w:color="auto" w:fill="auto"/>
                  <w:noWrap w:val="0"/>
                  <w:tcMar>
                    <w:top w:w="0" w:type="dxa"/>
                    <w:left w:w="57" w:type="dxa"/>
                    <w:right w:w="57" w:type="dxa"/>
                  </w:tcMar>
                  <w:vAlign w:val="center"/>
                </w:tcPr>
                <w:p w14:paraId="5465EAAD">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5400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52E3217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5400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735F7467">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5400</w:t>
                  </w:r>
                  <w:r>
                    <w:rPr>
                      <w:bCs/>
                      <w:color w:val="auto"/>
                      <w:szCs w:val="21"/>
                    </w:rPr>
                    <w:t>m</w:t>
                  </w:r>
                  <w:r>
                    <w:rPr>
                      <w:bCs/>
                      <w:color w:val="auto"/>
                      <w:szCs w:val="21"/>
                      <w:vertAlign w:val="superscript"/>
                    </w:rPr>
                    <w:t>2</w:t>
                  </w:r>
                </w:p>
              </w:tc>
            </w:tr>
            <w:tr w14:paraId="5E885EC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5FC2A96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452926D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val="en-US" w:eastAsia="zh-CN"/>
                    </w:rPr>
                    <w:t>2#厂房</w:t>
                  </w:r>
                </w:p>
              </w:tc>
              <w:tc>
                <w:tcPr>
                  <w:tcW w:w="1417" w:type="pct"/>
                  <w:shd w:val="clear" w:color="auto" w:fill="auto"/>
                  <w:noWrap w:val="0"/>
                  <w:tcMar>
                    <w:top w:w="0" w:type="dxa"/>
                    <w:left w:w="57" w:type="dxa"/>
                    <w:right w:w="57" w:type="dxa"/>
                  </w:tcMar>
                  <w:vAlign w:val="center"/>
                </w:tcPr>
                <w:p w14:paraId="0D634CCA">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1920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08BB9CCB">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1920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0645F68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1920</w:t>
                  </w:r>
                  <w:r>
                    <w:rPr>
                      <w:bCs/>
                      <w:color w:val="auto"/>
                      <w:szCs w:val="21"/>
                    </w:rPr>
                    <w:t>m</w:t>
                  </w:r>
                  <w:r>
                    <w:rPr>
                      <w:bCs/>
                      <w:color w:val="auto"/>
                      <w:szCs w:val="21"/>
                      <w:vertAlign w:val="superscript"/>
                    </w:rPr>
                    <w:t>2</w:t>
                  </w:r>
                </w:p>
              </w:tc>
            </w:tr>
            <w:tr w14:paraId="125AF09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2D0C2D3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5E414330">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val="en-US" w:eastAsia="zh-CN"/>
                    </w:rPr>
                    <w:t>3#厂房</w:t>
                  </w:r>
                </w:p>
              </w:tc>
              <w:tc>
                <w:tcPr>
                  <w:tcW w:w="1417" w:type="pct"/>
                  <w:shd w:val="clear" w:color="auto" w:fill="auto"/>
                  <w:noWrap w:val="0"/>
                  <w:tcMar>
                    <w:top w:w="0" w:type="dxa"/>
                    <w:left w:w="57" w:type="dxa"/>
                    <w:right w:w="57" w:type="dxa"/>
                  </w:tcMar>
                  <w:vAlign w:val="center"/>
                </w:tcPr>
                <w:p w14:paraId="59EBDAFF">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3460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1EADE8C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3460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60B96B77">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3460</w:t>
                  </w:r>
                  <w:r>
                    <w:rPr>
                      <w:bCs/>
                      <w:color w:val="auto"/>
                      <w:szCs w:val="21"/>
                    </w:rPr>
                    <w:t>m</w:t>
                  </w:r>
                  <w:r>
                    <w:rPr>
                      <w:bCs/>
                      <w:color w:val="auto"/>
                      <w:szCs w:val="21"/>
                      <w:vertAlign w:val="superscript"/>
                    </w:rPr>
                    <w:t>2</w:t>
                  </w:r>
                </w:p>
              </w:tc>
            </w:tr>
            <w:tr w14:paraId="41F2FAC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28383848">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053119D7">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val="en-US" w:eastAsia="zh-CN"/>
                    </w:rPr>
                  </w:pPr>
                  <w:r>
                    <w:rPr>
                      <w:rFonts w:hint="default" w:ascii="Times New Roman" w:hAnsi="Times New Roman" w:eastAsia="宋体" w:cs="Times New Roman"/>
                      <w:b w:val="0"/>
                      <w:bCs/>
                      <w:color w:val="auto"/>
                      <w:w w:val="100"/>
                      <w:sz w:val="21"/>
                      <w:szCs w:val="21"/>
                      <w:highlight w:val="none"/>
                      <w:lang w:val="en-US" w:eastAsia="zh-CN"/>
                    </w:rPr>
                    <w:t>宿舍</w:t>
                  </w:r>
                </w:p>
              </w:tc>
              <w:tc>
                <w:tcPr>
                  <w:tcW w:w="1417" w:type="pct"/>
                  <w:shd w:val="clear" w:color="auto" w:fill="auto"/>
                  <w:noWrap w:val="0"/>
                  <w:tcMar>
                    <w:top w:w="0" w:type="dxa"/>
                    <w:left w:w="57" w:type="dxa"/>
                    <w:right w:w="57" w:type="dxa"/>
                  </w:tcMar>
                  <w:vAlign w:val="center"/>
                </w:tcPr>
                <w:p w14:paraId="74479A2C">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480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5DA8A28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480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3F9484A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480</w:t>
                  </w:r>
                  <w:r>
                    <w:rPr>
                      <w:bCs/>
                      <w:color w:val="auto"/>
                      <w:szCs w:val="21"/>
                    </w:rPr>
                    <w:t>m</w:t>
                  </w:r>
                  <w:r>
                    <w:rPr>
                      <w:bCs/>
                      <w:color w:val="auto"/>
                      <w:szCs w:val="21"/>
                      <w:vertAlign w:val="superscript"/>
                    </w:rPr>
                    <w:t>2</w:t>
                  </w:r>
                </w:p>
              </w:tc>
            </w:tr>
            <w:tr w14:paraId="1F3C7A1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restart"/>
                  <w:noWrap w:val="0"/>
                  <w:tcMar>
                    <w:top w:w="0" w:type="dxa"/>
                    <w:left w:w="57" w:type="dxa"/>
                    <w:right w:w="57" w:type="dxa"/>
                  </w:tcMar>
                  <w:vAlign w:val="center"/>
                </w:tcPr>
                <w:p w14:paraId="60D8668D">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贮运工程</w:t>
                  </w:r>
                </w:p>
              </w:tc>
              <w:tc>
                <w:tcPr>
                  <w:tcW w:w="576" w:type="pct"/>
                  <w:noWrap w:val="0"/>
                  <w:tcMar>
                    <w:top w:w="0" w:type="dxa"/>
                    <w:left w:w="57" w:type="dxa"/>
                    <w:right w:w="57" w:type="dxa"/>
                  </w:tcMar>
                  <w:vAlign w:val="center"/>
                </w:tcPr>
                <w:p w14:paraId="39C7041B">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办公楼</w:t>
                  </w:r>
                </w:p>
              </w:tc>
              <w:tc>
                <w:tcPr>
                  <w:tcW w:w="1417" w:type="pct"/>
                  <w:shd w:val="clear" w:color="auto" w:fill="auto"/>
                  <w:noWrap w:val="0"/>
                  <w:tcMar>
                    <w:top w:w="0" w:type="dxa"/>
                    <w:left w:w="57" w:type="dxa"/>
                    <w:right w:w="57" w:type="dxa"/>
                  </w:tcMar>
                  <w:vAlign w:val="center"/>
                </w:tcPr>
                <w:p w14:paraId="59348906">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2500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4AA67B8C">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2500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6B4334E9">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2500</w:t>
                  </w:r>
                  <w:r>
                    <w:rPr>
                      <w:bCs/>
                      <w:color w:val="auto"/>
                      <w:szCs w:val="21"/>
                    </w:rPr>
                    <w:t>m</w:t>
                  </w:r>
                  <w:r>
                    <w:rPr>
                      <w:bCs/>
                      <w:color w:val="auto"/>
                      <w:szCs w:val="21"/>
                      <w:vertAlign w:val="superscript"/>
                    </w:rPr>
                    <w:t>2</w:t>
                  </w:r>
                </w:p>
              </w:tc>
            </w:tr>
            <w:tr w14:paraId="6F496E1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7CC9EAC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5090D3FA">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rPr>
                    <w:t>仓库</w:t>
                  </w:r>
                </w:p>
              </w:tc>
              <w:tc>
                <w:tcPr>
                  <w:tcW w:w="1417" w:type="pct"/>
                  <w:shd w:val="clear" w:color="auto" w:fill="auto"/>
                  <w:noWrap w:val="0"/>
                  <w:tcMar>
                    <w:top w:w="0" w:type="dxa"/>
                    <w:left w:w="57" w:type="dxa"/>
                    <w:right w:w="57" w:type="dxa"/>
                  </w:tcMar>
                  <w:vAlign w:val="center"/>
                </w:tcPr>
                <w:p w14:paraId="3D3BBACF">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1500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755F20AF">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1500</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099FFE33">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1500</w:t>
                  </w:r>
                  <w:r>
                    <w:rPr>
                      <w:bCs/>
                      <w:color w:val="auto"/>
                      <w:szCs w:val="21"/>
                    </w:rPr>
                    <w:t>m</w:t>
                  </w:r>
                  <w:r>
                    <w:rPr>
                      <w:bCs/>
                      <w:color w:val="auto"/>
                      <w:szCs w:val="21"/>
                      <w:vertAlign w:val="superscript"/>
                    </w:rPr>
                    <w:t>2</w:t>
                  </w:r>
                </w:p>
              </w:tc>
            </w:tr>
            <w:tr w14:paraId="3D1A0BD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0CBD23C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3921C516">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危化品库</w:t>
                  </w:r>
                </w:p>
              </w:tc>
              <w:tc>
                <w:tcPr>
                  <w:tcW w:w="1417" w:type="pct"/>
                  <w:shd w:val="clear" w:color="auto" w:fill="auto"/>
                  <w:noWrap w:val="0"/>
                  <w:tcMar>
                    <w:top w:w="0" w:type="dxa"/>
                    <w:left w:w="57" w:type="dxa"/>
                    <w:right w:w="57" w:type="dxa"/>
                  </w:tcMar>
                  <w:vAlign w:val="center"/>
                </w:tcPr>
                <w:p w14:paraId="60A63574">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28</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64D94411">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28</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5DF34A31">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28</w:t>
                  </w:r>
                  <w:r>
                    <w:rPr>
                      <w:bCs/>
                      <w:color w:val="auto"/>
                      <w:szCs w:val="21"/>
                    </w:rPr>
                    <w:t>m</w:t>
                  </w:r>
                  <w:r>
                    <w:rPr>
                      <w:bCs/>
                      <w:color w:val="auto"/>
                      <w:szCs w:val="21"/>
                      <w:vertAlign w:val="superscript"/>
                    </w:rPr>
                    <w:t>2</w:t>
                  </w:r>
                </w:p>
              </w:tc>
            </w:tr>
            <w:tr w14:paraId="0517E21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72022E2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rPr>
                  </w:pPr>
                </w:p>
              </w:tc>
              <w:tc>
                <w:tcPr>
                  <w:tcW w:w="576" w:type="pct"/>
                  <w:noWrap w:val="0"/>
                  <w:tcMar>
                    <w:top w:w="0" w:type="dxa"/>
                    <w:left w:w="57" w:type="dxa"/>
                    <w:right w:w="57" w:type="dxa"/>
                  </w:tcMar>
                  <w:vAlign w:val="center"/>
                </w:tcPr>
                <w:p w14:paraId="74932E22">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危废库</w:t>
                  </w:r>
                </w:p>
              </w:tc>
              <w:tc>
                <w:tcPr>
                  <w:tcW w:w="1417" w:type="pct"/>
                  <w:shd w:val="clear" w:color="auto" w:fill="auto"/>
                  <w:noWrap w:val="0"/>
                  <w:tcMar>
                    <w:top w:w="0" w:type="dxa"/>
                    <w:left w:w="57" w:type="dxa"/>
                    <w:right w:w="57" w:type="dxa"/>
                  </w:tcMar>
                  <w:vAlign w:val="center"/>
                </w:tcPr>
                <w:p w14:paraId="7C2CFB37">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 w:val="0"/>
                      <w:bCs/>
                      <w:color w:val="auto"/>
                      <w:w w:val="100"/>
                      <w:kern w:val="2"/>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17.5</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00" w:type="pct"/>
                  <w:shd w:val="clear" w:color="auto" w:fill="auto"/>
                  <w:noWrap w:val="0"/>
                  <w:tcMar>
                    <w:top w:w="0" w:type="dxa"/>
                    <w:left w:w="57" w:type="dxa"/>
                    <w:right w:w="57" w:type="dxa"/>
                  </w:tcMar>
                  <w:vAlign w:val="center"/>
                </w:tcPr>
                <w:p w14:paraId="59281DB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17.5</w:t>
                  </w:r>
                  <w:r>
                    <w:rPr>
                      <w:bCs/>
                      <w:color w:val="auto"/>
                      <w:szCs w:val="21"/>
                    </w:rPr>
                    <w:t>m</w:t>
                  </w:r>
                  <w:r>
                    <w:rPr>
                      <w:bCs/>
                      <w:color w:val="auto"/>
                      <w:szCs w:val="21"/>
                      <w:vertAlign w:val="superscript"/>
                    </w:rPr>
                    <w:t>2</w:t>
                  </w:r>
                </w:p>
              </w:tc>
              <w:tc>
                <w:tcPr>
                  <w:tcW w:w="1330" w:type="pct"/>
                  <w:shd w:val="clear" w:color="auto" w:fill="auto"/>
                  <w:noWrap w:val="0"/>
                  <w:tcMar>
                    <w:top w:w="0" w:type="dxa"/>
                    <w:left w:w="57" w:type="dxa"/>
                    <w:right w:w="57" w:type="dxa"/>
                  </w:tcMar>
                  <w:vAlign w:val="center"/>
                </w:tcPr>
                <w:p w14:paraId="5C2FBC9E">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17.5</w:t>
                  </w:r>
                  <w:r>
                    <w:rPr>
                      <w:bCs/>
                      <w:color w:val="auto"/>
                      <w:szCs w:val="21"/>
                    </w:rPr>
                    <w:t>m</w:t>
                  </w:r>
                  <w:r>
                    <w:rPr>
                      <w:bCs/>
                      <w:color w:val="auto"/>
                      <w:szCs w:val="21"/>
                      <w:vertAlign w:val="superscript"/>
                    </w:rPr>
                    <w:t>2</w:t>
                  </w:r>
                </w:p>
              </w:tc>
            </w:tr>
            <w:tr w14:paraId="6099AB5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restart"/>
                  <w:noWrap w:val="0"/>
                  <w:tcMar>
                    <w:top w:w="0" w:type="dxa"/>
                    <w:left w:w="57" w:type="dxa"/>
                    <w:right w:w="57" w:type="dxa"/>
                  </w:tcMar>
                  <w:vAlign w:val="center"/>
                </w:tcPr>
                <w:p w14:paraId="27A5C5DB">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公用工程</w:t>
                  </w:r>
                </w:p>
              </w:tc>
              <w:tc>
                <w:tcPr>
                  <w:tcW w:w="576" w:type="pct"/>
                  <w:noWrap w:val="0"/>
                  <w:tcMar>
                    <w:top w:w="0" w:type="dxa"/>
                    <w:left w:w="57" w:type="dxa"/>
                    <w:right w:w="57" w:type="dxa"/>
                  </w:tcMar>
                  <w:vAlign w:val="center"/>
                </w:tcPr>
                <w:p w14:paraId="40029DEA">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给水</w:t>
                  </w:r>
                </w:p>
              </w:tc>
              <w:tc>
                <w:tcPr>
                  <w:tcW w:w="1417" w:type="pct"/>
                  <w:shd w:val="clear" w:color="auto" w:fill="auto"/>
                  <w:noWrap w:val="0"/>
                  <w:tcMar>
                    <w:top w:w="0" w:type="dxa"/>
                    <w:left w:w="57" w:type="dxa"/>
                    <w:right w:w="57" w:type="dxa"/>
                  </w:tcMar>
                  <w:vAlign w:val="center"/>
                </w:tcPr>
                <w:p w14:paraId="604C666C">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eastAsia" w:ascii="Times New Roman" w:hAnsi="Times New Roman" w:eastAsia="宋体" w:cs="Times New Roman"/>
                      <w:bCs/>
                      <w:color w:val="auto"/>
                      <w:w w:val="100"/>
                      <w:kern w:val="2"/>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1574.4</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r>
                    <w:rPr>
                      <w:rFonts w:hint="eastAsia" w:cs="Times New Roman"/>
                      <w:bCs/>
                      <w:color w:val="auto"/>
                      <w:w w:val="100"/>
                      <w:sz w:val="21"/>
                      <w:szCs w:val="21"/>
                      <w:highlight w:val="none"/>
                      <w:lang w:eastAsia="zh-CN"/>
                    </w:rPr>
                    <w:t>，市政自来水管网提供</w:t>
                  </w:r>
                </w:p>
              </w:tc>
              <w:tc>
                <w:tcPr>
                  <w:tcW w:w="1300" w:type="pct"/>
                  <w:shd w:val="clear" w:color="auto" w:fill="auto"/>
                  <w:noWrap w:val="0"/>
                  <w:tcMar>
                    <w:top w:w="0" w:type="dxa"/>
                    <w:left w:w="57" w:type="dxa"/>
                    <w:right w:w="57" w:type="dxa"/>
                  </w:tcMar>
                  <w:vAlign w:val="center"/>
                </w:tcPr>
                <w:p w14:paraId="01E2102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lang w:val="en-US" w:eastAsia="zh-CN"/>
                    </w:rPr>
                    <w:t>2020.4</w:t>
                  </w:r>
                  <w:r>
                    <w:rPr>
                      <w:bCs/>
                      <w:color w:val="auto"/>
                      <w:szCs w:val="21"/>
                    </w:rPr>
                    <w:t>m</w:t>
                  </w:r>
                  <w:r>
                    <w:rPr>
                      <w:bCs/>
                      <w:color w:val="auto"/>
                      <w:szCs w:val="21"/>
                      <w:vertAlign w:val="superscript"/>
                    </w:rPr>
                    <w:t>3</w:t>
                  </w:r>
                  <w:r>
                    <w:rPr>
                      <w:bCs/>
                      <w:color w:val="auto"/>
                      <w:szCs w:val="21"/>
                    </w:rPr>
                    <w:t>/a</w:t>
                  </w:r>
                  <w:r>
                    <w:rPr>
                      <w:rFonts w:hint="eastAsia" w:cs="Times New Roman"/>
                      <w:bCs/>
                      <w:color w:val="auto"/>
                      <w:w w:val="100"/>
                      <w:sz w:val="21"/>
                      <w:szCs w:val="21"/>
                      <w:highlight w:val="none"/>
                      <w:lang w:eastAsia="zh-CN"/>
                    </w:rPr>
                    <w:t>，市政自来水管网提供</w:t>
                  </w:r>
                </w:p>
              </w:tc>
              <w:tc>
                <w:tcPr>
                  <w:tcW w:w="1330" w:type="pct"/>
                  <w:shd w:val="clear" w:color="auto" w:fill="auto"/>
                  <w:noWrap w:val="0"/>
                  <w:tcMar>
                    <w:top w:w="0" w:type="dxa"/>
                    <w:left w:w="57" w:type="dxa"/>
                    <w:right w:w="57" w:type="dxa"/>
                  </w:tcMar>
                  <w:vAlign w:val="center"/>
                </w:tcPr>
                <w:p w14:paraId="01FA5014">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lang w:val="en-US" w:eastAsia="zh-CN"/>
                    </w:rPr>
                    <w:t>2020.4</w:t>
                  </w:r>
                  <w:r>
                    <w:rPr>
                      <w:bCs/>
                      <w:color w:val="auto"/>
                      <w:szCs w:val="21"/>
                    </w:rPr>
                    <w:t>m</w:t>
                  </w:r>
                  <w:r>
                    <w:rPr>
                      <w:bCs/>
                      <w:color w:val="auto"/>
                      <w:szCs w:val="21"/>
                      <w:vertAlign w:val="superscript"/>
                    </w:rPr>
                    <w:t>3</w:t>
                  </w:r>
                  <w:r>
                    <w:rPr>
                      <w:bCs/>
                      <w:color w:val="auto"/>
                      <w:szCs w:val="21"/>
                    </w:rPr>
                    <w:t>/a</w:t>
                  </w:r>
                  <w:r>
                    <w:rPr>
                      <w:rFonts w:hint="eastAsia" w:cs="Times New Roman"/>
                      <w:bCs/>
                      <w:color w:val="auto"/>
                      <w:w w:val="100"/>
                      <w:sz w:val="21"/>
                      <w:szCs w:val="21"/>
                      <w:highlight w:val="none"/>
                      <w:lang w:eastAsia="zh-CN"/>
                    </w:rPr>
                    <w:t>，市政自来水管网提供</w:t>
                  </w:r>
                </w:p>
              </w:tc>
            </w:tr>
            <w:tr w14:paraId="342F75A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422C6CD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noWrap w:val="0"/>
                  <w:tcMar>
                    <w:top w:w="0" w:type="dxa"/>
                    <w:left w:w="57" w:type="dxa"/>
                    <w:right w:w="57" w:type="dxa"/>
                  </w:tcMar>
                  <w:vAlign w:val="center"/>
                </w:tcPr>
                <w:p w14:paraId="5B1D0439">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排水</w:t>
                  </w:r>
                </w:p>
              </w:tc>
              <w:tc>
                <w:tcPr>
                  <w:tcW w:w="1417" w:type="pct"/>
                  <w:shd w:val="clear" w:color="auto" w:fill="auto"/>
                  <w:noWrap w:val="0"/>
                  <w:tcMar>
                    <w:top w:w="0" w:type="dxa"/>
                    <w:left w:w="57" w:type="dxa"/>
                    <w:right w:w="57" w:type="dxa"/>
                  </w:tcMar>
                  <w:vAlign w:val="center"/>
                </w:tcPr>
                <w:p w14:paraId="3480B716">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eastAsia" w:ascii="Times New Roman" w:hAnsi="Times New Roman" w:eastAsia="宋体" w:cs="Times New Roman"/>
                      <w:bCs/>
                      <w:color w:val="auto"/>
                      <w:w w:val="100"/>
                      <w:kern w:val="2"/>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生活废水1080</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r>
                    <w:rPr>
                      <w:rFonts w:hint="eastAsia" w:cs="Times New Roman"/>
                      <w:bCs/>
                      <w:color w:val="auto"/>
                      <w:w w:val="100"/>
                      <w:sz w:val="21"/>
                      <w:szCs w:val="21"/>
                      <w:highlight w:val="none"/>
                      <w:lang w:eastAsia="zh-CN"/>
                    </w:rPr>
                    <w:t>，经化粪池处理后定期清掏</w:t>
                  </w:r>
                </w:p>
              </w:tc>
              <w:tc>
                <w:tcPr>
                  <w:tcW w:w="1300" w:type="pct"/>
                  <w:shd w:val="clear" w:color="auto" w:fill="auto"/>
                  <w:noWrap w:val="0"/>
                  <w:tcMar>
                    <w:top w:w="0" w:type="dxa"/>
                    <w:left w:w="57" w:type="dxa"/>
                    <w:right w:w="57" w:type="dxa"/>
                  </w:tcMar>
                  <w:vAlign w:val="center"/>
                </w:tcPr>
                <w:p w14:paraId="6A09B00A">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生活废水</w:t>
                  </w:r>
                  <w:r>
                    <w:rPr>
                      <w:rFonts w:hint="eastAsia"/>
                      <w:bCs/>
                      <w:color w:val="auto"/>
                      <w:szCs w:val="21"/>
                      <w:lang w:val="en-US" w:eastAsia="zh-CN"/>
                    </w:rPr>
                    <w:t>1350</w:t>
                  </w:r>
                  <w:r>
                    <w:rPr>
                      <w:bCs/>
                      <w:color w:val="auto"/>
                      <w:szCs w:val="21"/>
                    </w:rPr>
                    <w:t>m</w:t>
                  </w:r>
                  <w:r>
                    <w:rPr>
                      <w:bCs/>
                      <w:color w:val="auto"/>
                      <w:szCs w:val="21"/>
                      <w:vertAlign w:val="superscript"/>
                    </w:rPr>
                    <w:t>3</w:t>
                  </w:r>
                  <w:r>
                    <w:rPr>
                      <w:bCs/>
                      <w:color w:val="auto"/>
                      <w:szCs w:val="21"/>
                    </w:rPr>
                    <w:t>/a</w:t>
                  </w:r>
                  <w:r>
                    <w:rPr>
                      <w:rFonts w:hint="eastAsia"/>
                      <w:bCs/>
                      <w:color w:val="auto"/>
                      <w:szCs w:val="21"/>
                    </w:rPr>
                    <w:t>，经化粪池处理后定期清掏</w:t>
                  </w:r>
                </w:p>
              </w:tc>
              <w:tc>
                <w:tcPr>
                  <w:tcW w:w="1330" w:type="pct"/>
                  <w:shd w:val="clear" w:color="auto" w:fill="auto"/>
                  <w:noWrap w:val="0"/>
                  <w:tcMar>
                    <w:top w:w="0" w:type="dxa"/>
                    <w:left w:w="57" w:type="dxa"/>
                    <w:right w:w="57" w:type="dxa"/>
                  </w:tcMar>
                  <w:vAlign w:val="center"/>
                </w:tcPr>
                <w:p w14:paraId="64B28B6F">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生活废水</w:t>
                  </w:r>
                  <w:r>
                    <w:rPr>
                      <w:rFonts w:hint="eastAsia"/>
                      <w:bCs/>
                      <w:color w:val="auto"/>
                      <w:szCs w:val="21"/>
                      <w:lang w:val="en-US" w:eastAsia="zh-CN"/>
                    </w:rPr>
                    <w:t>1350</w:t>
                  </w:r>
                  <w:r>
                    <w:rPr>
                      <w:bCs/>
                      <w:color w:val="auto"/>
                      <w:szCs w:val="21"/>
                    </w:rPr>
                    <w:t>m</w:t>
                  </w:r>
                  <w:r>
                    <w:rPr>
                      <w:bCs/>
                      <w:color w:val="auto"/>
                      <w:szCs w:val="21"/>
                      <w:vertAlign w:val="superscript"/>
                    </w:rPr>
                    <w:t>3</w:t>
                  </w:r>
                  <w:r>
                    <w:rPr>
                      <w:bCs/>
                      <w:color w:val="auto"/>
                      <w:szCs w:val="21"/>
                    </w:rPr>
                    <w:t>/a</w:t>
                  </w:r>
                  <w:r>
                    <w:rPr>
                      <w:rFonts w:hint="eastAsia"/>
                      <w:bCs/>
                      <w:color w:val="auto"/>
                      <w:szCs w:val="21"/>
                    </w:rPr>
                    <w:t>，经化粪池处理后定期清掏</w:t>
                  </w:r>
                </w:p>
              </w:tc>
            </w:tr>
            <w:tr w14:paraId="57C2A46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0039219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noWrap w:val="0"/>
                  <w:tcMar>
                    <w:top w:w="0" w:type="dxa"/>
                    <w:left w:w="57" w:type="dxa"/>
                    <w:right w:w="57" w:type="dxa"/>
                  </w:tcMar>
                  <w:vAlign w:val="center"/>
                </w:tcPr>
                <w:p w14:paraId="48ABE75E">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供电</w:t>
                  </w:r>
                </w:p>
              </w:tc>
              <w:tc>
                <w:tcPr>
                  <w:tcW w:w="1417" w:type="pct"/>
                  <w:shd w:val="clear" w:color="auto" w:fill="auto"/>
                  <w:noWrap w:val="0"/>
                  <w:tcMar>
                    <w:top w:w="0" w:type="dxa"/>
                    <w:left w:w="57" w:type="dxa"/>
                    <w:right w:w="57" w:type="dxa"/>
                  </w:tcMar>
                  <w:vAlign w:val="center"/>
                </w:tcPr>
                <w:p w14:paraId="39F93BF4">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Cs/>
                      <w:color w:val="auto"/>
                      <w:w w:val="100"/>
                      <w:kern w:val="2"/>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700</w:t>
                  </w:r>
                  <w:r>
                    <w:rPr>
                      <w:rFonts w:hint="default" w:ascii="Times New Roman" w:hAnsi="Times New Roman" w:eastAsia="宋体" w:cs="Times New Roman"/>
                      <w:bCs/>
                      <w:color w:val="auto"/>
                      <w:w w:val="100"/>
                      <w:sz w:val="21"/>
                      <w:szCs w:val="21"/>
                      <w:highlight w:val="none"/>
                    </w:rPr>
                    <w:t>万KWh/a</w:t>
                  </w:r>
                </w:p>
              </w:tc>
              <w:tc>
                <w:tcPr>
                  <w:tcW w:w="1300" w:type="pct"/>
                  <w:shd w:val="clear" w:color="auto" w:fill="auto"/>
                  <w:noWrap w:val="0"/>
                  <w:tcMar>
                    <w:top w:w="0" w:type="dxa"/>
                    <w:left w:w="57" w:type="dxa"/>
                    <w:right w:w="57" w:type="dxa"/>
                  </w:tcMar>
                  <w:vAlign w:val="center"/>
                </w:tcPr>
                <w:p w14:paraId="07C4963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700</w:t>
                  </w:r>
                  <w:r>
                    <w:rPr>
                      <w:bCs/>
                      <w:color w:val="auto"/>
                      <w:szCs w:val="21"/>
                    </w:rPr>
                    <w:t>万KWh/a</w:t>
                  </w:r>
                </w:p>
              </w:tc>
              <w:tc>
                <w:tcPr>
                  <w:tcW w:w="1330" w:type="pct"/>
                  <w:shd w:val="clear" w:color="auto" w:fill="auto"/>
                  <w:noWrap w:val="0"/>
                  <w:tcMar>
                    <w:top w:w="0" w:type="dxa"/>
                    <w:left w:w="57" w:type="dxa"/>
                    <w:right w:w="57" w:type="dxa"/>
                  </w:tcMar>
                  <w:vAlign w:val="center"/>
                </w:tcPr>
                <w:p w14:paraId="03C3E128">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700</w:t>
                  </w:r>
                  <w:r>
                    <w:rPr>
                      <w:bCs/>
                      <w:color w:val="auto"/>
                      <w:szCs w:val="21"/>
                    </w:rPr>
                    <w:t>万KWh/a</w:t>
                  </w:r>
                </w:p>
              </w:tc>
            </w:tr>
            <w:tr w14:paraId="1277076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restart"/>
                  <w:noWrap w:val="0"/>
                  <w:tcMar>
                    <w:top w:w="0" w:type="dxa"/>
                    <w:left w:w="57" w:type="dxa"/>
                    <w:right w:w="57" w:type="dxa"/>
                  </w:tcMar>
                  <w:vAlign w:val="center"/>
                </w:tcPr>
                <w:p w14:paraId="496F3947">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shd w:val="clear" w:color="FFFFFF" w:fill="auto"/>
                    </w:rPr>
                    <w:t>环保工程</w:t>
                  </w:r>
                </w:p>
              </w:tc>
              <w:tc>
                <w:tcPr>
                  <w:tcW w:w="576" w:type="pct"/>
                  <w:noWrap w:val="0"/>
                  <w:tcMar>
                    <w:top w:w="0" w:type="dxa"/>
                    <w:left w:w="57" w:type="dxa"/>
                    <w:right w:w="57" w:type="dxa"/>
                  </w:tcMar>
                  <w:vAlign w:val="center"/>
                </w:tcPr>
                <w:p w14:paraId="1896BF3D">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废气</w:t>
                  </w:r>
                </w:p>
              </w:tc>
              <w:tc>
                <w:tcPr>
                  <w:tcW w:w="1417" w:type="pct"/>
                  <w:shd w:val="clear" w:color="auto" w:fill="auto"/>
                  <w:noWrap w:val="0"/>
                  <w:tcMar>
                    <w:top w:w="0" w:type="dxa"/>
                    <w:left w:w="57" w:type="dxa"/>
                    <w:right w:w="57" w:type="dxa"/>
                  </w:tcMar>
                  <w:vAlign w:val="center"/>
                </w:tcPr>
                <w:p w14:paraId="506AB310">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ascii="Times New Roman" w:eastAsia="宋体"/>
                      <w:color w:val="auto"/>
                      <w:szCs w:val="21"/>
                      <w:lang w:val="en-US" w:eastAsia="zh-CN"/>
                    </w:rPr>
                    <w:t>5套</w:t>
                  </w:r>
                  <w:r>
                    <w:rPr>
                      <w:rFonts w:hint="eastAsia"/>
                      <w:color w:val="auto"/>
                      <w:szCs w:val="21"/>
                    </w:rPr>
                    <w:t>负压集气系统+布袋除尘</w:t>
                  </w:r>
                  <w:r>
                    <w:rPr>
                      <w:rFonts w:hint="eastAsia"/>
                      <w:bCs/>
                      <w:color w:val="auto"/>
                      <w:szCs w:val="21"/>
                    </w:rPr>
                    <w:t>装置，</w:t>
                  </w:r>
                  <w:r>
                    <w:rPr>
                      <w:color w:val="auto"/>
                      <w:szCs w:val="21"/>
                    </w:rPr>
                    <w:t>风机风量</w:t>
                  </w:r>
                  <w:r>
                    <w:rPr>
                      <w:rFonts w:hint="eastAsia"/>
                      <w:color w:val="auto"/>
                      <w:szCs w:val="21"/>
                    </w:rPr>
                    <w:t>1</w:t>
                  </w:r>
                  <w:r>
                    <w:rPr>
                      <w:color w:val="auto"/>
                      <w:szCs w:val="21"/>
                    </w:rPr>
                    <w:t>0</w:t>
                  </w:r>
                  <w:r>
                    <w:rPr>
                      <w:rFonts w:hint="eastAsia"/>
                      <w:color w:val="auto"/>
                      <w:szCs w:val="21"/>
                    </w:rPr>
                    <w:t>0</w:t>
                  </w:r>
                  <w:r>
                    <w:rPr>
                      <w:color w:val="auto"/>
                      <w:szCs w:val="21"/>
                    </w:rPr>
                    <w:t>00m</w:t>
                  </w:r>
                  <w:r>
                    <w:rPr>
                      <w:color w:val="auto"/>
                      <w:szCs w:val="21"/>
                      <w:vertAlign w:val="superscript"/>
                    </w:rPr>
                    <w:t>3</w:t>
                  </w:r>
                  <w:r>
                    <w:rPr>
                      <w:color w:val="auto"/>
                      <w:szCs w:val="21"/>
                    </w:rPr>
                    <w:t>/h</w:t>
                  </w:r>
                  <w:r>
                    <w:rPr>
                      <w:rFonts w:hint="eastAsia"/>
                      <w:color w:val="auto"/>
                      <w:szCs w:val="21"/>
                    </w:rPr>
                    <w:t>；</w:t>
                  </w:r>
                  <w:r>
                    <w:rPr>
                      <w:rFonts w:hint="eastAsia" w:ascii="Times New Roman" w:eastAsia="宋体"/>
                      <w:color w:val="auto"/>
                      <w:szCs w:val="21"/>
                      <w:lang w:val="en-US" w:eastAsia="zh-CN"/>
                    </w:rPr>
                    <w:t>1</w:t>
                  </w:r>
                  <w:r>
                    <w:rPr>
                      <w:rFonts w:hint="eastAsia"/>
                      <w:color w:val="auto"/>
                      <w:szCs w:val="21"/>
                    </w:rPr>
                    <w:t>套负压集气系统</w:t>
                  </w:r>
                  <w:r>
                    <w:rPr>
                      <w:rFonts w:hint="eastAsia" w:eastAsia="宋体"/>
                      <w:color w:val="auto"/>
                      <w:szCs w:val="21"/>
                      <w:lang w:eastAsia="zh-CN"/>
                    </w:rPr>
                    <w:t>布袋除尘器</w:t>
                  </w:r>
                  <w:r>
                    <w:rPr>
                      <w:rFonts w:hint="eastAsia"/>
                      <w:color w:val="auto"/>
                      <w:szCs w:val="21"/>
                    </w:rPr>
                    <w:t>+二级活性炭</w:t>
                  </w:r>
                  <w:r>
                    <w:rPr>
                      <w:rFonts w:hint="eastAsia"/>
                      <w:bCs/>
                      <w:color w:val="auto"/>
                      <w:szCs w:val="21"/>
                    </w:rPr>
                    <w:t>装置，</w:t>
                  </w:r>
                  <w:r>
                    <w:rPr>
                      <w:rFonts w:hint="eastAsia"/>
                      <w:color w:val="auto"/>
                      <w:szCs w:val="21"/>
                    </w:rPr>
                    <w:t>风机风量10000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ascii="Times New Roman" w:eastAsia="宋体"/>
                      <w:color w:val="auto"/>
                      <w:szCs w:val="21"/>
                      <w:lang w:val="en-US" w:eastAsia="zh-CN"/>
                    </w:rPr>
                    <w:t>1</w:t>
                  </w:r>
                  <w:r>
                    <w:rPr>
                      <w:rFonts w:hint="eastAsia"/>
                      <w:color w:val="auto"/>
                      <w:szCs w:val="21"/>
                    </w:rPr>
                    <w:t>套负压集气系统</w:t>
                  </w:r>
                  <w:r>
                    <w:rPr>
                      <w:rFonts w:hint="eastAsia" w:eastAsia="宋体"/>
                      <w:color w:val="auto"/>
                      <w:szCs w:val="21"/>
                      <w:lang w:eastAsia="zh-CN"/>
                    </w:rPr>
                    <w:t>水喷淋</w:t>
                  </w:r>
                  <w:r>
                    <w:rPr>
                      <w:rFonts w:hint="eastAsia"/>
                      <w:color w:val="auto"/>
                      <w:szCs w:val="21"/>
                    </w:rPr>
                    <w:t>+二级活性炭装置，风机风量10000m</w:t>
                  </w:r>
                  <w:r>
                    <w:rPr>
                      <w:rFonts w:hint="eastAsia"/>
                      <w:color w:val="auto"/>
                      <w:szCs w:val="21"/>
                      <w:vertAlign w:val="superscript"/>
                    </w:rPr>
                    <w:t>3</w:t>
                  </w:r>
                  <w:r>
                    <w:rPr>
                      <w:rFonts w:hint="eastAsia"/>
                      <w:color w:val="auto"/>
                      <w:szCs w:val="21"/>
                    </w:rPr>
                    <w:t>/h；1套负压集气系统</w:t>
                  </w:r>
                  <w:r>
                    <w:rPr>
                      <w:rFonts w:hint="eastAsia" w:eastAsia="宋体"/>
                      <w:color w:val="auto"/>
                      <w:szCs w:val="21"/>
                      <w:lang w:eastAsia="zh-CN"/>
                    </w:rPr>
                    <w:t>水喷淋</w:t>
                  </w:r>
                  <w:r>
                    <w:rPr>
                      <w:rFonts w:hint="eastAsia"/>
                      <w:color w:val="auto"/>
                      <w:szCs w:val="21"/>
                    </w:rPr>
                    <w:t>+RCO</w:t>
                  </w:r>
                  <w:r>
                    <w:rPr>
                      <w:rFonts w:hint="eastAsia"/>
                      <w:bCs/>
                      <w:color w:val="auto"/>
                      <w:szCs w:val="21"/>
                    </w:rPr>
                    <w:t>装置，</w:t>
                  </w:r>
                  <w:r>
                    <w:rPr>
                      <w:rFonts w:hint="eastAsia"/>
                      <w:color w:val="auto"/>
                      <w:szCs w:val="21"/>
                    </w:rPr>
                    <w:t>风机风量20000</w:t>
                  </w:r>
                  <w:r>
                    <w:rPr>
                      <w:color w:val="auto"/>
                      <w:szCs w:val="21"/>
                    </w:rPr>
                    <w:t>m</w:t>
                  </w:r>
                  <w:r>
                    <w:rPr>
                      <w:color w:val="auto"/>
                      <w:szCs w:val="21"/>
                      <w:vertAlign w:val="superscript"/>
                    </w:rPr>
                    <w:t>3</w:t>
                  </w:r>
                  <w:r>
                    <w:rPr>
                      <w:color w:val="auto"/>
                      <w:szCs w:val="21"/>
                    </w:rPr>
                    <w:t>/h</w:t>
                  </w:r>
                </w:p>
              </w:tc>
              <w:tc>
                <w:tcPr>
                  <w:tcW w:w="1300" w:type="pct"/>
                  <w:shd w:val="clear" w:color="auto" w:fill="auto"/>
                  <w:noWrap w:val="0"/>
                  <w:tcMar>
                    <w:top w:w="0" w:type="dxa"/>
                    <w:left w:w="57" w:type="dxa"/>
                    <w:right w:w="57" w:type="dxa"/>
                  </w:tcMar>
                  <w:vAlign w:val="center"/>
                </w:tcPr>
                <w:p w14:paraId="34BC8B69">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eastAsia"/>
                      <w:color w:val="auto"/>
                      <w:szCs w:val="21"/>
                      <w:lang w:val="en-US" w:eastAsia="zh-CN"/>
                    </w:rPr>
                    <w:t>5套</w:t>
                  </w:r>
                  <w:r>
                    <w:rPr>
                      <w:rFonts w:hint="eastAsia"/>
                      <w:color w:val="auto"/>
                      <w:szCs w:val="21"/>
                    </w:rPr>
                    <w:t>负压集气系统+布袋除尘</w:t>
                  </w:r>
                  <w:r>
                    <w:rPr>
                      <w:rFonts w:hint="eastAsia"/>
                      <w:bCs/>
                      <w:color w:val="auto"/>
                      <w:szCs w:val="21"/>
                    </w:rPr>
                    <w:t>装置，</w:t>
                  </w:r>
                  <w:r>
                    <w:rPr>
                      <w:color w:val="auto"/>
                      <w:szCs w:val="21"/>
                    </w:rPr>
                    <w:t>风机风量</w:t>
                  </w:r>
                  <w:r>
                    <w:rPr>
                      <w:rFonts w:hint="eastAsia"/>
                      <w:color w:val="auto"/>
                      <w:szCs w:val="21"/>
                    </w:rPr>
                    <w:t>1</w:t>
                  </w:r>
                  <w:r>
                    <w:rPr>
                      <w:color w:val="auto"/>
                      <w:szCs w:val="21"/>
                    </w:rPr>
                    <w:t>0</w:t>
                  </w:r>
                  <w:r>
                    <w:rPr>
                      <w:rFonts w:hint="eastAsia"/>
                      <w:color w:val="auto"/>
                      <w:szCs w:val="21"/>
                    </w:rPr>
                    <w:t>0</w:t>
                  </w:r>
                  <w:r>
                    <w:rPr>
                      <w:color w:val="auto"/>
                      <w:szCs w:val="21"/>
                    </w:rPr>
                    <w:t>00m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color w:val="auto"/>
                      <w:szCs w:val="21"/>
                      <w:lang w:eastAsia="zh-CN"/>
                    </w:rPr>
                    <w:t>布袋除尘器</w:t>
                  </w:r>
                  <w:r>
                    <w:rPr>
                      <w:rFonts w:hint="eastAsia"/>
                      <w:color w:val="auto"/>
                      <w:szCs w:val="21"/>
                    </w:rPr>
                    <w:t>+二级活性炭</w:t>
                  </w:r>
                  <w:r>
                    <w:rPr>
                      <w:rFonts w:hint="eastAsia"/>
                      <w:bCs/>
                      <w:color w:val="auto"/>
                      <w:szCs w:val="21"/>
                    </w:rPr>
                    <w:t>装置，</w:t>
                  </w:r>
                  <w:r>
                    <w:rPr>
                      <w:rFonts w:hint="eastAsia"/>
                      <w:color w:val="auto"/>
                      <w:szCs w:val="21"/>
                    </w:rPr>
                    <w:t>风机风量10000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color w:val="auto"/>
                      <w:szCs w:val="21"/>
                      <w:lang w:eastAsia="zh-CN"/>
                    </w:rPr>
                    <w:t>布袋除尘器</w:t>
                  </w:r>
                  <w:r>
                    <w:rPr>
                      <w:rFonts w:hint="eastAsia"/>
                      <w:color w:val="auto"/>
                      <w:szCs w:val="21"/>
                      <w:lang w:val="en-US" w:eastAsia="zh-CN"/>
                    </w:rPr>
                    <w:t>/</w:t>
                  </w:r>
                  <w:r>
                    <w:rPr>
                      <w:rFonts w:hint="eastAsia"/>
                      <w:color w:val="auto"/>
                      <w:szCs w:val="21"/>
                    </w:rPr>
                    <w:t>二级活性炭</w:t>
                  </w:r>
                  <w:r>
                    <w:rPr>
                      <w:rFonts w:hint="eastAsia"/>
                      <w:bCs/>
                      <w:color w:val="auto"/>
                      <w:szCs w:val="21"/>
                    </w:rPr>
                    <w:t>装置，</w:t>
                  </w:r>
                  <w:r>
                    <w:rPr>
                      <w:rFonts w:hint="eastAsia"/>
                      <w:color w:val="auto"/>
                      <w:szCs w:val="21"/>
                    </w:rPr>
                    <w:t>风机风量</w:t>
                  </w:r>
                  <w:r>
                    <w:rPr>
                      <w:rFonts w:hint="eastAsia"/>
                      <w:color w:val="auto"/>
                      <w:szCs w:val="21"/>
                      <w:lang w:val="en-US" w:eastAsia="zh-CN"/>
                    </w:rPr>
                    <w:t>2</w:t>
                  </w:r>
                  <w:r>
                    <w:rPr>
                      <w:rFonts w:hint="eastAsia"/>
                      <w:color w:val="auto"/>
                      <w:szCs w:val="21"/>
                    </w:rPr>
                    <w:t>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color w:val="auto"/>
                      <w:szCs w:val="21"/>
                      <w:lang w:eastAsia="zh-CN"/>
                    </w:rPr>
                    <w:t>水喷淋</w:t>
                  </w:r>
                  <w:r>
                    <w:rPr>
                      <w:rFonts w:hint="eastAsia"/>
                      <w:color w:val="auto"/>
                      <w:szCs w:val="21"/>
                    </w:rPr>
                    <w:t>+二级活性炭装置，风机风量10000m</w:t>
                  </w:r>
                  <w:r>
                    <w:rPr>
                      <w:rFonts w:hint="eastAsia"/>
                      <w:color w:val="auto"/>
                      <w:szCs w:val="21"/>
                      <w:vertAlign w:val="superscript"/>
                    </w:rPr>
                    <w:t>3</w:t>
                  </w:r>
                  <w:r>
                    <w:rPr>
                      <w:rFonts w:hint="eastAsia"/>
                      <w:color w:val="auto"/>
                      <w:szCs w:val="21"/>
                    </w:rPr>
                    <w:t>/h；1套负压集气系统</w:t>
                  </w:r>
                  <w:r>
                    <w:rPr>
                      <w:rFonts w:hint="eastAsia"/>
                      <w:color w:val="auto"/>
                      <w:szCs w:val="21"/>
                      <w:lang w:eastAsia="zh-CN"/>
                    </w:rPr>
                    <w:t>水喷淋</w:t>
                  </w:r>
                  <w:r>
                    <w:rPr>
                      <w:rFonts w:hint="eastAsia"/>
                      <w:color w:val="auto"/>
                      <w:szCs w:val="21"/>
                    </w:rPr>
                    <w:t>+</w:t>
                  </w:r>
                  <w:r>
                    <w:rPr>
                      <w:rFonts w:hint="eastAsia"/>
                      <w:color w:val="auto"/>
                      <w:szCs w:val="21"/>
                      <w:lang w:eastAsia="zh-CN"/>
                    </w:rPr>
                    <w:t>活性炭吸附脱附</w:t>
                  </w:r>
                  <w:r>
                    <w:rPr>
                      <w:rFonts w:hint="eastAsia"/>
                      <w:color w:val="auto"/>
                      <w:szCs w:val="21"/>
                    </w:rPr>
                    <w:t>+RCO</w:t>
                  </w:r>
                  <w:r>
                    <w:rPr>
                      <w:rFonts w:hint="eastAsia"/>
                      <w:bCs/>
                      <w:color w:val="auto"/>
                      <w:szCs w:val="21"/>
                    </w:rPr>
                    <w:t>装置，</w:t>
                  </w:r>
                  <w:r>
                    <w:rPr>
                      <w:rFonts w:hint="eastAsia"/>
                      <w:color w:val="auto"/>
                      <w:szCs w:val="21"/>
                    </w:rPr>
                    <w:t>风机风量20000</w:t>
                  </w:r>
                  <w:r>
                    <w:rPr>
                      <w:color w:val="auto"/>
                      <w:szCs w:val="21"/>
                    </w:rPr>
                    <w:t>m</w:t>
                  </w:r>
                  <w:r>
                    <w:rPr>
                      <w:color w:val="auto"/>
                      <w:szCs w:val="21"/>
                      <w:vertAlign w:val="superscript"/>
                    </w:rPr>
                    <w:t>3</w:t>
                  </w:r>
                  <w:r>
                    <w:rPr>
                      <w:color w:val="auto"/>
                      <w:szCs w:val="21"/>
                    </w:rPr>
                    <w:t>/h</w:t>
                  </w:r>
                </w:p>
              </w:tc>
              <w:tc>
                <w:tcPr>
                  <w:tcW w:w="1330" w:type="pct"/>
                  <w:shd w:val="clear" w:color="auto" w:fill="auto"/>
                  <w:noWrap w:val="0"/>
                  <w:tcMar>
                    <w:top w:w="0" w:type="dxa"/>
                    <w:left w:w="57" w:type="dxa"/>
                    <w:right w:w="57" w:type="dxa"/>
                  </w:tcMar>
                  <w:vAlign w:val="center"/>
                </w:tcPr>
                <w:p w14:paraId="61FF0A97">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eastAsia="宋体"/>
                      <w:color w:val="auto"/>
                      <w:szCs w:val="21"/>
                      <w:lang w:val="en-US" w:eastAsia="zh-CN"/>
                    </w:rPr>
                    <w:t>5套</w:t>
                  </w:r>
                  <w:r>
                    <w:rPr>
                      <w:rFonts w:hint="eastAsia"/>
                      <w:color w:val="auto"/>
                      <w:szCs w:val="21"/>
                    </w:rPr>
                    <w:t>负压集气系统+布袋除尘</w:t>
                  </w:r>
                  <w:r>
                    <w:rPr>
                      <w:rFonts w:hint="eastAsia"/>
                      <w:bCs/>
                      <w:color w:val="auto"/>
                      <w:szCs w:val="21"/>
                    </w:rPr>
                    <w:t>装置，</w:t>
                  </w:r>
                  <w:r>
                    <w:rPr>
                      <w:color w:val="auto"/>
                      <w:szCs w:val="21"/>
                    </w:rPr>
                    <w:t>风机风量</w:t>
                  </w:r>
                  <w:r>
                    <w:rPr>
                      <w:rFonts w:hint="eastAsia"/>
                      <w:color w:val="auto"/>
                      <w:szCs w:val="21"/>
                    </w:rPr>
                    <w:t>1</w:t>
                  </w:r>
                  <w:r>
                    <w:rPr>
                      <w:color w:val="auto"/>
                      <w:szCs w:val="21"/>
                    </w:rPr>
                    <w:t>0</w:t>
                  </w:r>
                  <w:r>
                    <w:rPr>
                      <w:rFonts w:hint="eastAsia"/>
                      <w:color w:val="auto"/>
                      <w:szCs w:val="21"/>
                    </w:rPr>
                    <w:t>0</w:t>
                  </w:r>
                  <w:r>
                    <w:rPr>
                      <w:color w:val="auto"/>
                      <w:szCs w:val="21"/>
                    </w:rPr>
                    <w:t>00m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eastAsia="宋体"/>
                      <w:color w:val="auto"/>
                      <w:szCs w:val="21"/>
                      <w:lang w:eastAsia="zh-CN"/>
                    </w:rPr>
                    <w:t>布袋除尘器</w:t>
                  </w:r>
                  <w:r>
                    <w:rPr>
                      <w:rFonts w:hint="eastAsia"/>
                      <w:color w:val="auto"/>
                      <w:szCs w:val="21"/>
                    </w:rPr>
                    <w:t>+二级活性炭</w:t>
                  </w:r>
                  <w:r>
                    <w:rPr>
                      <w:rFonts w:hint="eastAsia"/>
                      <w:bCs/>
                      <w:color w:val="auto"/>
                      <w:szCs w:val="21"/>
                    </w:rPr>
                    <w:t>装置，</w:t>
                  </w:r>
                  <w:r>
                    <w:rPr>
                      <w:rFonts w:hint="eastAsia"/>
                      <w:color w:val="auto"/>
                      <w:szCs w:val="21"/>
                    </w:rPr>
                    <w:t>风机风量10000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color w:val="auto"/>
                      <w:szCs w:val="21"/>
                      <w:lang w:eastAsia="zh-CN"/>
                    </w:rPr>
                    <w:t>布袋除尘器</w:t>
                  </w:r>
                  <w:r>
                    <w:rPr>
                      <w:rFonts w:hint="eastAsia"/>
                      <w:color w:val="auto"/>
                      <w:szCs w:val="21"/>
                      <w:lang w:val="en-US" w:eastAsia="zh-CN"/>
                    </w:rPr>
                    <w:t>/</w:t>
                  </w:r>
                  <w:r>
                    <w:rPr>
                      <w:rFonts w:hint="eastAsia"/>
                      <w:color w:val="auto"/>
                      <w:szCs w:val="21"/>
                    </w:rPr>
                    <w:t>二级活性炭</w:t>
                  </w:r>
                  <w:r>
                    <w:rPr>
                      <w:rFonts w:hint="eastAsia"/>
                      <w:bCs/>
                      <w:color w:val="auto"/>
                      <w:szCs w:val="21"/>
                    </w:rPr>
                    <w:t>装置，</w:t>
                  </w:r>
                  <w:r>
                    <w:rPr>
                      <w:rFonts w:hint="eastAsia"/>
                      <w:color w:val="auto"/>
                      <w:szCs w:val="21"/>
                    </w:rPr>
                    <w:t>风机风量</w:t>
                  </w:r>
                  <w:r>
                    <w:rPr>
                      <w:rFonts w:hint="eastAsia"/>
                      <w:color w:val="auto"/>
                      <w:szCs w:val="21"/>
                      <w:lang w:val="en-US" w:eastAsia="zh-CN"/>
                    </w:rPr>
                    <w:t>2</w:t>
                  </w:r>
                  <w:r>
                    <w:rPr>
                      <w:rFonts w:hint="eastAsia"/>
                      <w:color w:val="auto"/>
                      <w:szCs w:val="21"/>
                    </w:rPr>
                    <w:t>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color w:val="auto"/>
                      <w:szCs w:val="21"/>
                      <w:lang w:val="en-US" w:eastAsia="zh-CN"/>
                    </w:rPr>
                    <w:t>1</w:t>
                  </w:r>
                  <w:r>
                    <w:rPr>
                      <w:rFonts w:hint="eastAsia"/>
                      <w:color w:val="auto"/>
                      <w:szCs w:val="21"/>
                    </w:rPr>
                    <w:t>套负压集气系统</w:t>
                  </w:r>
                  <w:r>
                    <w:rPr>
                      <w:rFonts w:hint="eastAsia" w:eastAsia="宋体"/>
                      <w:color w:val="auto"/>
                      <w:szCs w:val="21"/>
                      <w:lang w:eastAsia="zh-CN"/>
                    </w:rPr>
                    <w:t>水喷淋</w:t>
                  </w:r>
                  <w:r>
                    <w:rPr>
                      <w:rFonts w:hint="eastAsia"/>
                      <w:color w:val="auto"/>
                      <w:szCs w:val="21"/>
                    </w:rPr>
                    <w:t>+二级活性炭装置，风机风量10000m</w:t>
                  </w:r>
                  <w:r>
                    <w:rPr>
                      <w:rFonts w:hint="eastAsia"/>
                      <w:color w:val="auto"/>
                      <w:szCs w:val="21"/>
                      <w:vertAlign w:val="superscript"/>
                    </w:rPr>
                    <w:t>3</w:t>
                  </w:r>
                  <w:r>
                    <w:rPr>
                      <w:rFonts w:hint="eastAsia"/>
                      <w:color w:val="auto"/>
                      <w:szCs w:val="21"/>
                    </w:rPr>
                    <w:t>/h；1套负压集气系统</w:t>
                  </w:r>
                  <w:r>
                    <w:rPr>
                      <w:rFonts w:hint="eastAsia" w:eastAsia="宋体"/>
                      <w:color w:val="auto"/>
                      <w:szCs w:val="21"/>
                      <w:lang w:eastAsia="zh-CN"/>
                    </w:rPr>
                    <w:t>水喷淋</w:t>
                  </w:r>
                  <w:r>
                    <w:rPr>
                      <w:rFonts w:hint="eastAsia"/>
                      <w:color w:val="auto"/>
                      <w:szCs w:val="21"/>
                    </w:rPr>
                    <w:t>+</w:t>
                  </w:r>
                  <w:r>
                    <w:rPr>
                      <w:rFonts w:hint="eastAsia"/>
                      <w:color w:val="auto"/>
                      <w:szCs w:val="21"/>
                      <w:lang w:eastAsia="zh-CN"/>
                    </w:rPr>
                    <w:t>活性炭吸附脱附</w:t>
                  </w:r>
                  <w:r>
                    <w:rPr>
                      <w:rFonts w:hint="eastAsia"/>
                      <w:color w:val="auto"/>
                      <w:szCs w:val="21"/>
                      <w:lang w:val="en-US" w:eastAsia="zh-CN"/>
                    </w:rPr>
                    <w:t>+</w:t>
                  </w:r>
                  <w:r>
                    <w:rPr>
                      <w:rFonts w:hint="eastAsia"/>
                      <w:color w:val="auto"/>
                      <w:szCs w:val="21"/>
                    </w:rPr>
                    <w:t>RCO</w:t>
                  </w:r>
                  <w:r>
                    <w:rPr>
                      <w:rFonts w:hint="eastAsia"/>
                      <w:bCs/>
                      <w:color w:val="auto"/>
                      <w:szCs w:val="21"/>
                    </w:rPr>
                    <w:t>装置，</w:t>
                  </w:r>
                  <w:r>
                    <w:rPr>
                      <w:rFonts w:hint="eastAsia"/>
                      <w:color w:val="auto"/>
                      <w:szCs w:val="21"/>
                    </w:rPr>
                    <w:t>风机风量20000</w:t>
                  </w:r>
                  <w:r>
                    <w:rPr>
                      <w:color w:val="auto"/>
                      <w:szCs w:val="21"/>
                    </w:rPr>
                    <w:t>m</w:t>
                  </w:r>
                  <w:r>
                    <w:rPr>
                      <w:color w:val="auto"/>
                      <w:szCs w:val="21"/>
                      <w:vertAlign w:val="superscript"/>
                    </w:rPr>
                    <w:t>3</w:t>
                  </w:r>
                  <w:r>
                    <w:rPr>
                      <w:color w:val="auto"/>
                      <w:szCs w:val="21"/>
                    </w:rPr>
                    <w:t>/h</w:t>
                  </w:r>
                </w:p>
              </w:tc>
            </w:tr>
            <w:tr w14:paraId="5328836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25E29D52">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vMerge w:val="restart"/>
                  <w:noWrap w:val="0"/>
                  <w:tcMar>
                    <w:top w:w="0" w:type="dxa"/>
                    <w:left w:w="57" w:type="dxa"/>
                    <w:right w:w="57" w:type="dxa"/>
                  </w:tcMar>
                  <w:vAlign w:val="center"/>
                </w:tcPr>
                <w:p w14:paraId="138D2DF2">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废水</w:t>
                  </w:r>
                </w:p>
              </w:tc>
              <w:tc>
                <w:tcPr>
                  <w:tcW w:w="1417" w:type="pct"/>
                  <w:shd w:val="clear" w:color="auto" w:fill="auto"/>
                  <w:noWrap w:val="0"/>
                  <w:tcMar>
                    <w:top w:w="0" w:type="dxa"/>
                    <w:left w:w="57" w:type="dxa"/>
                    <w:right w:w="57" w:type="dxa"/>
                  </w:tcMar>
                  <w:vAlign w:val="center"/>
                </w:tcPr>
                <w:p w14:paraId="4392F0A7">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Cs/>
                      <w:color w:val="auto"/>
                      <w:w w:val="100"/>
                      <w:kern w:val="2"/>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循环冷却水</w:t>
                  </w:r>
                  <w:r>
                    <w:rPr>
                      <w:rFonts w:hint="eastAsia" w:cs="Times New Roman"/>
                      <w:bCs/>
                      <w:color w:val="auto"/>
                      <w:w w:val="100"/>
                      <w:sz w:val="21"/>
                      <w:szCs w:val="21"/>
                      <w:highlight w:val="none"/>
                      <w:lang w:val="en-US" w:eastAsia="zh-CN"/>
                    </w:rPr>
                    <w:t>，絮凝后循环使用</w:t>
                  </w:r>
                </w:p>
              </w:tc>
              <w:tc>
                <w:tcPr>
                  <w:tcW w:w="1300" w:type="pct"/>
                  <w:shd w:val="clear" w:color="auto" w:fill="auto"/>
                  <w:noWrap w:val="0"/>
                  <w:tcMar>
                    <w:top w:w="0" w:type="dxa"/>
                    <w:left w:w="57" w:type="dxa"/>
                    <w:right w:w="57" w:type="dxa"/>
                  </w:tcMar>
                  <w:vAlign w:val="center"/>
                </w:tcPr>
                <w:p w14:paraId="03E9EC8F">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rFonts w:hint="eastAsia"/>
                      <w:bCs/>
                      <w:color w:val="auto"/>
                      <w:szCs w:val="21"/>
                    </w:rPr>
                    <w:t>循环冷却水，絮凝后循环使用</w:t>
                  </w:r>
                </w:p>
              </w:tc>
              <w:tc>
                <w:tcPr>
                  <w:tcW w:w="1330" w:type="pct"/>
                  <w:shd w:val="clear" w:color="auto" w:fill="auto"/>
                  <w:noWrap w:val="0"/>
                  <w:tcMar>
                    <w:top w:w="0" w:type="dxa"/>
                    <w:left w:w="57" w:type="dxa"/>
                    <w:right w:w="57" w:type="dxa"/>
                  </w:tcMar>
                  <w:vAlign w:val="center"/>
                </w:tcPr>
                <w:p w14:paraId="0B2E2A6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rFonts w:hint="eastAsia"/>
                      <w:bCs/>
                      <w:color w:val="auto"/>
                      <w:szCs w:val="21"/>
                    </w:rPr>
                    <w:t>循环冷却水，絮凝后循环使用</w:t>
                  </w:r>
                </w:p>
              </w:tc>
            </w:tr>
            <w:tr w14:paraId="7D54C62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74B99701">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vMerge w:val="continue"/>
                  <w:noWrap w:val="0"/>
                  <w:tcMar>
                    <w:top w:w="0" w:type="dxa"/>
                    <w:left w:w="57" w:type="dxa"/>
                    <w:right w:w="57" w:type="dxa"/>
                  </w:tcMar>
                  <w:vAlign w:val="center"/>
                </w:tcPr>
                <w:p w14:paraId="0B36FFD0">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1417" w:type="pct"/>
                  <w:shd w:val="clear" w:color="auto" w:fill="auto"/>
                  <w:noWrap w:val="0"/>
                  <w:tcMar>
                    <w:top w:w="0" w:type="dxa"/>
                    <w:left w:w="57" w:type="dxa"/>
                    <w:right w:w="57" w:type="dxa"/>
                  </w:tcMar>
                  <w:vAlign w:val="center"/>
                </w:tcPr>
                <w:p w14:paraId="0B0C74AF">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Cs/>
                      <w:color w:val="auto"/>
                      <w:w w:val="100"/>
                      <w:kern w:val="2"/>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清洗废水</w:t>
                  </w:r>
                  <w:r>
                    <w:rPr>
                      <w:rFonts w:hint="eastAsia" w:cs="Times New Roman"/>
                      <w:bCs/>
                      <w:color w:val="auto"/>
                      <w:w w:val="100"/>
                      <w:sz w:val="21"/>
                      <w:szCs w:val="21"/>
                      <w:highlight w:val="none"/>
                      <w:lang w:val="en-US" w:eastAsia="zh-CN"/>
                    </w:rPr>
                    <w:t>，经沉淀池处理后循环使用</w:t>
                  </w:r>
                </w:p>
              </w:tc>
              <w:tc>
                <w:tcPr>
                  <w:tcW w:w="1300" w:type="pct"/>
                  <w:shd w:val="clear" w:color="auto" w:fill="auto"/>
                  <w:noWrap w:val="0"/>
                  <w:tcMar>
                    <w:top w:w="0" w:type="dxa"/>
                    <w:left w:w="57" w:type="dxa"/>
                    <w:right w:w="57" w:type="dxa"/>
                  </w:tcMar>
                  <w:vAlign w:val="center"/>
                </w:tcPr>
                <w:p w14:paraId="00D47B3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rFonts w:hint="eastAsia"/>
                      <w:bCs/>
                      <w:color w:val="auto"/>
                      <w:szCs w:val="21"/>
                    </w:rPr>
                    <w:t>清洗废水，经沉淀池处理后循环使用</w:t>
                  </w:r>
                </w:p>
              </w:tc>
              <w:tc>
                <w:tcPr>
                  <w:tcW w:w="1330" w:type="pct"/>
                  <w:shd w:val="clear" w:color="auto" w:fill="auto"/>
                  <w:noWrap w:val="0"/>
                  <w:tcMar>
                    <w:top w:w="0" w:type="dxa"/>
                    <w:left w:w="57" w:type="dxa"/>
                    <w:right w:w="57" w:type="dxa"/>
                  </w:tcMar>
                  <w:vAlign w:val="center"/>
                </w:tcPr>
                <w:p w14:paraId="3DB33429">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rFonts w:hint="eastAsia"/>
                      <w:bCs/>
                      <w:color w:val="auto"/>
                      <w:szCs w:val="21"/>
                    </w:rPr>
                    <w:t>清洗废水，经沉淀池处理后循环使用</w:t>
                  </w:r>
                </w:p>
              </w:tc>
            </w:tr>
            <w:tr w14:paraId="07B57A7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3D884F34">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vMerge w:val="continue"/>
                  <w:noWrap w:val="0"/>
                  <w:tcMar>
                    <w:top w:w="0" w:type="dxa"/>
                    <w:left w:w="57" w:type="dxa"/>
                    <w:right w:w="57" w:type="dxa"/>
                  </w:tcMar>
                  <w:vAlign w:val="center"/>
                </w:tcPr>
                <w:p w14:paraId="7AE4E66E">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1417" w:type="pct"/>
                  <w:shd w:val="clear" w:color="auto" w:fill="auto"/>
                  <w:noWrap w:val="0"/>
                  <w:tcMar>
                    <w:top w:w="0" w:type="dxa"/>
                    <w:left w:w="57" w:type="dxa"/>
                    <w:right w:w="57" w:type="dxa"/>
                  </w:tcMar>
                  <w:vAlign w:val="center"/>
                </w:tcPr>
                <w:p w14:paraId="11972B06">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eastAsia" w:ascii="Times New Roman" w:hAnsi="Times New Roman" w:eastAsia="宋体" w:cs="Times New Roman"/>
                      <w:bCs/>
                      <w:color w:val="auto"/>
                      <w:w w:val="100"/>
                      <w:kern w:val="2"/>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员工生活废水1080</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r>
                    <w:rPr>
                      <w:rFonts w:hint="eastAsia" w:cs="Times New Roman"/>
                      <w:bCs/>
                      <w:color w:val="auto"/>
                      <w:w w:val="100"/>
                      <w:sz w:val="21"/>
                      <w:szCs w:val="21"/>
                      <w:highlight w:val="none"/>
                      <w:lang w:eastAsia="zh-CN"/>
                    </w:rPr>
                    <w:t>，经化粪池处理后定期清掏</w:t>
                  </w:r>
                </w:p>
              </w:tc>
              <w:tc>
                <w:tcPr>
                  <w:tcW w:w="1300" w:type="pct"/>
                  <w:shd w:val="clear" w:color="auto" w:fill="auto"/>
                  <w:noWrap w:val="0"/>
                  <w:tcMar>
                    <w:top w:w="0" w:type="dxa"/>
                    <w:left w:w="57" w:type="dxa"/>
                    <w:right w:w="57" w:type="dxa"/>
                  </w:tcMar>
                  <w:vAlign w:val="center"/>
                </w:tcPr>
                <w:p w14:paraId="20D675DB">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Times New Roman" w:hAnsi="Times New Roman" w:eastAsia="宋体" w:cs="Times New Roman"/>
                      <w:bCs/>
                      <w:color w:val="auto"/>
                      <w:kern w:val="2"/>
                      <w:sz w:val="21"/>
                      <w:szCs w:val="21"/>
                      <w:highlight w:val="yellow"/>
                      <w:lang w:val="en-US" w:eastAsia="zh-CN" w:bidi="ar-SA"/>
                    </w:rPr>
                  </w:pPr>
                  <w:r>
                    <w:rPr>
                      <w:rFonts w:hint="eastAsia"/>
                      <w:bCs/>
                      <w:color w:val="auto"/>
                      <w:szCs w:val="21"/>
                    </w:rPr>
                    <w:t>员工生活废水</w:t>
                  </w:r>
                  <w:r>
                    <w:rPr>
                      <w:rFonts w:hint="eastAsia"/>
                      <w:bCs/>
                      <w:color w:val="auto"/>
                      <w:szCs w:val="21"/>
                      <w:lang w:val="en-US" w:eastAsia="zh-CN"/>
                    </w:rPr>
                    <w:t>1350</w:t>
                  </w:r>
                  <w:r>
                    <w:rPr>
                      <w:bCs/>
                      <w:color w:val="auto"/>
                      <w:szCs w:val="21"/>
                    </w:rPr>
                    <w:t>m</w:t>
                  </w:r>
                  <w:r>
                    <w:rPr>
                      <w:bCs/>
                      <w:color w:val="auto"/>
                      <w:szCs w:val="21"/>
                      <w:vertAlign w:val="superscript"/>
                    </w:rPr>
                    <w:t>3</w:t>
                  </w:r>
                  <w:r>
                    <w:rPr>
                      <w:bCs/>
                      <w:color w:val="auto"/>
                      <w:szCs w:val="21"/>
                    </w:rPr>
                    <w:t>/a</w:t>
                  </w:r>
                  <w:r>
                    <w:rPr>
                      <w:rFonts w:hint="eastAsia"/>
                      <w:bCs/>
                      <w:color w:val="auto"/>
                      <w:szCs w:val="21"/>
                    </w:rPr>
                    <w:t>，经化粪池处理后</w:t>
                  </w:r>
                  <w:r>
                    <w:rPr>
                      <w:rFonts w:hint="eastAsia"/>
                      <w:bCs/>
                      <w:color w:val="auto"/>
                      <w:szCs w:val="21"/>
                      <w:lang w:eastAsia="zh-CN"/>
                    </w:rPr>
                    <w:t>接管徐溜镇污水处理厂处理</w:t>
                  </w:r>
                </w:p>
              </w:tc>
              <w:tc>
                <w:tcPr>
                  <w:tcW w:w="1330" w:type="pct"/>
                  <w:shd w:val="clear" w:color="auto" w:fill="auto"/>
                  <w:noWrap w:val="0"/>
                  <w:tcMar>
                    <w:top w:w="0" w:type="dxa"/>
                    <w:left w:w="57" w:type="dxa"/>
                    <w:right w:w="57" w:type="dxa"/>
                  </w:tcMar>
                  <w:vAlign w:val="center"/>
                </w:tcPr>
                <w:p w14:paraId="6DEEB69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rFonts w:hint="eastAsia"/>
                      <w:bCs/>
                      <w:color w:val="auto"/>
                      <w:szCs w:val="21"/>
                    </w:rPr>
                    <w:t>员工生活废水</w:t>
                  </w:r>
                  <w:r>
                    <w:rPr>
                      <w:rFonts w:hint="eastAsia"/>
                      <w:bCs/>
                      <w:color w:val="auto"/>
                      <w:szCs w:val="21"/>
                      <w:lang w:val="en-US" w:eastAsia="zh-CN"/>
                    </w:rPr>
                    <w:t>1350</w:t>
                  </w:r>
                  <w:r>
                    <w:rPr>
                      <w:bCs/>
                      <w:color w:val="auto"/>
                      <w:szCs w:val="21"/>
                    </w:rPr>
                    <w:t>m</w:t>
                  </w:r>
                  <w:r>
                    <w:rPr>
                      <w:bCs/>
                      <w:color w:val="auto"/>
                      <w:szCs w:val="21"/>
                      <w:vertAlign w:val="superscript"/>
                    </w:rPr>
                    <w:t>3</w:t>
                  </w:r>
                  <w:r>
                    <w:rPr>
                      <w:bCs/>
                      <w:color w:val="auto"/>
                      <w:szCs w:val="21"/>
                    </w:rPr>
                    <w:t>/a</w:t>
                  </w:r>
                  <w:r>
                    <w:rPr>
                      <w:rFonts w:hint="eastAsia"/>
                      <w:bCs/>
                      <w:color w:val="auto"/>
                      <w:szCs w:val="21"/>
                    </w:rPr>
                    <w:t>，经化粪池处理后</w:t>
                  </w:r>
                  <w:r>
                    <w:rPr>
                      <w:rFonts w:hint="eastAsia"/>
                      <w:bCs/>
                      <w:color w:val="auto"/>
                      <w:szCs w:val="21"/>
                      <w:lang w:eastAsia="zh-CN"/>
                    </w:rPr>
                    <w:t>接管徐溜镇污水处理厂处理</w:t>
                  </w:r>
                </w:p>
              </w:tc>
            </w:tr>
            <w:tr w14:paraId="5CB0FB0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21FE40E5">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noWrap w:val="0"/>
                  <w:tcMar>
                    <w:top w:w="0" w:type="dxa"/>
                    <w:left w:w="57" w:type="dxa"/>
                    <w:right w:w="57" w:type="dxa"/>
                  </w:tcMar>
                  <w:vAlign w:val="center"/>
                </w:tcPr>
                <w:p w14:paraId="446C5DB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噪声</w:t>
                  </w:r>
                </w:p>
              </w:tc>
              <w:tc>
                <w:tcPr>
                  <w:tcW w:w="1417" w:type="pct"/>
                  <w:shd w:val="clear" w:color="auto" w:fill="auto"/>
                  <w:noWrap w:val="0"/>
                  <w:tcMar>
                    <w:top w:w="0" w:type="dxa"/>
                    <w:left w:w="57" w:type="dxa"/>
                    <w:right w:w="57" w:type="dxa"/>
                  </w:tcMar>
                  <w:vAlign w:val="center"/>
                </w:tcPr>
                <w:p w14:paraId="67CE06D0">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Cs/>
                      <w:color w:val="auto"/>
                      <w:w w:val="100"/>
                      <w:kern w:val="2"/>
                      <w:sz w:val="21"/>
                      <w:szCs w:val="21"/>
                      <w:highlight w:val="none"/>
                      <w:lang w:val="en-US" w:eastAsia="zh-CN" w:bidi="ar-SA"/>
                    </w:rPr>
                  </w:pPr>
                  <w:r>
                    <w:rPr>
                      <w:rFonts w:hint="default" w:ascii="Times New Roman" w:hAnsi="Times New Roman" w:eastAsia="宋体" w:cs="Times New Roman"/>
                      <w:bCs/>
                      <w:color w:val="auto"/>
                      <w:w w:val="100"/>
                      <w:sz w:val="21"/>
                      <w:szCs w:val="21"/>
                      <w:highlight w:val="none"/>
                    </w:rPr>
                    <w:t>车间隔声，厂房隔声，设备合理布局等。</w:t>
                  </w:r>
                </w:p>
              </w:tc>
              <w:tc>
                <w:tcPr>
                  <w:tcW w:w="1300" w:type="pct"/>
                  <w:shd w:val="clear" w:color="auto" w:fill="auto"/>
                  <w:noWrap w:val="0"/>
                  <w:tcMar>
                    <w:top w:w="0" w:type="dxa"/>
                    <w:left w:w="57" w:type="dxa"/>
                    <w:right w:w="57" w:type="dxa"/>
                  </w:tcMar>
                  <w:vAlign w:val="center"/>
                </w:tcPr>
                <w:p w14:paraId="6F8AB00E">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bCs/>
                      <w:color w:val="auto"/>
                      <w:szCs w:val="21"/>
                    </w:rPr>
                    <w:t>车间隔声，厂房隔声，设备合理布局等。</w:t>
                  </w:r>
                </w:p>
              </w:tc>
              <w:tc>
                <w:tcPr>
                  <w:tcW w:w="1330" w:type="pct"/>
                  <w:shd w:val="clear" w:color="auto" w:fill="auto"/>
                  <w:noWrap w:val="0"/>
                  <w:tcMar>
                    <w:top w:w="0" w:type="dxa"/>
                    <w:left w:w="57" w:type="dxa"/>
                    <w:right w:w="57" w:type="dxa"/>
                  </w:tcMar>
                  <w:vAlign w:val="center"/>
                </w:tcPr>
                <w:p w14:paraId="1E269657">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bCs/>
                      <w:color w:val="auto"/>
                      <w:szCs w:val="21"/>
                    </w:rPr>
                    <w:t>车间隔声，厂房隔声，设备合理布局等。</w:t>
                  </w:r>
                </w:p>
              </w:tc>
            </w:tr>
            <w:tr w14:paraId="1C4DF23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5509818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noWrap w:val="0"/>
                  <w:tcMar>
                    <w:top w:w="0" w:type="dxa"/>
                    <w:left w:w="57" w:type="dxa"/>
                    <w:right w:w="57" w:type="dxa"/>
                  </w:tcMar>
                  <w:vAlign w:val="center"/>
                </w:tcPr>
                <w:p w14:paraId="29FB4A13">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固废</w:t>
                  </w:r>
                </w:p>
              </w:tc>
              <w:tc>
                <w:tcPr>
                  <w:tcW w:w="1417" w:type="pct"/>
                  <w:shd w:val="clear" w:color="auto" w:fill="auto"/>
                  <w:noWrap w:val="0"/>
                  <w:tcMar>
                    <w:top w:w="0" w:type="dxa"/>
                    <w:left w:w="57" w:type="dxa"/>
                    <w:right w:w="57" w:type="dxa"/>
                  </w:tcMar>
                  <w:vAlign w:val="center"/>
                </w:tcPr>
                <w:p w14:paraId="49B40110">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eastAsia" w:ascii="Times New Roman" w:hAnsi="Times New Roman" w:eastAsia="宋体" w:cs="Times New Roman"/>
                      <w:bCs/>
                      <w:color w:val="auto"/>
                      <w:w w:val="100"/>
                      <w:kern w:val="2"/>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rPr>
                    <w:t>一般固废暂存点</w:t>
                  </w:r>
                  <w:r>
                    <w:rPr>
                      <w:rFonts w:hint="eastAsia" w:cs="Times New Roman"/>
                      <w:bCs/>
                      <w:color w:val="auto"/>
                      <w:w w:val="100"/>
                      <w:sz w:val="21"/>
                      <w:szCs w:val="21"/>
                      <w:highlight w:val="none"/>
                      <w:lang w:eastAsia="zh-CN"/>
                    </w:rPr>
                    <w:t>，</w:t>
                  </w:r>
                  <w:r>
                    <w:rPr>
                      <w:rFonts w:hint="default" w:ascii="Times New Roman" w:hAnsi="Times New Roman" w:eastAsia="宋体" w:cs="Times New Roman"/>
                      <w:color w:val="auto"/>
                      <w:sz w:val="21"/>
                      <w:szCs w:val="21"/>
                    </w:rPr>
                    <w:t>位于</w:t>
                  </w:r>
                  <w:r>
                    <w:rPr>
                      <w:rFonts w:hint="default" w:ascii="Times New Roman" w:hAnsi="Times New Roman" w:eastAsia="宋体" w:cs="Times New Roman"/>
                      <w:color w:val="auto"/>
                      <w:sz w:val="21"/>
                      <w:szCs w:val="21"/>
                      <w:lang w:val="en-US" w:eastAsia="zh-CN"/>
                    </w:rPr>
                    <w:t>1#厂房</w:t>
                  </w:r>
                  <w:r>
                    <w:rPr>
                      <w:rFonts w:hint="default" w:ascii="Times New Roman" w:hAnsi="Times New Roman" w:eastAsia="宋体" w:cs="Times New Roman"/>
                      <w:color w:val="auto"/>
                      <w:sz w:val="21"/>
                      <w:szCs w:val="21"/>
                    </w:rPr>
                    <w:t>，面积</w:t>
                  </w:r>
                  <w:r>
                    <w:rPr>
                      <w:rFonts w:hint="eastAsia" w:cs="Times New Roman"/>
                      <w:color w:val="auto"/>
                      <w:sz w:val="21"/>
                      <w:szCs w:val="21"/>
                      <w:lang w:val="en-US" w:eastAsia="zh-CN"/>
                    </w:rPr>
                    <w:t>10</w:t>
                  </w:r>
                  <w:r>
                    <w:rPr>
                      <w:rFonts w:hint="default"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lang w:eastAsia="zh-CN"/>
                    </w:rPr>
                    <w:t>m</w:t>
                  </w:r>
                  <w:r>
                    <w:rPr>
                      <w:rFonts w:hint="default" w:ascii="Times New Roman" w:hAnsi="Times New Roman" w:eastAsia="宋体" w:cs="Times New Roman"/>
                      <w:color w:val="auto"/>
                      <w:sz w:val="21"/>
                      <w:szCs w:val="21"/>
                      <w:vertAlign w:val="superscript"/>
                      <w:lang w:eastAsia="zh-CN"/>
                    </w:rPr>
                    <w:t>2</w:t>
                  </w:r>
                </w:p>
              </w:tc>
              <w:tc>
                <w:tcPr>
                  <w:tcW w:w="1300" w:type="pct"/>
                  <w:shd w:val="clear" w:color="auto" w:fill="auto"/>
                  <w:noWrap w:val="0"/>
                  <w:tcMar>
                    <w:top w:w="0" w:type="dxa"/>
                    <w:left w:w="57" w:type="dxa"/>
                    <w:right w:w="57" w:type="dxa"/>
                  </w:tcMar>
                  <w:vAlign w:val="center"/>
                </w:tcPr>
                <w:p w14:paraId="7D68A4BD">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bCs/>
                      <w:color w:val="auto"/>
                      <w:szCs w:val="21"/>
                    </w:rPr>
                    <w:t>一般固废暂存点</w:t>
                  </w:r>
                  <w:r>
                    <w:rPr>
                      <w:rFonts w:hint="eastAsia"/>
                      <w:bCs/>
                      <w:color w:val="auto"/>
                      <w:szCs w:val="21"/>
                    </w:rPr>
                    <w:t>，</w:t>
                  </w:r>
                  <w:r>
                    <w:rPr>
                      <w:color w:val="auto"/>
                      <w:szCs w:val="21"/>
                    </w:rPr>
                    <w:t>位于1#厂房</w:t>
                  </w:r>
                  <w:r>
                    <w:rPr>
                      <w:rFonts w:hint="eastAsia"/>
                      <w:color w:val="auto"/>
                      <w:szCs w:val="21"/>
                      <w:lang w:eastAsia="zh-CN"/>
                    </w:rPr>
                    <w:t>西侧</w:t>
                  </w:r>
                  <w:r>
                    <w:rPr>
                      <w:color w:val="auto"/>
                      <w:szCs w:val="21"/>
                    </w:rPr>
                    <w:t>，面积</w:t>
                  </w:r>
                  <w:r>
                    <w:rPr>
                      <w:rFonts w:hint="eastAsia"/>
                      <w:color w:val="auto"/>
                      <w:szCs w:val="21"/>
                      <w:lang w:val="en-US" w:eastAsia="zh-CN"/>
                    </w:rPr>
                    <w:t>10</w:t>
                  </w:r>
                  <w:r>
                    <w:rPr>
                      <w:color w:val="auto"/>
                      <w:szCs w:val="21"/>
                    </w:rPr>
                    <w:t>0m</w:t>
                  </w:r>
                  <w:r>
                    <w:rPr>
                      <w:color w:val="auto"/>
                      <w:szCs w:val="21"/>
                      <w:vertAlign w:val="superscript"/>
                    </w:rPr>
                    <w:t>2</w:t>
                  </w:r>
                </w:p>
              </w:tc>
              <w:tc>
                <w:tcPr>
                  <w:tcW w:w="1330" w:type="pct"/>
                  <w:shd w:val="clear" w:color="auto" w:fill="auto"/>
                  <w:noWrap w:val="0"/>
                  <w:tcMar>
                    <w:top w:w="0" w:type="dxa"/>
                    <w:left w:w="57" w:type="dxa"/>
                    <w:right w:w="57" w:type="dxa"/>
                  </w:tcMar>
                  <w:vAlign w:val="center"/>
                </w:tcPr>
                <w:p w14:paraId="7E891D3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highlight w:val="yellow"/>
                      <w:lang w:val="en-US" w:eastAsia="zh-CN" w:bidi="ar-SA"/>
                    </w:rPr>
                  </w:pPr>
                  <w:r>
                    <w:rPr>
                      <w:bCs/>
                      <w:color w:val="auto"/>
                      <w:szCs w:val="21"/>
                    </w:rPr>
                    <w:t>一般固废暂存点</w:t>
                  </w:r>
                  <w:r>
                    <w:rPr>
                      <w:rFonts w:hint="eastAsia"/>
                      <w:bCs/>
                      <w:color w:val="auto"/>
                      <w:szCs w:val="21"/>
                    </w:rPr>
                    <w:t>，</w:t>
                  </w:r>
                  <w:r>
                    <w:rPr>
                      <w:color w:val="auto"/>
                      <w:szCs w:val="21"/>
                    </w:rPr>
                    <w:t>位于1#厂房</w:t>
                  </w:r>
                  <w:r>
                    <w:rPr>
                      <w:rFonts w:hint="eastAsia"/>
                      <w:color w:val="auto"/>
                      <w:szCs w:val="21"/>
                      <w:lang w:eastAsia="zh-CN"/>
                    </w:rPr>
                    <w:t>西侧</w:t>
                  </w:r>
                  <w:r>
                    <w:rPr>
                      <w:color w:val="auto"/>
                      <w:szCs w:val="21"/>
                    </w:rPr>
                    <w:t>，面积</w:t>
                  </w:r>
                  <w:r>
                    <w:rPr>
                      <w:rFonts w:hint="eastAsia"/>
                      <w:color w:val="auto"/>
                      <w:szCs w:val="21"/>
                      <w:lang w:val="en-US" w:eastAsia="zh-CN"/>
                    </w:rPr>
                    <w:t>10</w:t>
                  </w:r>
                  <w:r>
                    <w:rPr>
                      <w:color w:val="auto"/>
                      <w:szCs w:val="21"/>
                    </w:rPr>
                    <w:t>0m</w:t>
                  </w:r>
                  <w:r>
                    <w:rPr>
                      <w:color w:val="auto"/>
                      <w:szCs w:val="21"/>
                      <w:vertAlign w:val="superscript"/>
                    </w:rPr>
                    <w:t>2</w:t>
                  </w:r>
                </w:p>
              </w:tc>
            </w:tr>
            <w:tr w14:paraId="319132F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42" w:hRule="atLeast"/>
                <w:jc w:val="center"/>
              </w:trPr>
              <w:tc>
                <w:tcPr>
                  <w:tcW w:w="376" w:type="pct"/>
                  <w:vMerge w:val="continue"/>
                  <w:noWrap w:val="0"/>
                  <w:tcMar>
                    <w:top w:w="0" w:type="dxa"/>
                    <w:left w:w="57" w:type="dxa"/>
                    <w:right w:w="57" w:type="dxa"/>
                  </w:tcMar>
                  <w:vAlign w:val="center"/>
                </w:tcPr>
                <w:p w14:paraId="7030318F">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yellow"/>
                    </w:rPr>
                  </w:pPr>
                </w:p>
              </w:tc>
              <w:tc>
                <w:tcPr>
                  <w:tcW w:w="576" w:type="pct"/>
                  <w:noWrap w:val="0"/>
                  <w:tcMar>
                    <w:top w:w="0" w:type="dxa"/>
                    <w:left w:w="57" w:type="dxa"/>
                    <w:right w:w="57" w:type="dxa"/>
                  </w:tcMar>
                  <w:vAlign w:val="center"/>
                </w:tcPr>
                <w:p w14:paraId="16B97747">
                  <w:pPr>
                    <w:keepNext w:val="0"/>
                    <w:keepLines w:val="0"/>
                    <w:pageBreakBefore w:val="0"/>
                    <w:widowControl w:val="0"/>
                    <w:kinsoku/>
                    <w:wordWrap/>
                    <w:overflowPunct/>
                    <w:topLinePunct w:val="0"/>
                    <w:autoSpaceDE/>
                    <w:autoSpaceDN/>
                    <w:bidi w:val="0"/>
                    <w:adjustRightInd/>
                    <w:snapToGrid/>
                    <w:spacing w:line="340" w:lineRule="exact"/>
                    <w:ind w:left="0"/>
                    <w:jc w:val="center"/>
                    <w:textAlignment w:val="auto"/>
                    <w:outlineLvl w:val="9"/>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eastAsia="zh-CN"/>
                    </w:rPr>
                    <w:t>危废</w:t>
                  </w:r>
                </w:p>
              </w:tc>
              <w:tc>
                <w:tcPr>
                  <w:tcW w:w="1417" w:type="pct"/>
                  <w:shd w:val="clear" w:color="auto" w:fill="auto"/>
                  <w:noWrap w:val="0"/>
                  <w:tcMar>
                    <w:top w:w="0" w:type="dxa"/>
                    <w:left w:w="57" w:type="dxa"/>
                    <w:right w:w="57" w:type="dxa"/>
                  </w:tcMar>
                  <w:vAlign w:val="center"/>
                </w:tcPr>
                <w:p w14:paraId="27FD3B30">
                  <w:pPr>
                    <w:keepNext w:val="0"/>
                    <w:keepLines w:val="0"/>
                    <w:pageBreakBefore w:val="0"/>
                    <w:widowControl w:val="0"/>
                    <w:kinsoku/>
                    <w:wordWrap/>
                    <w:overflowPunct/>
                    <w:topLinePunct w:val="0"/>
                    <w:autoSpaceDE/>
                    <w:autoSpaceDN/>
                    <w:bidi w:val="0"/>
                    <w:adjustRightInd/>
                    <w:snapToGrid/>
                    <w:spacing w:line="340" w:lineRule="exact"/>
                    <w:ind w:left="0" w:leftChars="0"/>
                    <w:jc w:val="center"/>
                    <w:textAlignment w:val="auto"/>
                    <w:outlineLvl w:val="9"/>
                    <w:rPr>
                      <w:rFonts w:hint="default" w:ascii="Times New Roman" w:hAnsi="Times New Roman" w:eastAsia="宋体" w:cs="Times New Roman"/>
                      <w:bCs/>
                      <w:color w:val="auto"/>
                      <w:w w:val="100"/>
                      <w:kern w:val="2"/>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eastAsia="zh-CN"/>
                    </w:rPr>
                    <w:t>危废库</w:t>
                  </w:r>
                  <w:r>
                    <w:rPr>
                      <w:rFonts w:hint="eastAsia" w:cs="Times New Roman"/>
                      <w:bCs/>
                      <w:color w:val="auto"/>
                      <w:w w:val="100"/>
                      <w:sz w:val="21"/>
                      <w:szCs w:val="21"/>
                      <w:highlight w:val="none"/>
                      <w:lang w:eastAsia="zh-CN"/>
                    </w:rPr>
                    <w:t>，位于厂区西南侧，面积1</w:t>
                  </w:r>
                  <w:r>
                    <w:rPr>
                      <w:rFonts w:hint="eastAsia" w:cs="Times New Roman"/>
                      <w:bCs/>
                      <w:color w:val="auto"/>
                      <w:w w:val="100"/>
                      <w:sz w:val="21"/>
                      <w:szCs w:val="21"/>
                      <w:highlight w:val="none"/>
                      <w:lang w:val="en-US" w:eastAsia="zh-CN"/>
                    </w:rPr>
                    <w:t>7.5</w:t>
                  </w:r>
                  <w:r>
                    <w:rPr>
                      <w:rFonts w:hint="eastAsia" w:cs="Times New Roman"/>
                      <w:bCs/>
                      <w:color w:val="auto"/>
                      <w:w w:val="100"/>
                      <w:sz w:val="21"/>
                      <w:szCs w:val="21"/>
                      <w:highlight w:val="none"/>
                      <w:lang w:eastAsia="zh-CN"/>
                    </w:rPr>
                    <w:t>m</w:t>
                  </w:r>
                  <w:r>
                    <w:rPr>
                      <w:rFonts w:hint="eastAsia" w:cs="Times New Roman"/>
                      <w:bCs/>
                      <w:color w:val="auto"/>
                      <w:w w:val="100"/>
                      <w:sz w:val="21"/>
                      <w:szCs w:val="21"/>
                      <w:highlight w:val="none"/>
                      <w:vertAlign w:val="superscript"/>
                      <w:lang w:eastAsia="zh-CN"/>
                    </w:rPr>
                    <w:t>2</w:t>
                  </w:r>
                </w:p>
              </w:tc>
              <w:tc>
                <w:tcPr>
                  <w:tcW w:w="1300" w:type="pct"/>
                  <w:shd w:val="clear" w:color="auto" w:fill="auto"/>
                  <w:noWrap w:val="0"/>
                  <w:tcMar>
                    <w:top w:w="0" w:type="dxa"/>
                    <w:left w:w="57" w:type="dxa"/>
                    <w:right w:w="57" w:type="dxa"/>
                  </w:tcMar>
                  <w:vAlign w:val="center"/>
                </w:tcPr>
                <w:p w14:paraId="7ADC6C54">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危废库，</w:t>
                  </w:r>
                  <w:r>
                    <w:rPr>
                      <w:bCs/>
                      <w:color w:val="auto"/>
                      <w:szCs w:val="21"/>
                    </w:rPr>
                    <w:t>位于厂区</w:t>
                  </w:r>
                  <w:r>
                    <w:rPr>
                      <w:rFonts w:hint="eastAsia"/>
                      <w:bCs/>
                      <w:color w:val="auto"/>
                      <w:szCs w:val="21"/>
                    </w:rPr>
                    <w:t>西南</w:t>
                  </w:r>
                  <w:r>
                    <w:rPr>
                      <w:bCs/>
                      <w:color w:val="auto"/>
                      <w:szCs w:val="21"/>
                    </w:rPr>
                    <w:t>侧，面积</w:t>
                  </w:r>
                  <w:r>
                    <w:rPr>
                      <w:rFonts w:hint="eastAsia"/>
                      <w:bCs/>
                      <w:color w:val="auto"/>
                      <w:szCs w:val="21"/>
                    </w:rPr>
                    <w:t>17.5m</w:t>
                  </w:r>
                  <w:r>
                    <w:rPr>
                      <w:rFonts w:hint="eastAsia"/>
                      <w:bCs/>
                      <w:color w:val="auto"/>
                      <w:szCs w:val="21"/>
                      <w:vertAlign w:val="superscript"/>
                    </w:rPr>
                    <w:t>2</w:t>
                  </w:r>
                </w:p>
              </w:tc>
              <w:tc>
                <w:tcPr>
                  <w:tcW w:w="1330" w:type="pct"/>
                  <w:shd w:val="clear" w:color="auto" w:fill="auto"/>
                  <w:noWrap w:val="0"/>
                  <w:tcMar>
                    <w:top w:w="0" w:type="dxa"/>
                    <w:left w:w="57" w:type="dxa"/>
                    <w:right w:w="57" w:type="dxa"/>
                  </w:tcMar>
                  <w:vAlign w:val="center"/>
                </w:tcPr>
                <w:p w14:paraId="6E141719">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bCs/>
                      <w:color w:val="auto"/>
                      <w:kern w:val="2"/>
                      <w:sz w:val="21"/>
                      <w:szCs w:val="21"/>
                      <w:lang w:val="en-US" w:eastAsia="zh-CN" w:bidi="ar-SA"/>
                    </w:rPr>
                  </w:pPr>
                  <w:r>
                    <w:rPr>
                      <w:rFonts w:hint="eastAsia"/>
                      <w:bCs/>
                      <w:color w:val="auto"/>
                      <w:szCs w:val="21"/>
                    </w:rPr>
                    <w:t>危废库，</w:t>
                  </w:r>
                  <w:r>
                    <w:rPr>
                      <w:bCs/>
                      <w:color w:val="auto"/>
                      <w:szCs w:val="21"/>
                    </w:rPr>
                    <w:t>位于厂区</w:t>
                  </w:r>
                  <w:r>
                    <w:rPr>
                      <w:rFonts w:hint="eastAsia"/>
                      <w:bCs/>
                      <w:color w:val="auto"/>
                      <w:szCs w:val="21"/>
                    </w:rPr>
                    <w:t>西南</w:t>
                  </w:r>
                  <w:r>
                    <w:rPr>
                      <w:bCs/>
                      <w:color w:val="auto"/>
                      <w:szCs w:val="21"/>
                    </w:rPr>
                    <w:t>侧，面积</w:t>
                  </w:r>
                  <w:r>
                    <w:rPr>
                      <w:rFonts w:hint="eastAsia"/>
                      <w:bCs/>
                      <w:color w:val="auto"/>
                      <w:szCs w:val="21"/>
                    </w:rPr>
                    <w:t>17.5m</w:t>
                  </w:r>
                  <w:r>
                    <w:rPr>
                      <w:rFonts w:hint="eastAsia"/>
                      <w:bCs/>
                      <w:color w:val="auto"/>
                      <w:szCs w:val="21"/>
                      <w:vertAlign w:val="superscript"/>
                    </w:rPr>
                    <w:t>2</w:t>
                  </w:r>
                </w:p>
              </w:tc>
            </w:tr>
          </w:tbl>
          <w:p w14:paraId="4FB894F8">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3.</w:t>
            </w:r>
            <w:r>
              <w:rPr>
                <w:rFonts w:hint="default" w:ascii="Times New Roman" w:hAnsi="Times New Roman" w:eastAsia="宋体" w:cs="Times New Roman"/>
                <w:b/>
                <w:bCs/>
                <w:color w:val="auto"/>
                <w:sz w:val="22"/>
                <w:szCs w:val="22"/>
                <w:lang w:val="en-US" w:eastAsia="zh-CN"/>
              </w:rPr>
              <w:t>产品方案</w:t>
            </w:r>
          </w:p>
          <w:p w14:paraId="33E56684">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企业产品方案见</w:t>
            </w:r>
            <w:r>
              <w:rPr>
                <w:rFonts w:hint="eastAsia" w:ascii="Times New Roman" w:hAnsi="Times New Roman" w:eastAsia="宋体" w:cs="Times New Roman"/>
                <w:color w:val="auto"/>
                <w:sz w:val="22"/>
                <w:szCs w:val="22"/>
                <w:lang w:eastAsia="zh-CN"/>
              </w:rPr>
              <w:t>下表</w:t>
            </w:r>
            <w:r>
              <w:rPr>
                <w:rFonts w:hint="default" w:ascii="Times New Roman" w:hAnsi="Times New Roman" w:eastAsia="宋体" w:cs="Times New Roman"/>
                <w:color w:val="auto"/>
                <w:sz w:val="22"/>
                <w:szCs w:val="22"/>
              </w:rPr>
              <w:t>。</w:t>
            </w:r>
          </w:p>
          <w:p w14:paraId="6D194481">
            <w:pPr>
              <w:keepNext w:val="0"/>
              <w:keepLines w:val="0"/>
              <w:pageBreakBefore w:val="0"/>
              <w:widowControl w:val="0"/>
              <w:tabs>
                <w:tab w:val="left" w:pos="1107"/>
              </w:tabs>
              <w:kinsoku/>
              <w:wordWrap/>
              <w:overflowPunct/>
              <w:topLinePunct w:val="0"/>
              <w:autoSpaceDE/>
              <w:autoSpaceDN/>
              <w:bidi w:val="0"/>
              <w:adjustRightInd/>
              <w:snapToGrid/>
              <w:spacing w:line="500" w:lineRule="exact"/>
              <w:ind w:left="0"/>
              <w:jc w:val="center"/>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b/>
                <w:color w:val="auto"/>
                <w:kern w:val="0"/>
                <w:sz w:val="22"/>
                <w:szCs w:val="22"/>
                <w:lang w:val="en-US" w:eastAsia="zh-CN" w:bidi="ar-SA"/>
              </w:rPr>
              <w:t>表2-</w:t>
            </w:r>
            <w:r>
              <w:rPr>
                <w:rFonts w:hint="eastAsia" w:cs="Times New Roman"/>
                <w:b/>
                <w:color w:val="auto"/>
                <w:kern w:val="0"/>
                <w:sz w:val="22"/>
                <w:szCs w:val="22"/>
                <w:lang w:val="en-US" w:eastAsia="zh-CN" w:bidi="ar-SA"/>
              </w:rPr>
              <w:t>3</w:t>
            </w:r>
            <w:r>
              <w:rPr>
                <w:rFonts w:hint="default" w:ascii="Times New Roman" w:hAnsi="Times New Roman" w:eastAsia="宋体" w:cs="Times New Roman"/>
                <w:b/>
                <w:color w:val="auto"/>
                <w:kern w:val="0"/>
                <w:sz w:val="22"/>
                <w:szCs w:val="22"/>
                <w:lang w:val="en-US" w:eastAsia="zh-CN" w:bidi="ar-SA"/>
              </w:rPr>
              <w:t xml:space="preserve">  项目产品方案表</w:t>
            </w:r>
          </w:p>
          <w:tbl>
            <w:tblPr>
              <w:tblStyle w:val="43"/>
              <w:tblW w:w="4993" w:type="pct"/>
              <w:tblInd w:w="0" w:type="dxa"/>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0" w:type="dxa"/>
                <w:bottom w:w="0" w:type="dxa"/>
                <w:right w:w="0" w:type="dxa"/>
              </w:tblCellMar>
            </w:tblPr>
            <w:tblGrid>
              <w:gridCol w:w="593"/>
              <w:gridCol w:w="2604"/>
              <w:gridCol w:w="1451"/>
              <w:gridCol w:w="1674"/>
              <w:gridCol w:w="1496"/>
              <w:gridCol w:w="1189"/>
            </w:tblGrid>
            <w:tr w14:paraId="6EF6ADC2">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trPr>
              <w:tc>
                <w:tcPr>
                  <w:tcW w:w="329" w:type="pct"/>
                  <w:vMerge w:val="restart"/>
                  <w:noWrap w:val="0"/>
                  <w:tcMar>
                    <w:top w:w="0" w:type="dxa"/>
                    <w:left w:w="6" w:type="dxa"/>
                    <w:bottom w:w="0" w:type="dxa"/>
                    <w:right w:w="6" w:type="dxa"/>
                  </w:tcMar>
                  <w:vAlign w:val="center"/>
                </w:tcPr>
                <w:p w14:paraId="3F26E268">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序号</w:t>
                  </w:r>
                </w:p>
              </w:tc>
              <w:tc>
                <w:tcPr>
                  <w:tcW w:w="1445" w:type="pct"/>
                  <w:vMerge w:val="restart"/>
                  <w:noWrap w:val="0"/>
                  <w:tcMar>
                    <w:top w:w="0" w:type="dxa"/>
                    <w:left w:w="6" w:type="dxa"/>
                    <w:bottom w:w="0" w:type="dxa"/>
                    <w:right w:w="6" w:type="dxa"/>
                  </w:tcMar>
                  <w:vAlign w:val="center"/>
                </w:tcPr>
                <w:p w14:paraId="1FD714DC">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产品名称及规格</w:t>
                  </w:r>
                </w:p>
              </w:tc>
              <w:tc>
                <w:tcPr>
                  <w:tcW w:w="2564" w:type="pct"/>
                  <w:gridSpan w:val="3"/>
                  <w:noWrap w:val="0"/>
                  <w:tcMar>
                    <w:top w:w="0" w:type="dxa"/>
                    <w:left w:w="6" w:type="dxa"/>
                    <w:bottom w:w="0" w:type="dxa"/>
                    <w:right w:w="6" w:type="dxa"/>
                  </w:tcMar>
                  <w:vAlign w:val="center"/>
                </w:tcPr>
                <w:p w14:paraId="53C8536D">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设计能力</w:t>
                  </w:r>
                </w:p>
              </w:tc>
              <w:tc>
                <w:tcPr>
                  <w:tcW w:w="660" w:type="pct"/>
                  <w:vMerge w:val="restart"/>
                  <w:noWrap w:val="0"/>
                  <w:tcMar>
                    <w:top w:w="0" w:type="dxa"/>
                    <w:left w:w="6" w:type="dxa"/>
                    <w:bottom w:w="0" w:type="dxa"/>
                    <w:right w:w="6" w:type="dxa"/>
                  </w:tcMar>
                  <w:vAlign w:val="center"/>
                </w:tcPr>
                <w:p w14:paraId="1A443B84">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年运行时数</w:t>
                  </w:r>
                </w:p>
              </w:tc>
            </w:tr>
            <w:tr w14:paraId="4B3BED48">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trPr>
              <w:tc>
                <w:tcPr>
                  <w:tcW w:w="329" w:type="pct"/>
                  <w:vMerge w:val="continue"/>
                  <w:noWrap w:val="0"/>
                  <w:tcMar>
                    <w:top w:w="0" w:type="dxa"/>
                    <w:left w:w="6" w:type="dxa"/>
                    <w:bottom w:w="0" w:type="dxa"/>
                    <w:right w:w="6" w:type="dxa"/>
                  </w:tcMar>
                  <w:vAlign w:val="center"/>
                </w:tcPr>
                <w:p w14:paraId="7627D6A8">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rPr>
                  </w:pPr>
                </w:p>
              </w:tc>
              <w:tc>
                <w:tcPr>
                  <w:tcW w:w="1445" w:type="pct"/>
                  <w:vMerge w:val="continue"/>
                  <w:noWrap w:val="0"/>
                  <w:tcMar>
                    <w:top w:w="0" w:type="dxa"/>
                    <w:left w:w="6" w:type="dxa"/>
                    <w:bottom w:w="0" w:type="dxa"/>
                    <w:right w:w="6" w:type="dxa"/>
                  </w:tcMar>
                  <w:vAlign w:val="center"/>
                </w:tcPr>
                <w:p w14:paraId="66CD0CF4">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p>
              </w:tc>
              <w:tc>
                <w:tcPr>
                  <w:tcW w:w="805" w:type="pct"/>
                  <w:noWrap w:val="0"/>
                  <w:tcMar>
                    <w:top w:w="0" w:type="dxa"/>
                    <w:left w:w="6" w:type="dxa"/>
                    <w:bottom w:w="0" w:type="dxa"/>
                    <w:right w:w="6" w:type="dxa"/>
                  </w:tcMar>
                  <w:vAlign w:val="center"/>
                </w:tcPr>
                <w:p w14:paraId="614DA91E">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现有</w:t>
                  </w:r>
                  <w:r>
                    <w:rPr>
                      <w:rFonts w:hint="eastAsia" w:ascii="Times New Roman" w:hAnsi="Times New Roman" w:eastAsia="宋体" w:cs="Times New Roman"/>
                      <w:b/>
                      <w:bCs/>
                      <w:color w:val="auto"/>
                      <w:w w:val="100"/>
                      <w:sz w:val="21"/>
                      <w:szCs w:val="21"/>
                      <w:lang w:eastAsia="zh-CN"/>
                    </w:rPr>
                    <w:t>项目</w:t>
                  </w:r>
                </w:p>
              </w:tc>
              <w:tc>
                <w:tcPr>
                  <w:tcW w:w="929" w:type="pct"/>
                  <w:noWrap w:val="0"/>
                  <w:tcMar>
                    <w:top w:w="0" w:type="dxa"/>
                    <w:left w:w="6" w:type="dxa"/>
                    <w:bottom w:w="0" w:type="dxa"/>
                    <w:right w:w="6" w:type="dxa"/>
                  </w:tcMar>
                  <w:vAlign w:val="center"/>
                </w:tcPr>
                <w:p w14:paraId="2A4B994D">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eastAsia" w:ascii="Times New Roman" w:hAnsi="Times New Roman" w:eastAsia="宋体" w:cs="Times New Roman"/>
                      <w:b/>
                      <w:bCs/>
                      <w:color w:val="auto"/>
                      <w:w w:val="100"/>
                      <w:sz w:val="21"/>
                      <w:szCs w:val="21"/>
                      <w:lang w:eastAsia="zh-CN"/>
                    </w:rPr>
                    <w:t>技改项目</w:t>
                  </w:r>
                </w:p>
              </w:tc>
              <w:tc>
                <w:tcPr>
                  <w:tcW w:w="829" w:type="pct"/>
                  <w:noWrap w:val="0"/>
                  <w:tcMar>
                    <w:top w:w="0" w:type="dxa"/>
                    <w:left w:w="6" w:type="dxa"/>
                    <w:bottom w:w="0" w:type="dxa"/>
                    <w:right w:w="6" w:type="dxa"/>
                  </w:tcMar>
                  <w:vAlign w:val="center"/>
                </w:tcPr>
                <w:p w14:paraId="16EA9192">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全厂</w:t>
                  </w:r>
                </w:p>
              </w:tc>
              <w:tc>
                <w:tcPr>
                  <w:tcW w:w="660" w:type="pct"/>
                  <w:vMerge w:val="continue"/>
                  <w:noWrap w:val="0"/>
                  <w:tcMar>
                    <w:top w:w="0" w:type="dxa"/>
                    <w:left w:w="6" w:type="dxa"/>
                    <w:bottom w:w="0" w:type="dxa"/>
                    <w:right w:w="6" w:type="dxa"/>
                  </w:tcMar>
                  <w:vAlign w:val="center"/>
                </w:tcPr>
                <w:p w14:paraId="3346F92C">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rPr>
                  </w:pPr>
                </w:p>
              </w:tc>
            </w:tr>
            <w:tr w14:paraId="51A2D0B4">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trPr>
              <w:tc>
                <w:tcPr>
                  <w:tcW w:w="329" w:type="pct"/>
                  <w:shd w:val="clear" w:color="auto" w:fill="auto"/>
                  <w:noWrap w:val="0"/>
                  <w:tcMar>
                    <w:top w:w="0" w:type="dxa"/>
                    <w:left w:w="6" w:type="dxa"/>
                    <w:bottom w:w="0" w:type="dxa"/>
                    <w:right w:w="6" w:type="dxa"/>
                  </w:tcMar>
                  <w:vAlign w:val="center"/>
                </w:tcPr>
                <w:p w14:paraId="3EB25C6E">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default" w:ascii="Times New Roman" w:hAnsi="Times New Roman" w:eastAsia="宋体" w:cs="Times New Roman"/>
                      <w:color w:val="auto"/>
                      <w:w w:val="100"/>
                      <w:kern w:val="2"/>
                      <w:sz w:val="21"/>
                      <w:szCs w:val="21"/>
                      <w:lang w:val="zh-CN" w:eastAsia="zh-CN" w:bidi="zh-CN"/>
                    </w:rPr>
                  </w:pPr>
                  <w:r>
                    <w:rPr>
                      <w:rFonts w:hint="default" w:ascii="Times New Roman" w:hAnsi="Times New Roman" w:eastAsia="宋体" w:cs="Times New Roman"/>
                      <w:color w:val="auto"/>
                      <w:w w:val="100"/>
                      <w:sz w:val="21"/>
                      <w:szCs w:val="21"/>
                    </w:rPr>
                    <w:t>1</w:t>
                  </w:r>
                </w:p>
              </w:tc>
              <w:tc>
                <w:tcPr>
                  <w:tcW w:w="1445" w:type="pct"/>
                  <w:noWrap w:val="0"/>
                  <w:tcMar>
                    <w:top w:w="0" w:type="dxa"/>
                    <w:left w:w="6" w:type="dxa"/>
                    <w:bottom w:w="0" w:type="dxa"/>
                    <w:right w:w="6" w:type="dxa"/>
                  </w:tcMar>
                  <w:vAlign w:val="center"/>
                </w:tcPr>
                <w:p w14:paraId="54899D69">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lang w:eastAsia="zh-CN"/>
                    </w:rPr>
                  </w:pPr>
                  <w:r>
                    <w:rPr>
                      <w:rFonts w:hint="eastAsia" w:ascii="Times New Roman" w:hAnsi="Times New Roman" w:cs="Times New Roman"/>
                      <w:color w:val="auto"/>
                      <w:w w:val="100"/>
                      <w:sz w:val="21"/>
                      <w:szCs w:val="21"/>
                      <w:lang w:val="en-US" w:eastAsia="zh-CN"/>
                    </w:rPr>
                    <w:t>高分子纳米增强型橡胶条</w:t>
                  </w:r>
                </w:p>
              </w:tc>
              <w:tc>
                <w:tcPr>
                  <w:tcW w:w="805" w:type="pct"/>
                  <w:shd w:val="clear" w:color="auto" w:fill="auto"/>
                  <w:noWrap w:val="0"/>
                  <w:tcMar>
                    <w:top w:w="0" w:type="dxa"/>
                    <w:left w:w="6" w:type="dxa"/>
                    <w:bottom w:w="0" w:type="dxa"/>
                    <w:right w:w="6" w:type="dxa"/>
                  </w:tcMar>
                  <w:vAlign w:val="center"/>
                </w:tcPr>
                <w:p w14:paraId="5B2B6FE6">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default" w:ascii="Times New Roman" w:hAnsi="Times New Roman" w:eastAsia="宋体" w:cs="Times New Roman"/>
                      <w:color w:val="auto"/>
                      <w:w w:val="100"/>
                      <w:kern w:val="2"/>
                      <w:sz w:val="21"/>
                      <w:szCs w:val="21"/>
                      <w:lang w:val="en-US" w:eastAsia="zh-CN" w:bidi="zh-CN"/>
                    </w:rPr>
                  </w:pPr>
                  <w:r>
                    <w:rPr>
                      <w:rFonts w:hint="eastAsia" w:ascii="Times New Roman" w:hAnsi="Times New Roman" w:cs="Times New Roman"/>
                      <w:color w:val="auto"/>
                      <w:w w:val="100"/>
                      <w:sz w:val="21"/>
                      <w:szCs w:val="21"/>
                      <w:lang w:val="en-US" w:eastAsia="zh-CN"/>
                    </w:rPr>
                    <w:t>/</w:t>
                  </w:r>
                </w:p>
              </w:tc>
              <w:tc>
                <w:tcPr>
                  <w:tcW w:w="929" w:type="pct"/>
                  <w:shd w:val="clear" w:color="auto" w:fill="auto"/>
                  <w:noWrap w:val="0"/>
                  <w:tcMar>
                    <w:top w:w="0" w:type="dxa"/>
                    <w:left w:w="6" w:type="dxa"/>
                    <w:bottom w:w="0" w:type="dxa"/>
                    <w:right w:w="6" w:type="dxa"/>
                  </w:tcMar>
                  <w:vAlign w:val="center"/>
                </w:tcPr>
                <w:p w14:paraId="1280FF31">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default" w:ascii="Times New Roman" w:hAnsi="Times New Roman" w:eastAsia="宋体" w:cs="Times New Roman"/>
                      <w:color w:val="auto"/>
                      <w:w w:val="100"/>
                      <w:kern w:val="2"/>
                      <w:sz w:val="21"/>
                      <w:szCs w:val="21"/>
                      <w:lang w:val="en-US" w:eastAsia="zh-CN" w:bidi="zh-CN"/>
                    </w:rPr>
                  </w:pPr>
                  <w:r>
                    <w:rPr>
                      <w:rFonts w:hint="eastAsia" w:ascii="Times New Roman" w:hAnsi="Times New Roman" w:cs="Times New Roman"/>
                      <w:color w:val="auto"/>
                      <w:w w:val="100"/>
                      <w:sz w:val="21"/>
                      <w:szCs w:val="21"/>
                      <w:lang w:val="en-US" w:eastAsia="zh-CN"/>
                    </w:rPr>
                    <w:t>100万条/</w:t>
                  </w:r>
                  <w:r>
                    <w:rPr>
                      <w:rFonts w:hint="default" w:ascii="Times New Roman" w:hAnsi="Times New Roman" w:eastAsia="宋体" w:cs="Times New Roman"/>
                      <w:color w:val="auto"/>
                      <w:w w:val="100"/>
                      <w:sz w:val="21"/>
                      <w:szCs w:val="21"/>
                      <w:lang w:val="en-US" w:eastAsia="zh-CN"/>
                    </w:rPr>
                    <w:t>年</w:t>
                  </w:r>
                </w:p>
              </w:tc>
              <w:tc>
                <w:tcPr>
                  <w:tcW w:w="829" w:type="pct"/>
                  <w:shd w:val="clear" w:color="auto" w:fill="auto"/>
                  <w:noWrap w:val="0"/>
                  <w:tcMar>
                    <w:top w:w="0" w:type="dxa"/>
                    <w:left w:w="6" w:type="dxa"/>
                    <w:bottom w:w="0" w:type="dxa"/>
                    <w:right w:w="6" w:type="dxa"/>
                  </w:tcMar>
                  <w:vAlign w:val="center"/>
                </w:tcPr>
                <w:p w14:paraId="225AAB3C">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default" w:ascii="Times New Roman" w:hAnsi="Times New Roman" w:eastAsia="宋体" w:cs="Times New Roman"/>
                      <w:color w:val="auto"/>
                      <w:w w:val="100"/>
                      <w:kern w:val="2"/>
                      <w:sz w:val="21"/>
                      <w:szCs w:val="21"/>
                      <w:lang w:val="en-US" w:eastAsia="zh-CN" w:bidi="zh-CN"/>
                    </w:rPr>
                  </w:pPr>
                  <w:r>
                    <w:rPr>
                      <w:rFonts w:hint="eastAsia" w:ascii="Times New Roman" w:hAnsi="Times New Roman" w:cs="Times New Roman"/>
                      <w:color w:val="auto"/>
                      <w:w w:val="100"/>
                      <w:sz w:val="21"/>
                      <w:szCs w:val="21"/>
                      <w:lang w:val="en-US" w:eastAsia="zh-CN"/>
                    </w:rPr>
                    <w:t>100万条/</w:t>
                  </w:r>
                  <w:r>
                    <w:rPr>
                      <w:rFonts w:hint="default" w:ascii="Times New Roman" w:hAnsi="Times New Roman" w:eastAsia="宋体" w:cs="Times New Roman"/>
                      <w:color w:val="auto"/>
                      <w:w w:val="100"/>
                      <w:sz w:val="21"/>
                      <w:szCs w:val="21"/>
                      <w:lang w:val="en-US" w:eastAsia="zh-CN"/>
                    </w:rPr>
                    <w:t>年</w:t>
                  </w:r>
                </w:p>
              </w:tc>
              <w:tc>
                <w:tcPr>
                  <w:tcW w:w="660" w:type="pct"/>
                  <w:shd w:val="clear" w:color="auto" w:fill="auto"/>
                  <w:noWrap w:val="0"/>
                  <w:tcMar>
                    <w:top w:w="0" w:type="dxa"/>
                    <w:left w:w="6" w:type="dxa"/>
                    <w:bottom w:w="0" w:type="dxa"/>
                    <w:right w:w="6" w:type="dxa"/>
                  </w:tcMar>
                  <w:vAlign w:val="center"/>
                </w:tcPr>
                <w:p w14:paraId="34950557">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eastAsia" w:ascii="Times New Roman" w:hAnsi="Times New Roman" w:eastAsia="宋体" w:cs="Times New Roman"/>
                      <w:color w:val="auto"/>
                      <w:w w:val="100"/>
                      <w:kern w:val="2"/>
                      <w:sz w:val="21"/>
                      <w:szCs w:val="21"/>
                      <w:lang w:val="en-US" w:eastAsia="zh-CN" w:bidi="zh-CN"/>
                    </w:rPr>
                  </w:pPr>
                  <w:r>
                    <w:rPr>
                      <w:rFonts w:hint="eastAsia" w:ascii="Times New Roman" w:hAnsi="Times New Roman" w:cs="Times New Roman"/>
                      <w:color w:val="auto"/>
                      <w:w w:val="100"/>
                      <w:sz w:val="21"/>
                      <w:szCs w:val="21"/>
                      <w:lang w:val="en-US" w:eastAsia="zh-CN"/>
                    </w:rPr>
                    <w:t>7200</w:t>
                  </w:r>
                  <w:r>
                    <w:rPr>
                      <w:rFonts w:hint="default" w:ascii="Times New Roman" w:hAnsi="Times New Roman" w:eastAsia="宋体" w:cs="Times New Roman"/>
                      <w:color w:val="auto"/>
                      <w:w w:val="100"/>
                      <w:sz w:val="21"/>
                      <w:szCs w:val="21"/>
                    </w:rPr>
                    <w:t>h</w:t>
                  </w:r>
                </w:p>
              </w:tc>
            </w:tr>
            <w:tr w14:paraId="0E3A2637">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trPr>
              <w:tc>
                <w:tcPr>
                  <w:tcW w:w="329" w:type="pct"/>
                  <w:shd w:val="clear" w:color="auto" w:fill="auto"/>
                  <w:noWrap w:val="0"/>
                  <w:tcMar>
                    <w:top w:w="0" w:type="dxa"/>
                    <w:left w:w="6" w:type="dxa"/>
                    <w:bottom w:w="0" w:type="dxa"/>
                    <w:right w:w="6" w:type="dxa"/>
                  </w:tcMar>
                  <w:vAlign w:val="center"/>
                </w:tcPr>
                <w:p w14:paraId="458FE5DB">
                  <w:pPr>
                    <w:pStyle w:val="68"/>
                    <w:keepNext w:val="0"/>
                    <w:keepLines w:val="0"/>
                    <w:pageBreakBefore w:val="0"/>
                    <w:widowControl w:val="0"/>
                    <w:kinsoku/>
                    <w:wordWrap/>
                    <w:overflowPunct/>
                    <w:topLinePunct w:val="0"/>
                    <w:autoSpaceDE/>
                    <w:autoSpaceDN/>
                    <w:bidi w:val="0"/>
                    <w:adjustRightInd/>
                    <w:snapToGrid/>
                    <w:spacing w:line="360" w:lineRule="exact"/>
                    <w:ind w:left="0" w:leftChars="0"/>
                    <w:jc w:val="center"/>
                    <w:textAlignment w:val="auto"/>
                    <w:outlineLvl w:val="9"/>
                    <w:rPr>
                      <w:rFonts w:hint="default" w:ascii="Times New Roman" w:hAnsi="Times New Roman" w:eastAsia="宋体" w:cs="Times New Roman"/>
                      <w:color w:val="auto"/>
                      <w:w w:val="100"/>
                      <w:kern w:val="2"/>
                      <w:sz w:val="21"/>
                      <w:szCs w:val="21"/>
                      <w:lang w:val="en-US" w:eastAsia="zh-CN" w:bidi="zh-CN"/>
                    </w:rPr>
                  </w:pPr>
                  <w:r>
                    <w:rPr>
                      <w:rFonts w:hint="eastAsia" w:ascii="Times New Roman" w:hAnsi="Times New Roman" w:cs="Times New Roman"/>
                      <w:color w:val="auto"/>
                      <w:w w:val="100"/>
                      <w:sz w:val="21"/>
                      <w:szCs w:val="21"/>
                      <w:lang w:val="en-US" w:eastAsia="zh-CN"/>
                    </w:rPr>
                    <w:t>2</w:t>
                  </w:r>
                </w:p>
              </w:tc>
              <w:tc>
                <w:tcPr>
                  <w:tcW w:w="1445" w:type="pct"/>
                  <w:noWrap w:val="0"/>
                  <w:tcMar>
                    <w:top w:w="0" w:type="dxa"/>
                    <w:left w:w="6" w:type="dxa"/>
                    <w:bottom w:w="0" w:type="dxa"/>
                    <w:right w:w="6" w:type="dxa"/>
                  </w:tcMar>
                  <w:vAlign w:val="center"/>
                </w:tcPr>
                <w:p w14:paraId="47941E2E">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lang w:eastAsia="zh-CN"/>
                    </w:rPr>
                  </w:pPr>
                  <w:r>
                    <w:rPr>
                      <w:rFonts w:hint="default" w:ascii="Times New Roman" w:hAnsi="Times New Roman" w:eastAsia="宋体" w:cs="Times New Roman"/>
                      <w:color w:val="auto"/>
                      <w:w w:val="100"/>
                      <w:sz w:val="21"/>
                      <w:szCs w:val="21"/>
                      <w:lang w:eastAsia="zh-CN"/>
                    </w:rPr>
                    <w:t>导电辊、显影辊</w:t>
                  </w:r>
                </w:p>
              </w:tc>
              <w:tc>
                <w:tcPr>
                  <w:tcW w:w="805" w:type="pct"/>
                  <w:noWrap w:val="0"/>
                  <w:tcMar>
                    <w:top w:w="0" w:type="dxa"/>
                    <w:left w:w="6" w:type="dxa"/>
                    <w:bottom w:w="0" w:type="dxa"/>
                    <w:right w:w="6" w:type="dxa"/>
                  </w:tcMar>
                  <w:vAlign w:val="center"/>
                </w:tcPr>
                <w:p w14:paraId="3429DC8B">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1800万支/年</w:t>
                  </w:r>
                </w:p>
              </w:tc>
              <w:tc>
                <w:tcPr>
                  <w:tcW w:w="929" w:type="pct"/>
                  <w:noWrap w:val="0"/>
                  <w:tcMar>
                    <w:top w:w="0" w:type="dxa"/>
                    <w:left w:w="6" w:type="dxa"/>
                    <w:bottom w:w="0" w:type="dxa"/>
                    <w:right w:w="6" w:type="dxa"/>
                  </w:tcMar>
                  <w:vAlign w:val="center"/>
                </w:tcPr>
                <w:p w14:paraId="1E0C4F9C">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1800万支/年</w:t>
                  </w:r>
                </w:p>
              </w:tc>
              <w:tc>
                <w:tcPr>
                  <w:tcW w:w="829" w:type="pct"/>
                  <w:noWrap w:val="0"/>
                  <w:tcMar>
                    <w:top w:w="0" w:type="dxa"/>
                    <w:left w:w="6" w:type="dxa"/>
                    <w:bottom w:w="0" w:type="dxa"/>
                    <w:right w:w="6" w:type="dxa"/>
                  </w:tcMar>
                  <w:vAlign w:val="center"/>
                </w:tcPr>
                <w:p w14:paraId="4271E9E1">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1800万支/年</w:t>
                  </w:r>
                </w:p>
              </w:tc>
              <w:tc>
                <w:tcPr>
                  <w:tcW w:w="660" w:type="pct"/>
                  <w:noWrap w:val="0"/>
                  <w:tcMar>
                    <w:top w:w="0" w:type="dxa"/>
                    <w:left w:w="6" w:type="dxa"/>
                    <w:bottom w:w="0" w:type="dxa"/>
                    <w:right w:w="6" w:type="dxa"/>
                  </w:tcMar>
                  <w:vAlign w:val="center"/>
                </w:tcPr>
                <w:p w14:paraId="2CED7632">
                  <w:pPr>
                    <w:pStyle w:val="68"/>
                    <w:keepNext w:val="0"/>
                    <w:keepLines w:val="0"/>
                    <w:pageBreakBefore w:val="0"/>
                    <w:widowControl w:val="0"/>
                    <w:kinsoku/>
                    <w:wordWrap/>
                    <w:overflowPunct/>
                    <w:topLinePunct w:val="0"/>
                    <w:autoSpaceDE/>
                    <w:autoSpaceDN/>
                    <w:bidi w:val="0"/>
                    <w:adjustRightInd/>
                    <w:snapToGrid/>
                    <w:spacing w:line="360" w:lineRule="exact"/>
                    <w:ind w:left="0"/>
                    <w:jc w:val="center"/>
                    <w:textAlignment w:val="auto"/>
                    <w:outlineLvl w:val="9"/>
                    <w:rPr>
                      <w:rFonts w:hint="default" w:ascii="Times New Roman" w:hAnsi="Times New Roman" w:eastAsia="宋体" w:cs="Times New Roman"/>
                      <w:color w:val="auto"/>
                      <w:w w:val="100"/>
                      <w:sz w:val="21"/>
                      <w:szCs w:val="21"/>
                    </w:rPr>
                  </w:pPr>
                  <w:r>
                    <w:rPr>
                      <w:rFonts w:hint="eastAsia" w:ascii="Times New Roman" w:hAnsi="Times New Roman" w:cs="Times New Roman"/>
                      <w:color w:val="auto"/>
                      <w:w w:val="100"/>
                      <w:sz w:val="21"/>
                      <w:szCs w:val="21"/>
                      <w:lang w:val="en-US" w:eastAsia="zh-CN"/>
                    </w:rPr>
                    <w:t>72</w:t>
                  </w:r>
                  <w:r>
                    <w:rPr>
                      <w:rFonts w:hint="default" w:ascii="Times New Roman" w:hAnsi="Times New Roman" w:eastAsia="宋体" w:cs="Times New Roman"/>
                      <w:color w:val="auto"/>
                      <w:w w:val="100"/>
                      <w:sz w:val="21"/>
                      <w:szCs w:val="21"/>
                      <w:lang w:val="en-US" w:eastAsia="zh-CN"/>
                    </w:rPr>
                    <w:t>00</w:t>
                  </w:r>
                  <w:r>
                    <w:rPr>
                      <w:rFonts w:hint="default" w:ascii="Times New Roman" w:hAnsi="Times New Roman" w:eastAsia="宋体" w:cs="Times New Roman"/>
                      <w:color w:val="auto"/>
                      <w:w w:val="100"/>
                      <w:sz w:val="21"/>
                      <w:szCs w:val="21"/>
                    </w:rPr>
                    <w:t>h</w:t>
                  </w:r>
                </w:p>
              </w:tc>
            </w:tr>
          </w:tbl>
          <w:p w14:paraId="4CB69169">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4.</w:t>
            </w:r>
            <w:r>
              <w:rPr>
                <w:rFonts w:hint="default" w:ascii="Times New Roman" w:hAnsi="Times New Roman" w:eastAsia="宋体" w:cs="Times New Roman"/>
                <w:b/>
                <w:bCs/>
                <w:color w:val="auto"/>
                <w:sz w:val="22"/>
                <w:szCs w:val="22"/>
                <w:lang w:val="en-US" w:eastAsia="zh-CN"/>
              </w:rPr>
              <w:t>原辅材料</w:t>
            </w:r>
          </w:p>
          <w:p w14:paraId="03059802">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根据建设单位提供的资料，建设项目主要原辅材料见</w:t>
            </w:r>
            <w:r>
              <w:rPr>
                <w:rFonts w:hint="eastAsia" w:ascii="Times New Roman" w:hAnsi="Times New Roman" w:eastAsia="宋体" w:cs="Times New Roman"/>
                <w:color w:val="auto"/>
                <w:sz w:val="22"/>
                <w:szCs w:val="22"/>
                <w:lang w:val="en-US" w:eastAsia="zh-CN"/>
              </w:rPr>
              <w:t>下</w:t>
            </w:r>
            <w:r>
              <w:rPr>
                <w:rFonts w:hint="default" w:ascii="Times New Roman" w:hAnsi="Times New Roman" w:eastAsia="宋体" w:cs="Times New Roman"/>
                <w:color w:val="auto"/>
                <w:sz w:val="22"/>
                <w:szCs w:val="22"/>
                <w:lang w:val="en-US" w:eastAsia="zh-CN"/>
              </w:rPr>
              <w:t>表。</w:t>
            </w:r>
          </w:p>
          <w:p w14:paraId="594C6A34">
            <w:pPr>
              <w:keepNext w:val="0"/>
              <w:keepLines w:val="0"/>
              <w:pageBreakBefore w:val="0"/>
              <w:widowControl w:val="0"/>
              <w:kinsoku/>
              <w:wordWrap/>
              <w:overflowPunct/>
              <w:topLinePunct w:val="0"/>
              <w:autoSpaceDE/>
              <w:autoSpaceDN/>
              <w:bidi w:val="0"/>
              <w:adjustRightInd/>
              <w:snapToGrid/>
              <w:spacing w:line="500" w:lineRule="exact"/>
              <w:ind w:left="0" w:firstLine="0" w:firstLineChars="0"/>
              <w:jc w:val="center"/>
              <w:textAlignment w:val="auto"/>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kern w:val="2"/>
                <w:sz w:val="22"/>
                <w:szCs w:val="22"/>
                <w:lang w:val="en-US" w:eastAsia="zh-CN" w:bidi="zh-CN"/>
              </w:rPr>
              <w:t>表2-</w:t>
            </w:r>
            <w:r>
              <w:rPr>
                <w:rFonts w:hint="eastAsia" w:cs="Times New Roman"/>
                <w:b/>
                <w:bCs/>
                <w:color w:val="auto"/>
                <w:kern w:val="2"/>
                <w:sz w:val="22"/>
                <w:szCs w:val="22"/>
                <w:lang w:val="en-US" w:eastAsia="zh-CN" w:bidi="zh-CN"/>
              </w:rPr>
              <w:t>4</w:t>
            </w:r>
            <w:r>
              <w:rPr>
                <w:rFonts w:hint="default" w:ascii="Times New Roman" w:hAnsi="Times New Roman" w:eastAsia="宋体" w:cs="Times New Roman"/>
                <w:b/>
                <w:bCs/>
                <w:color w:val="auto"/>
                <w:kern w:val="2"/>
                <w:sz w:val="22"/>
                <w:szCs w:val="22"/>
                <w:lang w:val="en-US" w:eastAsia="zh-CN" w:bidi="zh-CN"/>
              </w:rPr>
              <w:t xml:space="preserve">  建设项目主要原辅材料用量一览表  （单位：t/a）</w:t>
            </w:r>
          </w:p>
          <w:tbl>
            <w:tblPr>
              <w:tblStyle w:val="43"/>
              <w:tblpPr w:leftFromText="180" w:rightFromText="180" w:vertAnchor="text" w:tblpXSpec="center" w:tblpY="1"/>
              <w:tblOverlap w:val="never"/>
              <w:tblW w:w="4997" w:type="pct"/>
              <w:tblInd w:w="0"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28" w:type="dxa"/>
                <w:bottom w:w="0" w:type="dxa"/>
                <w:right w:w="28" w:type="dxa"/>
              </w:tblCellMar>
            </w:tblPr>
            <w:tblGrid>
              <w:gridCol w:w="1021"/>
              <w:gridCol w:w="2470"/>
              <w:gridCol w:w="1263"/>
              <w:gridCol w:w="1351"/>
              <w:gridCol w:w="1200"/>
              <w:gridCol w:w="900"/>
              <w:gridCol w:w="810"/>
            </w:tblGrid>
            <w:tr w14:paraId="5D38E7D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90" w:hRule="atLeast"/>
              </w:trPr>
              <w:tc>
                <w:tcPr>
                  <w:tcW w:w="566" w:type="pct"/>
                  <w:noWrap w:val="0"/>
                  <w:vAlign w:val="center"/>
                </w:tcPr>
                <w:p w14:paraId="5C2756F2">
                  <w:pPr>
                    <w:pStyle w:val="80"/>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eastAsia" w:ascii="Times New Roman" w:hAnsi="Times New Roman" w:eastAsia="宋体" w:cs="Times New Roman"/>
                      <w:b/>
                      <w:bCs/>
                      <w:color w:val="auto"/>
                      <w:sz w:val="21"/>
                      <w:szCs w:val="21"/>
                      <w:lang w:eastAsia="zh-CN"/>
                    </w:rPr>
                  </w:pPr>
                  <w:r>
                    <w:rPr>
                      <w:rFonts w:hint="eastAsia" w:eastAsia="宋体" w:cs="Times New Roman"/>
                      <w:b/>
                      <w:bCs/>
                      <w:color w:val="auto"/>
                      <w:sz w:val="21"/>
                      <w:szCs w:val="21"/>
                      <w:lang w:eastAsia="zh-CN"/>
                    </w:rPr>
                    <w:t>生产线</w:t>
                  </w:r>
                </w:p>
              </w:tc>
              <w:tc>
                <w:tcPr>
                  <w:tcW w:w="1369" w:type="pct"/>
                  <w:noWrap w:val="0"/>
                  <w:vAlign w:val="center"/>
                </w:tcPr>
                <w:p w14:paraId="3567374D">
                  <w:pPr>
                    <w:pStyle w:val="80"/>
                    <w:keepNext w:val="0"/>
                    <w:keepLines w:val="0"/>
                    <w:pageBreakBefore w:val="0"/>
                    <w:widowControl w:val="0"/>
                    <w:kinsoku/>
                    <w:wordWrap w:val="0"/>
                    <w:overflowPunct/>
                    <w:topLinePunct w:val="0"/>
                    <w:autoSpaceDE w:val="0"/>
                    <w:autoSpaceDN w:val="0"/>
                    <w:bidi w:val="0"/>
                    <w:snapToGrid/>
                    <w:spacing w:line="360" w:lineRule="exact"/>
                    <w:ind w:left="0" w:firstLine="103" w:firstLineChars="49"/>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名称</w:t>
                  </w:r>
                </w:p>
              </w:tc>
              <w:tc>
                <w:tcPr>
                  <w:tcW w:w="700" w:type="pct"/>
                  <w:noWrap w:val="0"/>
                  <w:vAlign w:val="center"/>
                </w:tcPr>
                <w:p w14:paraId="3649E6BB">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sz w:val="21"/>
                      <w:szCs w:val="21"/>
                      <w:lang w:eastAsia="zh-CN"/>
                    </w:rPr>
                  </w:pPr>
                  <w:r>
                    <w:rPr>
                      <w:rFonts w:hint="default" w:ascii="Times New Roman" w:hAnsi="Times New Roman" w:eastAsia="宋体" w:cs="Times New Roman"/>
                      <w:b/>
                      <w:bCs/>
                      <w:color w:val="auto"/>
                      <w:sz w:val="21"/>
                      <w:szCs w:val="21"/>
                      <w:lang w:eastAsia="zh-CN"/>
                    </w:rPr>
                    <w:t>现有项目</w:t>
                  </w:r>
                </w:p>
              </w:tc>
              <w:tc>
                <w:tcPr>
                  <w:tcW w:w="749" w:type="pct"/>
                  <w:noWrap w:val="0"/>
                  <w:vAlign w:val="center"/>
                </w:tcPr>
                <w:p w14:paraId="3FBE0959">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sz w:val="21"/>
                      <w:szCs w:val="21"/>
                      <w:lang w:eastAsia="zh-CN"/>
                    </w:rPr>
                  </w:pPr>
                  <w:r>
                    <w:rPr>
                      <w:rFonts w:hint="default" w:ascii="Times New Roman" w:hAnsi="Times New Roman" w:eastAsia="宋体" w:cs="Times New Roman"/>
                      <w:b/>
                      <w:bCs/>
                      <w:color w:val="auto"/>
                      <w:sz w:val="21"/>
                      <w:szCs w:val="21"/>
                      <w:lang w:eastAsia="zh-CN"/>
                    </w:rPr>
                    <w:t>技改项目</w:t>
                  </w:r>
                </w:p>
              </w:tc>
              <w:tc>
                <w:tcPr>
                  <w:tcW w:w="665" w:type="pct"/>
                  <w:noWrap w:val="0"/>
                  <w:vAlign w:val="center"/>
                </w:tcPr>
                <w:p w14:paraId="4319041B">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sz w:val="21"/>
                      <w:szCs w:val="21"/>
                      <w:lang w:eastAsia="zh-CN"/>
                    </w:rPr>
                  </w:pPr>
                  <w:r>
                    <w:rPr>
                      <w:rFonts w:hint="default" w:ascii="Times New Roman" w:hAnsi="Times New Roman" w:eastAsia="宋体" w:cs="Times New Roman"/>
                      <w:b/>
                      <w:bCs/>
                      <w:color w:val="auto"/>
                      <w:sz w:val="21"/>
                      <w:szCs w:val="21"/>
                      <w:lang w:eastAsia="zh-CN"/>
                    </w:rPr>
                    <w:t>技改后全厂</w:t>
                  </w:r>
                </w:p>
              </w:tc>
              <w:tc>
                <w:tcPr>
                  <w:tcW w:w="499" w:type="pct"/>
                  <w:noWrap w:val="0"/>
                  <w:vAlign w:val="center"/>
                </w:tcPr>
                <w:p w14:paraId="1539751E">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sz w:val="21"/>
                      <w:szCs w:val="21"/>
                      <w:lang w:eastAsia="zh-CN"/>
                    </w:rPr>
                  </w:pPr>
                  <w:r>
                    <w:rPr>
                      <w:rFonts w:hint="eastAsia"/>
                      <w:b/>
                      <w:bCs/>
                      <w:color w:val="auto"/>
                      <w:szCs w:val="21"/>
                    </w:rPr>
                    <w:t>厂区最大存在量</w:t>
                  </w:r>
                </w:p>
              </w:tc>
              <w:tc>
                <w:tcPr>
                  <w:tcW w:w="449" w:type="pct"/>
                  <w:noWrap w:val="0"/>
                  <w:vAlign w:val="center"/>
                </w:tcPr>
                <w:p w14:paraId="0341928E">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来源</w:t>
                  </w:r>
                </w:p>
              </w:tc>
            </w:tr>
            <w:tr w14:paraId="344C408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restart"/>
                  <w:noWrap w:val="0"/>
                  <w:vAlign w:val="center"/>
                </w:tcPr>
                <w:p w14:paraId="28060D5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w w:val="100"/>
                      <w:sz w:val="21"/>
                      <w:szCs w:val="21"/>
                      <w:lang w:val="en-US" w:eastAsia="zh-CN"/>
                    </w:rPr>
                    <w:t>高分子半导电胶辊生产线</w:t>
                  </w:r>
                </w:p>
              </w:tc>
              <w:tc>
                <w:tcPr>
                  <w:tcW w:w="1369" w:type="pct"/>
                  <w:noWrap w:val="0"/>
                  <w:vAlign w:val="center"/>
                </w:tcPr>
                <w:p w14:paraId="43AD4C3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混炼橡胶</w:t>
                  </w:r>
                </w:p>
              </w:tc>
              <w:tc>
                <w:tcPr>
                  <w:tcW w:w="700" w:type="pct"/>
                  <w:shd w:val="clear" w:color="auto" w:fill="auto"/>
                  <w:noWrap w:val="0"/>
                  <w:vAlign w:val="center"/>
                </w:tcPr>
                <w:p w14:paraId="0C4511F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650</w:t>
                  </w:r>
                </w:p>
              </w:tc>
              <w:tc>
                <w:tcPr>
                  <w:tcW w:w="749" w:type="pct"/>
                  <w:noWrap w:val="0"/>
                  <w:vAlign w:val="center"/>
                </w:tcPr>
                <w:p w14:paraId="3B31CA3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w:t>
                  </w:r>
                </w:p>
              </w:tc>
              <w:tc>
                <w:tcPr>
                  <w:tcW w:w="665" w:type="pct"/>
                  <w:noWrap w:val="0"/>
                  <w:vAlign w:val="center"/>
                </w:tcPr>
                <w:p w14:paraId="66E4D51B">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499" w:type="pct"/>
                  <w:noWrap w:val="0"/>
                  <w:vAlign w:val="center"/>
                </w:tcPr>
                <w:p w14:paraId="61D614B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449" w:type="pct"/>
                  <w:noWrap w:val="0"/>
                  <w:vAlign w:val="center"/>
                </w:tcPr>
                <w:p w14:paraId="5483993E">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63E8B36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6FF503A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2BB2C46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氯醇橡胶（ECOT3106）</w:t>
                  </w:r>
                </w:p>
              </w:tc>
              <w:tc>
                <w:tcPr>
                  <w:tcW w:w="700" w:type="pct"/>
                  <w:shd w:val="clear" w:color="auto" w:fill="auto"/>
                  <w:noWrap w:val="0"/>
                  <w:vAlign w:val="center"/>
                </w:tcPr>
                <w:p w14:paraId="0C47C72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72F6395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100</w:t>
                  </w:r>
                </w:p>
              </w:tc>
              <w:tc>
                <w:tcPr>
                  <w:tcW w:w="665" w:type="pct"/>
                  <w:shd w:val="clear" w:color="auto" w:fill="auto"/>
                  <w:noWrap w:val="0"/>
                  <w:vAlign w:val="center"/>
                </w:tcPr>
                <w:p w14:paraId="2B1CF76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100</w:t>
                  </w:r>
                </w:p>
              </w:tc>
              <w:tc>
                <w:tcPr>
                  <w:tcW w:w="499" w:type="pct"/>
                  <w:shd w:val="clear" w:color="auto" w:fill="auto"/>
                  <w:noWrap w:val="0"/>
                  <w:vAlign w:val="center"/>
                </w:tcPr>
                <w:p w14:paraId="51EFE328">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20</w:t>
                  </w:r>
                </w:p>
              </w:tc>
              <w:tc>
                <w:tcPr>
                  <w:tcW w:w="449" w:type="pct"/>
                  <w:noWrap w:val="0"/>
                  <w:vAlign w:val="center"/>
                </w:tcPr>
                <w:p w14:paraId="077F4CF5">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55FFBF9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6E22EF6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3A31332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丁腈橡胶（1052）</w:t>
                  </w:r>
                </w:p>
              </w:tc>
              <w:tc>
                <w:tcPr>
                  <w:tcW w:w="700" w:type="pct"/>
                  <w:shd w:val="clear" w:color="auto" w:fill="auto"/>
                  <w:noWrap w:val="0"/>
                  <w:vAlign w:val="center"/>
                </w:tcPr>
                <w:p w14:paraId="4C5F92B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16FC3CD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lang w:val="en-US" w:eastAsia="zh-CN"/>
                    </w:rPr>
                    <w:t>00</w:t>
                  </w:r>
                </w:p>
              </w:tc>
              <w:tc>
                <w:tcPr>
                  <w:tcW w:w="665" w:type="pct"/>
                  <w:shd w:val="clear" w:color="auto" w:fill="auto"/>
                  <w:noWrap w:val="0"/>
                  <w:vAlign w:val="center"/>
                </w:tcPr>
                <w:p w14:paraId="52F5571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lang w:val="en-US" w:eastAsia="zh-CN"/>
                    </w:rPr>
                    <w:t>00</w:t>
                  </w:r>
                </w:p>
              </w:tc>
              <w:tc>
                <w:tcPr>
                  <w:tcW w:w="499" w:type="pct"/>
                  <w:shd w:val="clear" w:color="auto" w:fill="auto"/>
                  <w:noWrap w:val="0"/>
                  <w:vAlign w:val="center"/>
                </w:tcPr>
                <w:p w14:paraId="092A47F2">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30</w:t>
                  </w:r>
                </w:p>
              </w:tc>
              <w:tc>
                <w:tcPr>
                  <w:tcW w:w="449" w:type="pct"/>
                  <w:noWrap w:val="0"/>
                  <w:vAlign w:val="center"/>
                </w:tcPr>
                <w:p w14:paraId="518C3F31">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24DDAA6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6498646E">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2CB1EE9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顺丁橡胶（BR900）</w:t>
                  </w:r>
                </w:p>
              </w:tc>
              <w:tc>
                <w:tcPr>
                  <w:tcW w:w="700" w:type="pct"/>
                  <w:shd w:val="clear" w:color="auto" w:fill="auto"/>
                  <w:noWrap w:val="0"/>
                  <w:vAlign w:val="center"/>
                </w:tcPr>
                <w:p w14:paraId="53E025A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2612A554">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lang w:val="en-US" w:eastAsia="zh-CN"/>
                    </w:rPr>
                    <w:t>0</w:t>
                  </w:r>
                </w:p>
              </w:tc>
              <w:tc>
                <w:tcPr>
                  <w:tcW w:w="665" w:type="pct"/>
                  <w:shd w:val="clear" w:color="auto" w:fill="auto"/>
                  <w:noWrap w:val="0"/>
                  <w:vAlign w:val="center"/>
                </w:tcPr>
                <w:p w14:paraId="1FC3890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lang w:val="en-US" w:eastAsia="zh-CN"/>
                    </w:rPr>
                    <w:t>0</w:t>
                  </w:r>
                </w:p>
              </w:tc>
              <w:tc>
                <w:tcPr>
                  <w:tcW w:w="499" w:type="pct"/>
                  <w:shd w:val="clear" w:color="auto" w:fill="auto"/>
                  <w:noWrap w:val="0"/>
                  <w:vAlign w:val="center"/>
                </w:tcPr>
                <w:p w14:paraId="48C9BAC5">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lang w:val="en-US" w:eastAsia="zh-CN"/>
                    </w:rPr>
                    <w:t>0</w:t>
                  </w:r>
                </w:p>
              </w:tc>
              <w:tc>
                <w:tcPr>
                  <w:tcW w:w="449" w:type="pct"/>
                  <w:noWrap w:val="0"/>
                  <w:vAlign w:val="center"/>
                </w:tcPr>
                <w:p w14:paraId="64D4ABA5">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3C5B94B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2F749379">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71B27953">
                  <w:pPr>
                    <w:wordWrap w:val="0"/>
                    <w:autoSpaceDE w:val="0"/>
                    <w:autoSpaceDN w:val="0"/>
                    <w:adjustRightInd w:val="0"/>
                    <w:snapToGrid w:val="0"/>
                    <w:spacing w:line="400" w:lineRule="atLeast"/>
                    <w:jc w:val="center"/>
                    <w:rPr>
                      <w:rFonts w:hint="eastAsia" w:ascii="Times New Roman" w:hAnsi="Times New Roman" w:eastAsia="宋体" w:cs="Times New Roman"/>
                      <w:color w:val="auto"/>
                      <w:sz w:val="21"/>
                      <w:szCs w:val="21"/>
                      <w:lang w:val="en-US" w:eastAsia="zh-CN"/>
                    </w:rPr>
                  </w:pPr>
                  <w:r>
                    <w:rPr>
                      <w:rFonts w:hint="eastAsia"/>
                      <w:color w:val="auto"/>
                      <w:szCs w:val="21"/>
                    </w:rPr>
                    <w:t>炭黑</w:t>
                  </w:r>
                  <w:r>
                    <w:rPr>
                      <w:rFonts w:hint="eastAsia"/>
                      <w:color w:val="auto"/>
                      <w:szCs w:val="21"/>
                      <w:lang w:eastAsia="zh-CN"/>
                    </w:rPr>
                    <w:t>（</w:t>
                  </w:r>
                  <w:r>
                    <w:rPr>
                      <w:rFonts w:hint="eastAsia"/>
                      <w:color w:val="auto"/>
                      <w:szCs w:val="21"/>
                    </w:rPr>
                    <w:t>AC80</w:t>
                  </w:r>
                  <w:r>
                    <w:rPr>
                      <w:rFonts w:hint="eastAsia"/>
                      <w:color w:val="auto"/>
                      <w:szCs w:val="21"/>
                      <w:lang w:eastAsia="zh-CN"/>
                    </w:rPr>
                    <w:t>）</w:t>
                  </w:r>
                </w:p>
              </w:tc>
              <w:tc>
                <w:tcPr>
                  <w:tcW w:w="700" w:type="pct"/>
                  <w:shd w:val="clear" w:color="auto" w:fill="auto"/>
                  <w:noWrap w:val="0"/>
                  <w:vAlign w:val="center"/>
                </w:tcPr>
                <w:p w14:paraId="3629BB2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684D9DBB">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10</w:t>
                  </w:r>
                </w:p>
              </w:tc>
              <w:tc>
                <w:tcPr>
                  <w:tcW w:w="665" w:type="pct"/>
                  <w:shd w:val="clear" w:color="auto" w:fill="auto"/>
                  <w:noWrap w:val="0"/>
                  <w:vAlign w:val="center"/>
                </w:tcPr>
                <w:p w14:paraId="3CC0EFD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10</w:t>
                  </w:r>
                </w:p>
              </w:tc>
              <w:tc>
                <w:tcPr>
                  <w:tcW w:w="499" w:type="pct"/>
                  <w:shd w:val="clear" w:color="auto" w:fill="auto"/>
                  <w:noWrap w:val="0"/>
                  <w:vAlign w:val="center"/>
                </w:tcPr>
                <w:p w14:paraId="0C6C635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449" w:type="pct"/>
                  <w:noWrap w:val="0"/>
                  <w:vAlign w:val="center"/>
                </w:tcPr>
                <w:p w14:paraId="3D4D3C39">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12348BC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2EA1F5E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46E5A586">
                  <w:pPr>
                    <w:wordWrap w:val="0"/>
                    <w:autoSpaceDE w:val="0"/>
                    <w:autoSpaceDN w:val="0"/>
                    <w:adjustRightInd w:val="0"/>
                    <w:snapToGrid w:val="0"/>
                    <w:spacing w:line="400" w:lineRule="atLeast"/>
                    <w:jc w:val="center"/>
                    <w:rPr>
                      <w:rFonts w:hint="eastAsia" w:ascii="Times New Roman" w:hAnsi="Times New Roman" w:eastAsia="宋体" w:cs="Times New Roman"/>
                      <w:color w:val="auto"/>
                      <w:sz w:val="21"/>
                      <w:szCs w:val="21"/>
                      <w:lang w:val="en-US" w:eastAsia="zh-CN"/>
                    </w:rPr>
                  </w:pPr>
                  <w:r>
                    <w:rPr>
                      <w:rFonts w:hint="eastAsia"/>
                      <w:color w:val="auto"/>
                      <w:szCs w:val="21"/>
                    </w:rPr>
                    <w:t>炭黑</w:t>
                  </w:r>
                  <w:r>
                    <w:rPr>
                      <w:rFonts w:hint="eastAsia"/>
                      <w:color w:val="auto"/>
                      <w:szCs w:val="21"/>
                      <w:lang w:eastAsia="zh-CN"/>
                    </w:rPr>
                    <w:t>（</w:t>
                  </w:r>
                  <w:r>
                    <w:rPr>
                      <w:rFonts w:hint="eastAsia"/>
                      <w:color w:val="auto"/>
                      <w:szCs w:val="21"/>
                    </w:rPr>
                    <w:t>N550</w:t>
                  </w:r>
                  <w:r>
                    <w:rPr>
                      <w:rFonts w:hint="eastAsia"/>
                      <w:color w:val="auto"/>
                      <w:szCs w:val="21"/>
                      <w:lang w:eastAsia="zh-CN"/>
                    </w:rPr>
                    <w:t>）</w:t>
                  </w:r>
                </w:p>
              </w:tc>
              <w:tc>
                <w:tcPr>
                  <w:tcW w:w="700" w:type="pct"/>
                  <w:shd w:val="clear" w:color="auto" w:fill="auto"/>
                  <w:noWrap w:val="0"/>
                  <w:vAlign w:val="center"/>
                </w:tcPr>
                <w:p w14:paraId="32E8E99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52910B68">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10</w:t>
                  </w:r>
                </w:p>
              </w:tc>
              <w:tc>
                <w:tcPr>
                  <w:tcW w:w="665" w:type="pct"/>
                  <w:shd w:val="clear" w:color="auto" w:fill="auto"/>
                  <w:noWrap w:val="0"/>
                  <w:vAlign w:val="center"/>
                </w:tcPr>
                <w:p w14:paraId="3B993979">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10</w:t>
                  </w:r>
                </w:p>
              </w:tc>
              <w:tc>
                <w:tcPr>
                  <w:tcW w:w="499" w:type="pct"/>
                  <w:shd w:val="clear" w:color="auto" w:fill="auto"/>
                  <w:noWrap w:val="0"/>
                  <w:vAlign w:val="center"/>
                </w:tcPr>
                <w:p w14:paraId="436A3791">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449" w:type="pct"/>
                  <w:noWrap w:val="0"/>
                  <w:vAlign w:val="center"/>
                </w:tcPr>
                <w:p w14:paraId="562F91BD">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29DDAB3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B0237F3">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703E003B">
                  <w:pPr>
                    <w:wordWrap w:val="0"/>
                    <w:autoSpaceDE w:val="0"/>
                    <w:autoSpaceDN w:val="0"/>
                    <w:adjustRightInd w:val="0"/>
                    <w:snapToGrid w:val="0"/>
                    <w:spacing w:line="400" w:lineRule="atLeast"/>
                    <w:jc w:val="center"/>
                    <w:rPr>
                      <w:rFonts w:hint="eastAsia" w:eastAsia="宋体"/>
                      <w:color w:val="auto"/>
                      <w:szCs w:val="21"/>
                      <w:lang w:eastAsia="zh-CN"/>
                    </w:rPr>
                  </w:pPr>
                  <w:r>
                    <w:rPr>
                      <w:rFonts w:hint="eastAsia"/>
                      <w:color w:val="auto"/>
                      <w:szCs w:val="21"/>
                    </w:rPr>
                    <w:t>炭黑</w:t>
                  </w:r>
                  <w:r>
                    <w:rPr>
                      <w:rFonts w:hint="eastAsia"/>
                      <w:color w:val="auto"/>
                      <w:szCs w:val="21"/>
                      <w:lang w:eastAsia="zh-CN"/>
                    </w:rPr>
                    <w:t>（</w:t>
                  </w:r>
                  <w:r>
                    <w:rPr>
                      <w:rFonts w:hint="eastAsia"/>
                      <w:color w:val="auto"/>
                      <w:szCs w:val="21"/>
                    </w:rPr>
                    <w:t>SP</w:t>
                  </w:r>
                  <w:r>
                    <w:rPr>
                      <w:rFonts w:hint="eastAsia"/>
                      <w:color w:val="auto"/>
                      <w:szCs w:val="21"/>
                      <w:lang w:eastAsia="zh-CN"/>
                    </w:rPr>
                    <w:t>）</w:t>
                  </w:r>
                </w:p>
              </w:tc>
              <w:tc>
                <w:tcPr>
                  <w:tcW w:w="700" w:type="pct"/>
                  <w:shd w:val="clear" w:color="auto" w:fill="auto"/>
                  <w:noWrap w:val="0"/>
                  <w:vAlign w:val="center"/>
                </w:tcPr>
                <w:p w14:paraId="4D60E9AB">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7710A083">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13</w:t>
                  </w:r>
                </w:p>
              </w:tc>
              <w:tc>
                <w:tcPr>
                  <w:tcW w:w="665" w:type="pct"/>
                  <w:shd w:val="clear" w:color="auto" w:fill="auto"/>
                  <w:noWrap w:val="0"/>
                  <w:vAlign w:val="center"/>
                </w:tcPr>
                <w:p w14:paraId="7683CBEC">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13</w:t>
                  </w:r>
                </w:p>
              </w:tc>
              <w:tc>
                <w:tcPr>
                  <w:tcW w:w="499" w:type="pct"/>
                  <w:shd w:val="clear" w:color="auto" w:fill="auto"/>
                  <w:noWrap w:val="0"/>
                  <w:vAlign w:val="center"/>
                </w:tcPr>
                <w:p w14:paraId="6DA1EC68">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w:t>
                  </w:r>
                </w:p>
              </w:tc>
              <w:tc>
                <w:tcPr>
                  <w:tcW w:w="449" w:type="pct"/>
                  <w:noWrap w:val="0"/>
                  <w:vAlign w:val="center"/>
                </w:tcPr>
                <w:p w14:paraId="428030F2">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6A21D91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AFE310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4394E7C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环烷油</w:t>
                  </w:r>
                </w:p>
              </w:tc>
              <w:tc>
                <w:tcPr>
                  <w:tcW w:w="700" w:type="pct"/>
                  <w:shd w:val="clear" w:color="auto" w:fill="auto"/>
                  <w:noWrap w:val="0"/>
                  <w:vAlign w:val="center"/>
                </w:tcPr>
                <w:p w14:paraId="47015CB5">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33E3969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15</w:t>
                  </w:r>
                </w:p>
              </w:tc>
              <w:tc>
                <w:tcPr>
                  <w:tcW w:w="665" w:type="pct"/>
                  <w:shd w:val="clear" w:color="auto" w:fill="auto"/>
                  <w:noWrap w:val="0"/>
                  <w:vAlign w:val="center"/>
                </w:tcPr>
                <w:p w14:paraId="13538F5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15</w:t>
                  </w:r>
                </w:p>
              </w:tc>
              <w:tc>
                <w:tcPr>
                  <w:tcW w:w="499" w:type="pct"/>
                  <w:shd w:val="clear" w:color="auto" w:fill="auto"/>
                  <w:noWrap w:val="0"/>
                  <w:vAlign w:val="center"/>
                </w:tcPr>
                <w:p w14:paraId="269FC08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449" w:type="pct"/>
                  <w:noWrap w:val="0"/>
                  <w:vAlign w:val="center"/>
                </w:tcPr>
                <w:p w14:paraId="1B7F8832">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41FDD29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2509045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3FB08B41">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促进剂（DTDM）</w:t>
                  </w:r>
                </w:p>
              </w:tc>
              <w:tc>
                <w:tcPr>
                  <w:tcW w:w="700" w:type="pct"/>
                  <w:shd w:val="clear" w:color="auto" w:fill="auto"/>
                  <w:noWrap w:val="0"/>
                  <w:vAlign w:val="center"/>
                </w:tcPr>
                <w:p w14:paraId="082CE07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7F918B30">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4</w:t>
                  </w:r>
                </w:p>
              </w:tc>
              <w:tc>
                <w:tcPr>
                  <w:tcW w:w="665" w:type="pct"/>
                  <w:shd w:val="clear" w:color="auto" w:fill="auto"/>
                  <w:noWrap w:val="0"/>
                  <w:vAlign w:val="center"/>
                </w:tcPr>
                <w:p w14:paraId="32300709">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4</w:t>
                  </w:r>
                </w:p>
              </w:tc>
              <w:tc>
                <w:tcPr>
                  <w:tcW w:w="499" w:type="pct"/>
                  <w:shd w:val="clear" w:color="auto" w:fill="auto"/>
                  <w:noWrap w:val="0"/>
                  <w:vAlign w:val="center"/>
                </w:tcPr>
                <w:p w14:paraId="14657814">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0</w:t>
                  </w:r>
                  <w:r>
                    <w:rPr>
                      <w:color w:val="auto"/>
                      <w:szCs w:val="21"/>
                    </w:rPr>
                    <w:t>.2</w:t>
                  </w:r>
                </w:p>
              </w:tc>
              <w:tc>
                <w:tcPr>
                  <w:tcW w:w="449" w:type="pct"/>
                  <w:shd w:val="clear" w:color="auto" w:fill="auto"/>
                  <w:noWrap w:val="0"/>
                  <w:vAlign w:val="center"/>
                </w:tcPr>
                <w:p w14:paraId="0E22747F">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外购</w:t>
                  </w:r>
                </w:p>
              </w:tc>
            </w:tr>
            <w:tr w14:paraId="46486B5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597195C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615C8FCC">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促进剂（DM）</w:t>
                  </w:r>
                </w:p>
              </w:tc>
              <w:tc>
                <w:tcPr>
                  <w:tcW w:w="700" w:type="pct"/>
                  <w:shd w:val="clear" w:color="auto" w:fill="auto"/>
                  <w:noWrap w:val="0"/>
                  <w:vAlign w:val="center"/>
                </w:tcPr>
                <w:p w14:paraId="64507504">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0083F160">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4</w:t>
                  </w:r>
                </w:p>
              </w:tc>
              <w:tc>
                <w:tcPr>
                  <w:tcW w:w="665" w:type="pct"/>
                  <w:shd w:val="clear" w:color="auto" w:fill="auto"/>
                  <w:noWrap w:val="0"/>
                  <w:vAlign w:val="center"/>
                </w:tcPr>
                <w:p w14:paraId="4EE89887">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4</w:t>
                  </w:r>
                </w:p>
              </w:tc>
              <w:tc>
                <w:tcPr>
                  <w:tcW w:w="499" w:type="pct"/>
                  <w:shd w:val="clear" w:color="auto" w:fill="auto"/>
                  <w:noWrap w:val="0"/>
                  <w:vAlign w:val="center"/>
                </w:tcPr>
                <w:p w14:paraId="3D05B1D6">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0</w:t>
                  </w:r>
                  <w:r>
                    <w:rPr>
                      <w:color w:val="auto"/>
                      <w:szCs w:val="21"/>
                    </w:rPr>
                    <w:t>.2</w:t>
                  </w:r>
                </w:p>
              </w:tc>
              <w:tc>
                <w:tcPr>
                  <w:tcW w:w="449" w:type="pct"/>
                  <w:shd w:val="clear" w:color="auto" w:fill="auto"/>
                  <w:noWrap w:val="0"/>
                  <w:vAlign w:val="center"/>
                </w:tcPr>
                <w:p w14:paraId="50C6ECD7">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外购</w:t>
                  </w:r>
                </w:p>
              </w:tc>
            </w:tr>
            <w:tr w14:paraId="37DF5A3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PrEx>
              <w:trPr>
                <w:trHeight w:val="454" w:hRule="atLeast"/>
              </w:trPr>
              <w:tc>
                <w:tcPr>
                  <w:tcW w:w="566" w:type="pct"/>
                  <w:vMerge w:val="continue"/>
                  <w:shd w:val="clear" w:color="auto" w:fill="auto"/>
                  <w:noWrap w:val="0"/>
                  <w:vAlign w:val="center"/>
                </w:tcPr>
                <w:p w14:paraId="17C6C1D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6760E174">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促进剂（C</w:t>
                  </w:r>
                  <w:r>
                    <w:rPr>
                      <w:color w:val="auto"/>
                      <w:szCs w:val="21"/>
                    </w:rPr>
                    <w:t>Z</w:t>
                  </w:r>
                  <w:r>
                    <w:rPr>
                      <w:rFonts w:hint="eastAsia"/>
                      <w:color w:val="auto"/>
                      <w:szCs w:val="21"/>
                    </w:rPr>
                    <w:t>）</w:t>
                  </w:r>
                </w:p>
              </w:tc>
              <w:tc>
                <w:tcPr>
                  <w:tcW w:w="700" w:type="pct"/>
                  <w:shd w:val="clear" w:color="auto" w:fill="auto"/>
                  <w:noWrap w:val="0"/>
                  <w:vAlign w:val="center"/>
                </w:tcPr>
                <w:p w14:paraId="6E2D232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4A7D97BD">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3</w:t>
                  </w:r>
                </w:p>
              </w:tc>
              <w:tc>
                <w:tcPr>
                  <w:tcW w:w="665" w:type="pct"/>
                  <w:shd w:val="clear" w:color="auto" w:fill="auto"/>
                  <w:noWrap w:val="0"/>
                  <w:vAlign w:val="center"/>
                </w:tcPr>
                <w:p w14:paraId="7E4D34C7">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3</w:t>
                  </w:r>
                </w:p>
              </w:tc>
              <w:tc>
                <w:tcPr>
                  <w:tcW w:w="499" w:type="pct"/>
                  <w:shd w:val="clear" w:color="auto" w:fill="auto"/>
                  <w:noWrap w:val="0"/>
                  <w:vAlign w:val="center"/>
                </w:tcPr>
                <w:p w14:paraId="248D80E4">
                  <w:pPr>
                    <w:wordWrap w:val="0"/>
                    <w:autoSpaceDE w:val="0"/>
                    <w:autoSpaceDN w:val="0"/>
                    <w:adjustRightInd w:val="0"/>
                    <w:snapToGrid w:val="0"/>
                    <w:spacing w:line="400" w:lineRule="atLeast"/>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0</w:t>
                  </w:r>
                  <w:r>
                    <w:rPr>
                      <w:color w:val="auto"/>
                      <w:szCs w:val="21"/>
                    </w:rPr>
                    <w:t>.2</w:t>
                  </w:r>
                </w:p>
              </w:tc>
              <w:tc>
                <w:tcPr>
                  <w:tcW w:w="449" w:type="pct"/>
                  <w:noWrap w:val="0"/>
                  <w:vAlign w:val="center"/>
                </w:tcPr>
                <w:p w14:paraId="7B67C7D9">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7FAF0CF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7A6C51E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2A3D536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硫磺粉</w:t>
                  </w:r>
                </w:p>
              </w:tc>
              <w:tc>
                <w:tcPr>
                  <w:tcW w:w="700" w:type="pct"/>
                  <w:shd w:val="clear" w:color="auto" w:fill="auto"/>
                  <w:noWrap w:val="0"/>
                  <w:vAlign w:val="center"/>
                </w:tcPr>
                <w:p w14:paraId="4D4F2D07">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24A081B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665" w:type="pct"/>
                  <w:shd w:val="clear" w:color="auto" w:fill="auto"/>
                  <w:noWrap w:val="0"/>
                  <w:vAlign w:val="center"/>
                </w:tcPr>
                <w:p w14:paraId="36D3191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499" w:type="pct"/>
                  <w:shd w:val="clear" w:color="auto" w:fill="auto"/>
                  <w:noWrap w:val="0"/>
                  <w:vAlign w:val="center"/>
                </w:tcPr>
                <w:p w14:paraId="520B5902">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0.25</w:t>
                  </w:r>
                </w:p>
              </w:tc>
              <w:tc>
                <w:tcPr>
                  <w:tcW w:w="449" w:type="pct"/>
                  <w:noWrap w:val="0"/>
                  <w:vAlign w:val="center"/>
                </w:tcPr>
                <w:p w14:paraId="1B1E4C49">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34DE95B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6FE7283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6A213999">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氧化锌</w:t>
                  </w:r>
                </w:p>
              </w:tc>
              <w:tc>
                <w:tcPr>
                  <w:tcW w:w="700" w:type="pct"/>
                  <w:shd w:val="clear" w:color="auto" w:fill="auto"/>
                  <w:noWrap w:val="0"/>
                  <w:vAlign w:val="center"/>
                </w:tcPr>
                <w:p w14:paraId="286411B8">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399B73A2">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15</w:t>
                  </w:r>
                </w:p>
              </w:tc>
              <w:tc>
                <w:tcPr>
                  <w:tcW w:w="665" w:type="pct"/>
                  <w:shd w:val="clear" w:color="auto" w:fill="auto"/>
                  <w:noWrap w:val="0"/>
                  <w:vAlign w:val="center"/>
                </w:tcPr>
                <w:p w14:paraId="0CBE2DC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15</w:t>
                  </w:r>
                </w:p>
              </w:tc>
              <w:tc>
                <w:tcPr>
                  <w:tcW w:w="499" w:type="pct"/>
                  <w:shd w:val="clear" w:color="auto" w:fill="auto"/>
                  <w:noWrap w:val="0"/>
                  <w:vAlign w:val="center"/>
                </w:tcPr>
                <w:p w14:paraId="7E637DAE">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w:t>
                  </w:r>
                </w:p>
              </w:tc>
              <w:tc>
                <w:tcPr>
                  <w:tcW w:w="449" w:type="pct"/>
                  <w:shd w:val="clear" w:color="auto" w:fill="auto"/>
                  <w:noWrap w:val="0"/>
                  <w:vAlign w:val="center"/>
                </w:tcPr>
                <w:p w14:paraId="6CE96C6B">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0893823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45016DD0">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61CC0AB5">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硬脂酸</w:t>
                  </w:r>
                </w:p>
              </w:tc>
              <w:tc>
                <w:tcPr>
                  <w:tcW w:w="700" w:type="pct"/>
                  <w:shd w:val="clear" w:color="auto" w:fill="auto"/>
                  <w:noWrap w:val="0"/>
                  <w:vAlign w:val="center"/>
                </w:tcPr>
                <w:p w14:paraId="2B2F3E8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1282EBDD">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665" w:type="pct"/>
                  <w:shd w:val="clear" w:color="auto" w:fill="auto"/>
                  <w:noWrap w:val="0"/>
                  <w:vAlign w:val="center"/>
                </w:tcPr>
                <w:p w14:paraId="761C60E1">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499" w:type="pct"/>
                  <w:shd w:val="clear" w:color="auto" w:fill="auto"/>
                  <w:noWrap w:val="0"/>
                  <w:vAlign w:val="center"/>
                </w:tcPr>
                <w:p w14:paraId="734DC62D">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c>
                <w:tcPr>
                  <w:tcW w:w="449" w:type="pct"/>
                  <w:shd w:val="clear" w:color="auto" w:fill="auto"/>
                  <w:noWrap w:val="0"/>
                  <w:vAlign w:val="center"/>
                </w:tcPr>
                <w:p w14:paraId="6E9C6FD4">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356E330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68934D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712C0AB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轻质碳化钙</w:t>
                  </w:r>
                </w:p>
              </w:tc>
              <w:tc>
                <w:tcPr>
                  <w:tcW w:w="700" w:type="pct"/>
                  <w:shd w:val="clear" w:color="auto" w:fill="auto"/>
                  <w:noWrap w:val="0"/>
                  <w:vAlign w:val="center"/>
                </w:tcPr>
                <w:p w14:paraId="17427EB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48820AA0">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665" w:type="pct"/>
                  <w:shd w:val="clear" w:color="auto" w:fill="auto"/>
                  <w:noWrap w:val="0"/>
                  <w:vAlign w:val="center"/>
                </w:tcPr>
                <w:p w14:paraId="420650AA">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499" w:type="pct"/>
                  <w:shd w:val="clear" w:color="auto" w:fill="auto"/>
                  <w:noWrap w:val="0"/>
                  <w:vAlign w:val="center"/>
                </w:tcPr>
                <w:p w14:paraId="5630282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w:t>
                  </w:r>
                </w:p>
              </w:tc>
              <w:tc>
                <w:tcPr>
                  <w:tcW w:w="449" w:type="pct"/>
                  <w:shd w:val="clear" w:color="auto" w:fill="auto"/>
                  <w:noWrap w:val="0"/>
                  <w:vAlign w:val="center"/>
                </w:tcPr>
                <w:p w14:paraId="72307281">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060F0EA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C93BA9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0FD197CD">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导电剂（R220）</w:t>
                  </w:r>
                </w:p>
              </w:tc>
              <w:tc>
                <w:tcPr>
                  <w:tcW w:w="700" w:type="pct"/>
                  <w:shd w:val="clear" w:color="auto" w:fill="auto"/>
                  <w:noWrap w:val="0"/>
                  <w:vAlign w:val="center"/>
                </w:tcPr>
                <w:p w14:paraId="1D6AB10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4592A14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665" w:type="pct"/>
                  <w:shd w:val="clear" w:color="auto" w:fill="auto"/>
                  <w:noWrap w:val="0"/>
                  <w:vAlign w:val="center"/>
                </w:tcPr>
                <w:p w14:paraId="4EC263C3">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499" w:type="pct"/>
                  <w:shd w:val="clear" w:color="auto" w:fill="auto"/>
                  <w:noWrap w:val="0"/>
                  <w:vAlign w:val="center"/>
                </w:tcPr>
                <w:p w14:paraId="07AB5F7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0.5</w:t>
                  </w:r>
                </w:p>
              </w:tc>
              <w:tc>
                <w:tcPr>
                  <w:tcW w:w="449" w:type="pct"/>
                  <w:shd w:val="clear" w:color="auto" w:fill="auto"/>
                  <w:noWrap w:val="0"/>
                  <w:vAlign w:val="center"/>
                </w:tcPr>
                <w:p w14:paraId="5C110258">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3062D82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0800974A">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435CF5B9">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高岭土</w:t>
                  </w:r>
                </w:p>
              </w:tc>
              <w:tc>
                <w:tcPr>
                  <w:tcW w:w="700" w:type="pct"/>
                  <w:shd w:val="clear" w:color="auto" w:fill="auto"/>
                  <w:noWrap w:val="0"/>
                  <w:vAlign w:val="center"/>
                </w:tcPr>
                <w:p w14:paraId="372E01F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w:t>
                  </w:r>
                </w:p>
              </w:tc>
              <w:tc>
                <w:tcPr>
                  <w:tcW w:w="749" w:type="pct"/>
                  <w:shd w:val="clear" w:color="auto" w:fill="auto"/>
                  <w:noWrap w:val="0"/>
                  <w:vAlign w:val="center"/>
                </w:tcPr>
                <w:p w14:paraId="6A432890">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lang w:val="en-US" w:eastAsia="zh-CN"/>
                    </w:rPr>
                    <w:t>0</w:t>
                  </w:r>
                </w:p>
              </w:tc>
              <w:tc>
                <w:tcPr>
                  <w:tcW w:w="665" w:type="pct"/>
                  <w:shd w:val="clear" w:color="auto" w:fill="auto"/>
                  <w:noWrap w:val="0"/>
                  <w:vAlign w:val="center"/>
                </w:tcPr>
                <w:p w14:paraId="30C7892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lang w:val="en-US" w:eastAsia="zh-CN"/>
                    </w:rPr>
                    <w:t>0</w:t>
                  </w:r>
                </w:p>
              </w:tc>
              <w:tc>
                <w:tcPr>
                  <w:tcW w:w="499" w:type="pct"/>
                  <w:shd w:val="clear" w:color="auto" w:fill="auto"/>
                  <w:noWrap w:val="0"/>
                  <w:vAlign w:val="center"/>
                </w:tcPr>
                <w:p w14:paraId="22315622">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lang w:val="en-US" w:eastAsia="zh-CN"/>
                    </w:rPr>
                    <w:t>5</w:t>
                  </w:r>
                </w:p>
              </w:tc>
              <w:tc>
                <w:tcPr>
                  <w:tcW w:w="449" w:type="pct"/>
                  <w:shd w:val="clear" w:color="auto" w:fill="auto"/>
                  <w:noWrap w:val="0"/>
                  <w:vAlign w:val="center"/>
                </w:tcPr>
                <w:p w14:paraId="46ACBA44">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外购</w:t>
                  </w:r>
                </w:p>
              </w:tc>
            </w:tr>
            <w:tr w14:paraId="3EFD8ED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D5F87D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shd w:val="clear" w:color="auto" w:fill="auto"/>
                  <w:noWrap w:val="0"/>
                  <w:vAlign w:val="center"/>
                </w:tcPr>
                <w:p w14:paraId="255B565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美沙克灵</w:t>
                  </w:r>
                </w:p>
              </w:tc>
              <w:tc>
                <w:tcPr>
                  <w:tcW w:w="700" w:type="pct"/>
                  <w:shd w:val="clear" w:color="auto" w:fill="auto"/>
                  <w:noWrap w:val="0"/>
                  <w:vAlign w:val="center"/>
                </w:tcPr>
                <w:p w14:paraId="74C00D6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50</w:t>
                  </w:r>
                </w:p>
              </w:tc>
              <w:tc>
                <w:tcPr>
                  <w:tcW w:w="749" w:type="pct"/>
                  <w:shd w:val="clear" w:color="auto" w:fill="auto"/>
                  <w:noWrap w:val="0"/>
                  <w:vAlign w:val="center"/>
                </w:tcPr>
                <w:p w14:paraId="48D00C2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665" w:type="pct"/>
                  <w:shd w:val="clear" w:color="auto" w:fill="auto"/>
                  <w:noWrap w:val="0"/>
                  <w:vAlign w:val="center"/>
                </w:tcPr>
                <w:p w14:paraId="32B35DB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499" w:type="pct"/>
                  <w:shd w:val="clear" w:color="auto" w:fill="auto"/>
                  <w:noWrap w:val="0"/>
                  <w:vAlign w:val="center"/>
                </w:tcPr>
                <w:p w14:paraId="7AB12A6A">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c>
                <w:tcPr>
                  <w:tcW w:w="449" w:type="pct"/>
                  <w:shd w:val="clear" w:color="auto" w:fill="auto"/>
                  <w:noWrap w:val="0"/>
                  <w:vAlign w:val="center"/>
                </w:tcPr>
                <w:p w14:paraId="5AE5546A">
                  <w:pPr>
                    <w:keepNext w:val="0"/>
                    <w:keepLines w:val="0"/>
                    <w:pageBreakBefore w:val="0"/>
                    <w:widowControl w:val="0"/>
                    <w:kinsoku/>
                    <w:wordWrap w:val="0"/>
                    <w:overflowPunct/>
                    <w:topLinePunct w:val="0"/>
                    <w:autoSpaceDE w:val="0"/>
                    <w:autoSpaceDN w:val="0"/>
                    <w:bidi w:val="0"/>
                    <w:snapToGrid/>
                    <w:spacing w:line="360" w:lineRule="exact"/>
                    <w:ind w:left="0" w:lef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0AD7403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0685D980">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43FD289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涂料</w:t>
                  </w:r>
                </w:p>
              </w:tc>
              <w:tc>
                <w:tcPr>
                  <w:tcW w:w="700" w:type="pct"/>
                  <w:shd w:val="clear" w:color="auto" w:fill="auto"/>
                  <w:noWrap w:val="0"/>
                  <w:vAlign w:val="center"/>
                </w:tcPr>
                <w:p w14:paraId="26417B4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20</w:t>
                  </w:r>
                </w:p>
              </w:tc>
              <w:tc>
                <w:tcPr>
                  <w:tcW w:w="749" w:type="pct"/>
                  <w:shd w:val="clear" w:color="auto" w:fill="auto"/>
                  <w:noWrap w:val="0"/>
                  <w:vAlign w:val="center"/>
                </w:tcPr>
                <w:p w14:paraId="27B6380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20</w:t>
                  </w:r>
                </w:p>
              </w:tc>
              <w:tc>
                <w:tcPr>
                  <w:tcW w:w="665" w:type="pct"/>
                  <w:shd w:val="clear" w:color="auto" w:fill="auto"/>
                  <w:noWrap w:val="0"/>
                  <w:vAlign w:val="center"/>
                </w:tcPr>
                <w:p w14:paraId="0150E64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20</w:t>
                  </w:r>
                </w:p>
              </w:tc>
              <w:tc>
                <w:tcPr>
                  <w:tcW w:w="499" w:type="pct"/>
                  <w:shd w:val="clear" w:color="auto" w:fill="auto"/>
                  <w:noWrap w:val="0"/>
                  <w:vAlign w:val="center"/>
                </w:tcPr>
                <w:p w14:paraId="6A93E08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p>
              </w:tc>
              <w:tc>
                <w:tcPr>
                  <w:tcW w:w="449" w:type="pct"/>
                  <w:noWrap w:val="0"/>
                  <w:vAlign w:val="center"/>
                </w:tcPr>
                <w:p w14:paraId="43E70972">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05DECAA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PrEx>
              <w:trPr>
                <w:trHeight w:val="454" w:hRule="atLeast"/>
              </w:trPr>
              <w:tc>
                <w:tcPr>
                  <w:tcW w:w="566" w:type="pct"/>
                  <w:vMerge w:val="continue"/>
                  <w:shd w:val="clear" w:color="auto" w:fill="auto"/>
                  <w:noWrap w:val="0"/>
                  <w:vAlign w:val="center"/>
                </w:tcPr>
                <w:p w14:paraId="7D7779BA">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52E8373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芯棒</w:t>
                  </w:r>
                </w:p>
              </w:tc>
              <w:tc>
                <w:tcPr>
                  <w:tcW w:w="700" w:type="pct"/>
                  <w:shd w:val="clear" w:color="auto" w:fill="auto"/>
                  <w:noWrap w:val="0"/>
                  <w:vAlign w:val="center"/>
                </w:tcPr>
                <w:p w14:paraId="5C9DECE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1800万支/a</w:t>
                  </w:r>
                </w:p>
              </w:tc>
              <w:tc>
                <w:tcPr>
                  <w:tcW w:w="749" w:type="pct"/>
                  <w:shd w:val="clear" w:color="auto" w:fill="auto"/>
                  <w:noWrap w:val="0"/>
                  <w:vAlign w:val="center"/>
                </w:tcPr>
                <w:p w14:paraId="0925031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1800万支/a</w:t>
                  </w:r>
                </w:p>
              </w:tc>
              <w:tc>
                <w:tcPr>
                  <w:tcW w:w="665" w:type="pct"/>
                  <w:shd w:val="clear" w:color="auto" w:fill="auto"/>
                  <w:noWrap w:val="0"/>
                  <w:vAlign w:val="center"/>
                </w:tcPr>
                <w:p w14:paraId="0B7D8A3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1800万支/a</w:t>
                  </w:r>
                </w:p>
              </w:tc>
              <w:tc>
                <w:tcPr>
                  <w:tcW w:w="499" w:type="pct"/>
                  <w:shd w:val="clear" w:color="auto" w:fill="auto"/>
                  <w:noWrap w:val="0"/>
                  <w:vAlign w:val="center"/>
                </w:tcPr>
                <w:p w14:paraId="7C53E404">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lang w:val="en-US" w:eastAsia="zh-CN"/>
                    </w:rPr>
                    <w:t>00万支</w:t>
                  </w:r>
                </w:p>
              </w:tc>
              <w:tc>
                <w:tcPr>
                  <w:tcW w:w="449" w:type="pct"/>
                  <w:noWrap w:val="0"/>
                  <w:vAlign w:val="center"/>
                </w:tcPr>
                <w:p w14:paraId="497AEDCF">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457B11F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5D0C335F">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0EB5500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纸箱</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包材</w:t>
                  </w:r>
                  <w:r>
                    <w:rPr>
                      <w:rFonts w:hint="eastAsia" w:cs="Times New Roman"/>
                      <w:color w:val="auto"/>
                      <w:sz w:val="21"/>
                      <w:szCs w:val="21"/>
                      <w:lang w:val="en-US" w:eastAsia="zh-CN"/>
                    </w:rPr>
                    <w:t>）</w:t>
                  </w:r>
                </w:p>
              </w:tc>
              <w:tc>
                <w:tcPr>
                  <w:tcW w:w="700" w:type="pct"/>
                  <w:shd w:val="clear" w:color="auto" w:fill="auto"/>
                  <w:noWrap w:val="0"/>
                  <w:vAlign w:val="center"/>
                </w:tcPr>
                <w:p w14:paraId="5F8F1258">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11万个/a</w:t>
                  </w:r>
                </w:p>
              </w:tc>
              <w:tc>
                <w:tcPr>
                  <w:tcW w:w="749" w:type="pct"/>
                  <w:shd w:val="clear" w:color="auto" w:fill="auto"/>
                  <w:noWrap w:val="0"/>
                  <w:vAlign w:val="center"/>
                </w:tcPr>
                <w:p w14:paraId="22D3BAD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11万个/a</w:t>
                  </w:r>
                </w:p>
              </w:tc>
              <w:tc>
                <w:tcPr>
                  <w:tcW w:w="665" w:type="pct"/>
                  <w:shd w:val="clear" w:color="auto" w:fill="auto"/>
                  <w:noWrap w:val="0"/>
                  <w:vAlign w:val="center"/>
                </w:tcPr>
                <w:p w14:paraId="6199B49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11万个/a</w:t>
                  </w:r>
                </w:p>
              </w:tc>
              <w:tc>
                <w:tcPr>
                  <w:tcW w:w="499" w:type="pct"/>
                  <w:shd w:val="clear" w:color="auto" w:fill="auto"/>
                  <w:noWrap w:val="0"/>
                  <w:vAlign w:val="center"/>
                </w:tcPr>
                <w:p w14:paraId="4C453AE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1万个</w:t>
                  </w:r>
                </w:p>
              </w:tc>
              <w:tc>
                <w:tcPr>
                  <w:tcW w:w="449" w:type="pct"/>
                  <w:noWrap w:val="0"/>
                  <w:vAlign w:val="center"/>
                </w:tcPr>
                <w:p w14:paraId="46E603E6">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0B94435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6DE721E2">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250CBEC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吸塑盒</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包材</w:t>
                  </w:r>
                  <w:r>
                    <w:rPr>
                      <w:rFonts w:hint="eastAsia" w:cs="Times New Roman"/>
                      <w:color w:val="auto"/>
                      <w:sz w:val="21"/>
                      <w:szCs w:val="21"/>
                      <w:lang w:val="en-US" w:eastAsia="zh-CN"/>
                    </w:rPr>
                    <w:t>）</w:t>
                  </w:r>
                </w:p>
              </w:tc>
              <w:tc>
                <w:tcPr>
                  <w:tcW w:w="700" w:type="pct"/>
                  <w:shd w:val="clear" w:color="auto" w:fill="auto"/>
                  <w:noWrap w:val="0"/>
                  <w:vAlign w:val="center"/>
                </w:tcPr>
                <w:p w14:paraId="5AD3FCF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242万个/a</w:t>
                  </w:r>
                </w:p>
              </w:tc>
              <w:tc>
                <w:tcPr>
                  <w:tcW w:w="749" w:type="pct"/>
                  <w:shd w:val="clear" w:color="auto" w:fill="auto"/>
                  <w:noWrap w:val="0"/>
                  <w:vAlign w:val="center"/>
                </w:tcPr>
                <w:p w14:paraId="55EF2AB8">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15万个/a</w:t>
                  </w:r>
                </w:p>
              </w:tc>
              <w:tc>
                <w:tcPr>
                  <w:tcW w:w="665" w:type="pct"/>
                  <w:shd w:val="clear" w:color="auto" w:fill="auto"/>
                  <w:noWrap w:val="0"/>
                  <w:vAlign w:val="center"/>
                </w:tcPr>
                <w:p w14:paraId="0B5CB2D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15万个/a</w:t>
                  </w:r>
                </w:p>
              </w:tc>
              <w:tc>
                <w:tcPr>
                  <w:tcW w:w="499" w:type="pct"/>
                  <w:shd w:val="clear" w:color="auto" w:fill="auto"/>
                  <w:noWrap w:val="0"/>
                  <w:vAlign w:val="center"/>
                </w:tcPr>
                <w:p w14:paraId="4EA4FBB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1万个</w:t>
                  </w:r>
                </w:p>
              </w:tc>
              <w:tc>
                <w:tcPr>
                  <w:tcW w:w="449" w:type="pct"/>
                  <w:noWrap w:val="0"/>
                  <w:vAlign w:val="center"/>
                </w:tcPr>
                <w:p w14:paraId="3A399C9F">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15EB214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4CCFD2E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0A8C017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乙醇</w:t>
                  </w:r>
                </w:p>
              </w:tc>
              <w:tc>
                <w:tcPr>
                  <w:tcW w:w="700" w:type="pct"/>
                  <w:shd w:val="clear" w:color="auto" w:fill="auto"/>
                  <w:noWrap w:val="0"/>
                  <w:vAlign w:val="center"/>
                </w:tcPr>
                <w:p w14:paraId="0A387EA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749" w:type="pct"/>
                  <w:shd w:val="clear" w:color="auto" w:fill="auto"/>
                  <w:noWrap w:val="0"/>
                  <w:vAlign w:val="center"/>
                </w:tcPr>
                <w:p w14:paraId="4824A9D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665" w:type="pct"/>
                  <w:shd w:val="clear" w:color="auto" w:fill="auto"/>
                  <w:noWrap w:val="0"/>
                  <w:vAlign w:val="center"/>
                </w:tcPr>
                <w:p w14:paraId="768D1FB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499" w:type="pct"/>
                  <w:shd w:val="clear" w:color="auto" w:fill="auto"/>
                  <w:noWrap w:val="0"/>
                  <w:vAlign w:val="center"/>
                </w:tcPr>
                <w:p w14:paraId="4D6B081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lang w:val="en-US" w:eastAsia="zh-CN"/>
                    </w:rPr>
                    <w:t>.25</w:t>
                  </w:r>
                </w:p>
              </w:tc>
              <w:tc>
                <w:tcPr>
                  <w:tcW w:w="449" w:type="pct"/>
                  <w:noWrap w:val="0"/>
                  <w:vAlign w:val="center"/>
                </w:tcPr>
                <w:p w14:paraId="41ACA61D">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06BEFB4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2867A5B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269405B7">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二甲苯</w:t>
                  </w:r>
                </w:p>
              </w:tc>
              <w:tc>
                <w:tcPr>
                  <w:tcW w:w="700" w:type="pct"/>
                  <w:shd w:val="clear" w:color="auto" w:fill="auto"/>
                  <w:noWrap w:val="0"/>
                  <w:vAlign w:val="center"/>
                </w:tcPr>
                <w:p w14:paraId="0B565F45">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13</w:t>
                  </w:r>
                </w:p>
              </w:tc>
              <w:tc>
                <w:tcPr>
                  <w:tcW w:w="749" w:type="pct"/>
                  <w:shd w:val="clear" w:color="auto" w:fill="auto"/>
                  <w:noWrap w:val="0"/>
                  <w:vAlign w:val="center"/>
                </w:tcPr>
                <w:p w14:paraId="50EB985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w:t>
                  </w:r>
                </w:p>
              </w:tc>
              <w:tc>
                <w:tcPr>
                  <w:tcW w:w="665" w:type="pct"/>
                  <w:shd w:val="clear" w:color="auto" w:fill="auto"/>
                  <w:noWrap w:val="0"/>
                  <w:vAlign w:val="center"/>
                </w:tcPr>
                <w:p w14:paraId="2F6FCBB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w:t>
                  </w:r>
                </w:p>
              </w:tc>
              <w:tc>
                <w:tcPr>
                  <w:tcW w:w="499" w:type="pct"/>
                  <w:shd w:val="clear" w:color="auto" w:fill="auto"/>
                  <w:noWrap w:val="0"/>
                  <w:vAlign w:val="center"/>
                </w:tcPr>
                <w:p w14:paraId="787F4CB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lang w:val="en-US" w:eastAsia="zh-CN"/>
                    </w:rPr>
                    <w:t>.25</w:t>
                  </w:r>
                </w:p>
              </w:tc>
              <w:tc>
                <w:tcPr>
                  <w:tcW w:w="449" w:type="pct"/>
                  <w:noWrap w:val="0"/>
                  <w:vAlign w:val="center"/>
                </w:tcPr>
                <w:p w14:paraId="457C90BC">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0B2FE80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4227940">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23A7729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醋酸乙酯</w:t>
                  </w:r>
                </w:p>
              </w:tc>
              <w:tc>
                <w:tcPr>
                  <w:tcW w:w="700" w:type="pct"/>
                  <w:shd w:val="clear" w:color="auto" w:fill="auto"/>
                  <w:noWrap w:val="0"/>
                  <w:vAlign w:val="center"/>
                </w:tcPr>
                <w:p w14:paraId="26BA92D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30</w:t>
                  </w:r>
                </w:p>
              </w:tc>
              <w:tc>
                <w:tcPr>
                  <w:tcW w:w="749" w:type="pct"/>
                  <w:shd w:val="clear" w:color="auto" w:fill="auto"/>
                  <w:noWrap w:val="0"/>
                  <w:vAlign w:val="center"/>
                </w:tcPr>
                <w:p w14:paraId="5B00921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30</w:t>
                  </w:r>
                </w:p>
              </w:tc>
              <w:tc>
                <w:tcPr>
                  <w:tcW w:w="665" w:type="pct"/>
                  <w:shd w:val="clear" w:color="auto" w:fill="auto"/>
                  <w:noWrap w:val="0"/>
                  <w:vAlign w:val="center"/>
                </w:tcPr>
                <w:p w14:paraId="15562A1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30</w:t>
                  </w:r>
                </w:p>
              </w:tc>
              <w:tc>
                <w:tcPr>
                  <w:tcW w:w="499" w:type="pct"/>
                  <w:shd w:val="clear" w:color="auto" w:fill="auto"/>
                  <w:noWrap w:val="0"/>
                  <w:vAlign w:val="center"/>
                </w:tcPr>
                <w:p w14:paraId="7B9F5CEB">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p>
              </w:tc>
              <w:tc>
                <w:tcPr>
                  <w:tcW w:w="449" w:type="pct"/>
                  <w:noWrap w:val="0"/>
                  <w:vAlign w:val="center"/>
                </w:tcPr>
                <w:p w14:paraId="03460175">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rPr>
                    <w:t>外购</w:t>
                  </w:r>
                </w:p>
              </w:tc>
            </w:tr>
            <w:tr w14:paraId="2A6103F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0A358F4B">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260F39F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导热油</w:t>
                  </w:r>
                </w:p>
              </w:tc>
              <w:tc>
                <w:tcPr>
                  <w:tcW w:w="700" w:type="pct"/>
                  <w:shd w:val="clear" w:color="auto" w:fill="auto"/>
                  <w:noWrap w:val="0"/>
                  <w:vAlign w:val="center"/>
                </w:tcPr>
                <w:p w14:paraId="6FDEC04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2E04E75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0.34</w:t>
                  </w:r>
                </w:p>
              </w:tc>
              <w:tc>
                <w:tcPr>
                  <w:tcW w:w="665" w:type="pct"/>
                  <w:shd w:val="clear" w:color="auto" w:fill="auto"/>
                  <w:noWrap w:val="0"/>
                  <w:vAlign w:val="center"/>
                </w:tcPr>
                <w:p w14:paraId="054C8397">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0.34</w:t>
                  </w:r>
                </w:p>
              </w:tc>
              <w:tc>
                <w:tcPr>
                  <w:tcW w:w="499" w:type="pct"/>
                  <w:shd w:val="clear" w:color="auto" w:fill="auto"/>
                  <w:noWrap w:val="0"/>
                  <w:vAlign w:val="center"/>
                </w:tcPr>
                <w:p w14:paraId="0BEA029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0.34</w:t>
                  </w:r>
                </w:p>
              </w:tc>
              <w:tc>
                <w:tcPr>
                  <w:tcW w:w="449" w:type="pct"/>
                  <w:noWrap w:val="0"/>
                  <w:vAlign w:val="center"/>
                </w:tcPr>
                <w:p w14:paraId="508D25C1">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079C288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restart"/>
                  <w:shd w:val="clear" w:color="auto" w:fill="auto"/>
                  <w:noWrap w:val="0"/>
                  <w:vAlign w:val="center"/>
                </w:tcPr>
                <w:p w14:paraId="3A656D36">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w w:val="100"/>
                      <w:sz w:val="21"/>
                      <w:szCs w:val="21"/>
                      <w:lang w:val="en-US" w:eastAsia="zh-CN"/>
                    </w:rPr>
                    <w:t>高分子纳米增强型橡胶条</w:t>
                  </w:r>
                  <w:r>
                    <w:rPr>
                      <w:rFonts w:hint="eastAsia" w:cs="Times New Roman"/>
                      <w:color w:val="auto"/>
                      <w:w w:val="100"/>
                      <w:sz w:val="21"/>
                      <w:szCs w:val="21"/>
                      <w:lang w:eastAsia="zh-CN"/>
                    </w:rPr>
                    <w:t>生产线</w:t>
                  </w:r>
                </w:p>
              </w:tc>
              <w:tc>
                <w:tcPr>
                  <w:tcW w:w="1369" w:type="pct"/>
                  <w:noWrap w:val="0"/>
                  <w:vAlign w:val="center"/>
                </w:tcPr>
                <w:p w14:paraId="05689B7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天然橡胶</w:t>
                  </w:r>
                </w:p>
              </w:tc>
              <w:tc>
                <w:tcPr>
                  <w:tcW w:w="700" w:type="pct"/>
                  <w:shd w:val="clear" w:color="auto" w:fill="auto"/>
                  <w:noWrap w:val="0"/>
                  <w:vAlign w:val="center"/>
                </w:tcPr>
                <w:p w14:paraId="1B3688D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50F4A7A7">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350</w:t>
                  </w:r>
                </w:p>
              </w:tc>
              <w:tc>
                <w:tcPr>
                  <w:tcW w:w="665" w:type="pct"/>
                  <w:shd w:val="clear" w:color="auto" w:fill="auto"/>
                  <w:noWrap w:val="0"/>
                  <w:vAlign w:val="center"/>
                </w:tcPr>
                <w:p w14:paraId="5AF28342">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350</w:t>
                  </w:r>
                </w:p>
              </w:tc>
              <w:tc>
                <w:tcPr>
                  <w:tcW w:w="499" w:type="pct"/>
                  <w:shd w:val="clear" w:color="auto" w:fill="auto"/>
                  <w:noWrap w:val="0"/>
                  <w:vAlign w:val="center"/>
                </w:tcPr>
                <w:p w14:paraId="205F8F5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20</w:t>
                  </w:r>
                </w:p>
              </w:tc>
              <w:tc>
                <w:tcPr>
                  <w:tcW w:w="449" w:type="pct"/>
                  <w:noWrap w:val="0"/>
                  <w:vAlign w:val="center"/>
                </w:tcPr>
                <w:p w14:paraId="083F86AD">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438A77F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427D69D9">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3FAC87C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氧化锌</w:t>
                  </w:r>
                </w:p>
              </w:tc>
              <w:tc>
                <w:tcPr>
                  <w:tcW w:w="700" w:type="pct"/>
                  <w:shd w:val="clear" w:color="auto" w:fill="auto"/>
                  <w:noWrap w:val="0"/>
                  <w:vAlign w:val="center"/>
                </w:tcPr>
                <w:p w14:paraId="69D1DCC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01BB52F0">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60</w:t>
                  </w:r>
                </w:p>
              </w:tc>
              <w:tc>
                <w:tcPr>
                  <w:tcW w:w="665" w:type="pct"/>
                  <w:shd w:val="clear" w:color="auto" w:fill="auto"/>
                  <w:noWrap w:val="0"/>
                  <w:vAlign w:val="center"/>
                </w:tcPr>
                <w:p w14:paraId="14BE55B2">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60</w:t>
                  </w:r>
                </w:p>
              </w:tc>
              <w:tc>
                <w:tcPr>
                  <w:tcW w:w="499" w:type="pct"/>
                  <w:shd w:val="clear" w:color="auto" w:fill="auto"/>
                  <w:noWrap w:val="0"/>
                  <w:vAlign w:val="center"/>
                </w:tcPr>
                <w:p w14:paraId="2C8147C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6</w:t>
                  </w:r>
                </w:p>
              </w:tc>
              <w:tc>
                <w:tcPr>
                  <w:tcW w:w="449" w:type="pct"/>
                  <w:noWrap w:val="0"/>
                  <w:vAlign w:val="center"/>
                </w:tcPr>
                <w:p w14:paraId="5C3A841C">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46A25E8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1CB6E5B2">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4640B897">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轻质</w:t>
                  </w:r>
                  <w:r>
                    <w:rPr>
                      <w:rFonts w:hint="eastAsia" w:cs="Times New Roman"/>
                      <w:color w:val="auto"/>
                      <w:sz w:val="21"/>
                      <w:szCs w:val="21"/>
                      <w:lang w:val="en-US" w:eastAsia="zh-CN"/>
                    </w:rPr>
                    <w:t>碳酸钙</w:t>
                  </w:r>
                </w:p>
              </w:tc>
              <w:tc>
                <w:tcPr>
                  <w:tcW w:w="700" w:type="pct"/>
                  <w:shd w:val="clear" w:color="auto" w:fill="auto"/>
                  <w:noWrap w:val="0"/>
                  <w:vAlign w:val="center"/>
                </w:tcPr>
                <w:p w14:paraId="61B53C0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07AE48F4">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100</w:t>
                  </w:r>
                </w:p>
              </w:tc>
              <w:tc>
                <w:tcPr>
                  <w:tcW w:w="665" w:type="pct"/>
                  <w:shd w:val="clear" w:color="auto" w:fill="auto"/>
                  <w:noWrap w:val="0"/>
                  <w:vAlign w:val="center"/>
                </w:tcPr>
                <w:p w14:paraId="35CCC58C">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100</w:t>
                  </w:r>
                </w:p>
              </w:tc>
              <w:tc>
                <w:tcPr>
                  <w:tcW w:w="499" w:type="pct"/>
                  <w:shd w:val="clear" w:color="auto" w:fill="auto"/>
                  <w:noWrap w:val="0"/>
                  <w:vAlign w:val="center"/>
                </w:tcPr>
                <w:p w14:paraId="778F0EA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10</w:t>
                  </w:r>
                </w:p>
              </w:tc>
              <w:tc>
                <w:tcPr>
                  <w:tcW w:w="449" w:type="pct"/>
                  <w:noWrap w:val="0"/>
                  <w:vAlign w:val="center"/>
                </w:tcPr>
                <w:p w14:paraId="5F476334">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095399B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354DC7DD">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207B566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炭黑</w:t>
                  </w:r>
                </w:p>
              </w:tc>
              <w:tc>
                <w:tcPr>
                  <w:tcW w:w="700" w:type="pct"/>
                  <w:shd w:val="clear" w:color="auto" w:fill="auto"/>
                  <w:noWrap w:val="0"/>
                  <w:vAlign w:val="center"/>
                </w:tcPr>
                <w:p w14:paraId="3320C1E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3BB114AC">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35</w:t>
                  </w:r>
                </w:p>
              </w:tc>
              <w:tc>
                <w:tcPr>
                  <w:tcW w:w="665" w:type="pct"/>
                  <w:shd w:val="clear" w:color="auto" w:fill="auto"/>
                  <w:noWrap w:val="0"/>
                  <w:vAlign w:val="center"/>
                </w:tcPr>
                <w:p w14:paraId="1D7885BE">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35</w:t>
                  </w:r>
                </w:p>
              </w:tc>
              <w:tc>
                <w:tcPr>
                  <w:tcW w:w="499" w:type="pct"/>
                  <w:shd w:val="clear" w:color="auto" w:fill="auto"/>
                  <w:noWrap w:val="0"/>
                  <w:vAlign w:val="center"/>
                </w:tcPr>
                <w:p w14:paraId="4982BB54">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2</w:t>
                  </w:r>
                </w:p>
              </w:tc>
              <w:tc>
                <w:tcPr>
                  <w:tcW w:w="449" w:type="pct"/>
                  <w:noWrap w:val="0"/>
                  <w:vAlign w:val="center"/>
                </w:tcPr>
                <w:p w14:paraId="19EC0757">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4D9C812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08365ED7">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1F701C9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硫磺</w:t>
                  </w:r>
                  <w:r>
                    <w:rPr>
                      <w:rFonts w:hint="default" w:ascii="Times New Roman" w:hAnsi="Times New Roman" w:eastAsia="宋体" w:cs="Times New Roman"/>
                      <w:color w:val="auto"/>
                      <w:sz w:val="21"/>
                      <w:szCs w:val="21"/>
                      <w:lang w:val="en-US" w:eastAsia="zh-CN"/>
                    </w:rPr>
                    <w:t>粉</w:t>
                  </w:r>
                </w:p>
              </w:tc>
              <w:tc>
                <w:tcPr>
                  <w:tcW w:w="700" w:type="pct"/>
                  <w:shd w:val="clear" w:color="auto" w:fill="auto"/>
                  <w:noWrap w:val="0"/>
                  <w:vAlign w:val="center"/>
                </w:tcPr>
                <w:p w14:paraId="63F22938">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308868F3">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3.5</w:t>
                  </w:r>
                </w:p>
              </w:tc>
              <w:tc>
                <w:tcPr>
                  <w:tcW w:w="665" w:type="pct"/>
                  <w:shd w:val="clear" w:color="auto" w:fill="auto"/>
                  <w:noWrap w:val="0"/>
                  <w:vAlign w:val="center"/>
                </w:tcPr>
                <w:p w14:paraId="61DBF826">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3.5</w:t>
                  </w:r>
                </w:p>
              </w:tc>
              <w:tc>
                <w:tcPr>
                  <w:tcW w:w="499" w:type="pct"/>
                  <w:shd w:val="clear" w:color="auto" w:fill="auto"/>
                  <w:noWrap w:val="0"/>
                  <w:vAlign w:val="center"/>
                </w:tcPr>
                <w:p w14:paraId="5E84F5EA">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0.25</w:t>
                  </w:r>
                </w:p>
              </w:tc>
              <w:tc>
                <w:tcPr>
                  <w:tcW w:w="449" w:type="pct"/>
                  <w:noWrap w:val="0"/>
                  <w:vAlign w:val="center"/>
                </w:tcPr>
                <w:p w14:paraId="5310EB75">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2756CEB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417FB2AE">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774F282F">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甲苯</w:t>
                  </w:r>
                </w:p>
              </w:tc>
              <w:tc>
                <w:tcPr>
                  <w:tcW w:w="700" w:type="pct"/>
                  <w:shd w:val="clear" w:color="auto" w:fill="auto"/>
                  <w:noWrap w:val="0"/>
                  <w:vAlign w:val="center"/>
                </w:tcPr>
                <w:p w14:paraId="43D9177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0120D31B">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665" w:type="pct"/>
                  <w:shd w:val="clear" w:color="auto" w:fill="auto"/>
                  <w:noWrap w:val="0"/>
                  <w:vAlign w:val="center"/>
                </w:tcPr>
                <w:p w14:paraId="07C4C22E">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499" w:type="pct"/>
                  <w:shd w:val="clear" w:color="auto" w:fill="auto"/>
                  <w:noWrap w:val="0"/>
                  <w:vAlign w:val="center"/>
                </w:tcPr>
                <w:p w14:paraId="6958A10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0.5</w:t>
                  </w:r>
                </w:p>
              </w:tc>
              <w:tc>
                <w:tcPr>
                  <w:tcW w:w="449" w:type="pct"/>
                  <w:noWrap w:val="0"/>
                  <w:vAlign w:val="center"/>
                </w:tcPr>
                <w:p w14:paraId="7B981E1C">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r w14:paraId="291A2E7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454" w:hRule="atLeast"/>
              </w:trPr>
              <w:tc>
                <w:tcPr>
                  <w:tcW w:w="566" w:type="pct"/>
                  <w:vMerge w:val="continue"/>
                  <w:shd w:val="clear" w:color="auto" w:fill="auto"/>
                  <w:noWrap w:val="0"/>
                  <w:vAlign w:val="center"/>
                </w:tcPr>
                <w:p w14:paraId="021B0342">
                  <w:pPr>
                    <w:keepNext w:val="0"/>
                    <w:keepLines w:val="0"/>
                    <w:pageBreakBefore w:val="0"/>
                    <w:widowControl w:val="0"/>
                    <w:kinsoku/>
                    <w:wordWrap w:val="0"/>
                    <w:overflowPunct/>
                    <w:topLinePunct w:val="0"/>
                    <w:autoSpaceDE w:val="0"/>
                    <w:autoSpaceDN w:val="0"/>
                    <w:bidi w:val="0"/>
                    <w:adjustRightInd w:val="0"/>
                    <w:snapToGrid w:val="0"/>
                    <w:spacing w:line="360" w:lineRule="exact"/>
                    <w:ind w:left="0" w:left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1369" w:type="pct"/>
                  <w:noWrap w:val="0"/>
                  <w:vAlign w:val="center"/>
                </w:tcPr>
                <w:p w14:paraId="15B57988">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帆布</w:t>
                  </w:r>
                </w:p>
              </w:tc>
              <w:tc>
                <w:tcPr>
                  <w:tcW w:w="700" w:type="pct"/>
                  <w:shd w:val="clear" w:color="auto" w:fill="auto"/>
                  <w:noWrap w:val="0"/>
                  <w:vAlign w:val="center"/>
                </w:tcPr>
                <w:p w14:paraId="68FD96A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eastAsia" w:cs="Times New Roman"/>
                      <w:color w:val="auto"/>
                      <w:sz w:val="21"/>
                      <w:szCs w:val="21"/>
                      <w:lang w:val="en-US" w:eastAsia="zh-CN"/>
                    </w:rPr>
                  </w:pPr>
                  <w:r>
                    <w:rPr>
                      <w:rFonts w:hint="eastAsia" w:cs="Times New Roman"/>
                      <w:color w:val="auto"/>
                      <w:sz w:val="21"/>
                      <w:szCs w:val="21"/>
                      <w:lang w:val="en-US" w:eastAsia="zh-CN"/>
                    </w:rPr>
                    <w:t>/</w:t>
                  </w:r>
                </w:p>
              </w:tc>
              <w:tc>
                <w:tcPr>
                  <w:tcW w:w="749" w:type="pct"/>
                  <w:shd w:val="clear" w:color="auto" w:fill="auto"/>
                  <w:noWrap w:val="0"/>
                  <w:vAlign w:val="center"/>
                </w:tcPr>
                <w:p w14:paraId="399D01FD">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35</w:t>
                  </w:r>
                </w:p>
              </w:tc>
              <w:tc>
                <w:tcPr>
                  <w:tcW w:w="665" w:type="pct"/>
                  <w:shd w:val="clear" w:color="auto" w:fill="auto"/>
                  <w:noWrap w:val="0"/>
                  <w:vAlign w:val="center"/>
                </w:tcPr>
                <w:p w14:paraId="598E1B8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35</w:t>
                  </w:r>
                </w:p>
              </w:tc>
              <w:tc>
                <w:tcPr>
                  <w:tcW w:w="499" w:type="pct"/>
                  <w:shd w:val="clear" w:color="auto" w:fill="auto"/>
                  <w:noWrap w:val="0"/>
                  <w:vAlign w:val="center"/>
                </w:tcPr>
                <w:p w14:paraId="08E27DB9">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5</w:t>
                  </w:r>
                </w:p>
              </w:tc>
              <w:tc>
                <w:tcPr>
                  <w:tcW w:w="449" w:type="pct"/>
                  <w:noWrap w:val="0"/>
                  <w:vAlign w:val="center"/>
                </w:tcPr>
                <w:p w14:paraId="55708D01">
                  <w:pPr>
                    <w:keepNext w:val="0"/>
                    <w:keepLines w:val="0"/>
                    <w:pageBreakBefore w:val="0"/>
                    <w:widowControl w:val="0"/>
                    <w:kinsoku/>
                    <w:wordWrap w:val="0"/>
                    <w:overflowPunct/>
                    <w:topLinePunct w:val="0"/>
                    <w:autoSpaceDE w:val="0"/>
                    <w:autoSpaceDN w:val="0"/>
                    <w:bidi w:val="0"/>
                    <w:snapToGrid/>
                    <w:spacing w:line="360" w:lineRule="exact"/>
                    <w:ind w:left="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外购</w:t>
                  </w:r>
                </w:p>
              </w:tc>
            </w:tr>
          </w:tbl>
          <w:p w14:paraId="43B81441">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both"/>
              <w:textAlignment w:val="auto"/>
              <w:outlineLvl w:val="9"/>
              <w:rPr>
                <w:rFonts w:hint="default" w:ascii="Times New Roman" w:hAnsi="Times New Roman" w:eastAsia="宋体" w:cs="Times New Roman"/>
                <w:b w:val="0"/>
                <w:bCs w:val="0"/>
                <w:color w:val="auto"/>
                <w:sz w:val="22"/>
                <w:szCs w:val="22"/>
                <w:lang w:eastAsia="zh-CN"/>
              </w:rPr>
            </w:pPr>
            <w:r>
              <w:rPr>
                <w:rFonts w:hint="default" w:ascii="Times New Roman" w:hAnsi="Times New Roman" w:eastAsia="宋体" w:cs="Times New Roman"/>
                <w:b w:val="0"/>
                <w:bCs w:val="0"/>
                <w:color w:val="auto"/>
                <w:sz w:val="22"/>
                <w:szCs w:val="22"/>
              </w:rPr>
              <w:t>本项目主要原辅材料理化性质</w:t>
            </w:r>
            <w:r>
              <w:rPr>
                <w:rFonts w:hint="default" w:ascii="Times New Roman" w:hAnsi="Times New Roman" w:eastAsia="宋体" w:cs="Times New Roman"/>
                <w:b w:val="0"/>
                <w:bCs w:val="0"/>
                <w:color w:val="auto"/>
                <w:sz w:val="22"/>
                <w:szCs w:val="22"/>
                <w:lang w:eastAsia="zh-CN"/>
              </w:rPr>
              <w:t>见</w:t>
            </w:r>
            <w:r>
              <w:rPr>
                <w:rFonts w:hint="eastAsia" w:ascii="Times New Roman" w:hAnsi="Times New Roman" w:eastAsia="宋体" w:cs="Times New Roman"/>
                <w:b w:val="0"/>
                <w:bCs w:val="0"/>
                <w:color w:val="auto"/>
                <w:sz w:val="22"/>
                <w:szCs w:val="22"/>
                <w:lang w:eastAsia="zh-CN"/>
              </w:rPr>
              <w:t>下</w:t>
            </w:r>
            <w:r>
              <w:rPr>
                <w:rFonts w:hint="default" w:ascii="Times New Roman" w:hAnsi="Times New Roman" w:eastAsia="宋体" w:cs="Times New Roman"/>
                <w:b w:val="0"/>
                <w:bCs w:val="0"/>
                <w:color w:val="auto"/>
                <w:sz w:val="22"/>
                <w:szCs w:val="22"/>
                <w:lang w:eastAsia="zh-CN"/>
              </w:rPr>
              <w:t>表：</w:t>
            </w:r>
          </w:p>
          <w:p w14:paraId="22A7EA15">
            <w:pPr>
              <w:pStyle w:val="21"/>
              <w:keepNext w:val="0"/>
              <w:keepLines w:val="0"/>
              <w:pageBreakBefore w:val="0"/>
              <w:widowControl w:val="0"/>
              <w:kinsoku/>
              <w:wordWrap w:val="0"/>
              <w:overflowPunct/>
              <w:topLinePunct w:val="0"/>
              <w:autoSpaceDE w:val="0"/>
              <w:autoSpaceDN w:val="0"/>
              <w:bidi w:val="0"/>
              <w:adjustRightInd w:val="0"/>
              <w:snapToGrid w:val="0"/>
              <w:spacing w:line="500" w:lineRule="exact"/>
              <w:ind w:left="0" w:leftChars="0" w:firstLine="0" w:firstLineChars="0"/>
              <w:jc w:val="center"/>
              <w:textAlignment w:val="auto"/>
              <w:outlineLvl w:val="9"/>
              <w:rPr>
                <w:rFonts w:hint="default" w:ascii="Times New Roman" w:hAnsi="Times New Roman" w:eastAsia="宋体" w:cs="Times New Roman"/>
                <w:b/>
                <w:color w:val="auto"/>
                <w:w w:val="100"/>
                <w:kern w:val="0"/>
                <w:sz w:val="22"/>
                <w:szCs w:val="22"/>
                <w:lang w:val="en-US" w:eastAsia="zh-CN" w:bidi="ar-SA"/>
              </w:rPr>
            </w:pPr>
            <w:r>
              <w:rPr>
                <w:rFonts w:hint="default" w:ascii="Times New Roman" w:hAnsi="Times New Roman" w:eastAsia="宋体" w:cs="Times New Roman"/>
                <w:b/>
                <w:color w:val="auto"/>
                <w:w w:val="100"/>
                <w:kern w:val="0"/>
                <w:sz w:val="22"/>
                <w:szCs w:val="22"/>
                <w:lang w:val="en-US" w:eastAsia="zh-CN" w:bidi="ar-SA"/>
              </w:rPr>
              <w:t>表2-</w:t>
            </w:r>
            <w:r>
              <w:rPr>
                <w:rFonts w:hint="eastAsia" w:cs="Times New Roman"/>
                <w:b/>
                <w:color w:val="auto"/>
                <w:w w:val="100"/>
                <w:kern w:val="0"/>
                <w:sz w:val="22"/>
                <w:szCs w:val="22"/>
                <w:lang w:val="en-US" w:eastAsia="zh-CN" w:bidi="ar-SA"/>
              </w:rPr>
              <w:t>5</w:t>
            </w:r>
            <w:r>
              <w:rPr>
                <w:rFonts w:hint="default" w:ascii="Times New Roman" w:hAnsi="Times New Roman" w:eastAsia="宋体" w:cs="Times New Roman"/>
                <w:b/>
                <w:color w:val="auto"/>
                <w:w w:val="100"/>
                <w:kern w:val="0"/>
                <w:sz w:val="22"/>
                <w:szCs w:val="22"/>
                <w:lang w:val="en-US" w:eastAsia="zh-CN" w:bidi="ar-SA"/>
              </w:rPr>
              <w:t xml:space="preserve"> 主要原辅材料理化性质一览表</w:t>
            </w:r>
          </w:p>
          <w:tbl>
            <w:tblPr>
              <w:tblStyle w:val="44"/>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45"/>
              <w:gridCol w:w="1025"/>
              <w:gridCol w:w="4098"/>
              <w:gridCol w:w="564"/>
              <w:gridCol w:w="1888"/>
            </w:tblGrid>
            <w:tr w14:paraId="7841073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5775748F">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名称</w:t>
                  </w:r>
                </w:p>
                <w:p w14:paraId="38575732">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CAS NO.</w:t>
                  </w:r>
                </w:p>
              </w:tc>
              <w:tc>
                <w:tcPr>
                  <w:tcW w:w="568" w:type="pct"/>
                  <w:tcBorders>
                    <w:tl2br w:val="nil"/>
                    <w:tr2bl w:val="nil"/>
                  </w:tcBorders>
                  <w:tcMar>
                    <w:top w:w="0" w:type="dxa"/>
                    <w:left w:w="28" w:type="dxa"/>
                    <w:bottom w:w="0" w:type="dxa"/>
                    <w:right w:w="28" w:type="dxa"/>
                  </w:tcMar>
                  <w:vAlign w:val="center"/>
                </w:tcPr>
                <w:p w14:paraId="46E9F0E1">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分子式</w:t>
                  </w:r>
                </w:p>
                <w:p w14:paraId="7E8BF545">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b/>
                      <w:bCs/>
                      <w:color w:val="auto"/>
                      <w:sz w:val="21"/>
                      <w:szCs w:val="21"/>
                    </w:rPr>
                    <w:t>分子量</w:t>
                  </w:r>
                </w:p>
              </w:tc>
              <w:tc>
                <w:tcPr>
                  <w:tcW w:w="2280" w:type="pct"/>
                  <w:tcBorders>
                    <w:tl2br w:val="nil"/>
                    <w:tr2bl w:val="nil"/>
                  </w:tcBorders>
                  <w:tcMar>
                    <w:top w:w="0" w:type="dxa"/>
                    <w:left w:w="28" w:type="dxa"/>
                    <w:bottom w:w="0" w:type="dxa"/>
                    <w:right w:w="28" w:type="dxa"/>
                  </w:tcMar>
                  <w:vAlign w:val="center"/>
                </w:tcPr>
                <w:p w14:paraId="7A80E969">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理化性质</w:t>
                  </w:r>
                </w:p>
              </w:tc>
              <w:tc>
                <w:tcPr>
                  <w:tcW w:w="322" w:type="pct"/>
                  <w:tcBorders>
                    <w:tl2br w:val="nil"/>
                    <w:tr2bl w:val="nil"/>
                  </w:tcBorders>
                  <w:tcMar>
                    <w:top w:w="0" w:type="dxa"/>
                    <w:left w:w="28" w:type="dxa"/>
                    <w:bottom w:w="0" w:type="dxa"/>
                    <w:right w:w="28" w:type="dxa"/>
                  </w:tcMar>
                  <w:vAlign w:val="center"/>
                </w:tcPr>
                <w:p w14:paraId="02FC5D42">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燃烧爆</w:t>
                  </w:r>
                </w:p>
                <w:p w14:paraId="768848C3">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炸性</w:t>
                  </w:r>
                </w:p>
              </w:tc>
              <w:tc>
                <w:tcPr>
                  <w:tcW w:w="1028" w:type="pct"/>
                  <w:tcBorders>
                    <w:tl2br w:val="nil"/>
                    <w:tr2bl w:val="nil"/>
                  </w:tcBorders>
                  <w:tcMar>
                    <w:top w:w="0" w:type="dxa"/>
                    <w:left w:w="28" w:type="dxa"/>
                    <w:bottom w:w="0" w:type="dxa"/>
                    <w:right w:w="28" w:type="dxa"/>
                  </w:tcMar>
                  <w:vAlign w:val="center"/>
                </w:tcPr>
                <w:p w14:paraId="7A097BE5">
                  <w:pPr>
                    <w:keepNext w:val="0"/>
                    <w:keepLines w:val="0"/>
                    <w:pageBreakBefore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毒理毒性</w:t>
                  </w:r>
                </w:p>
              </w:tc>
            </w:tr>
            <w:tr w14:paraId="5D4E54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3F2447C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乙醇</w:t>
                  </w:r>
                </w:p>
                <w:p w14:paraId="61476F4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64-17-5</w:t>
                  </w:r>
                </w:p>
              </w:tc>
              <w:tc>
                <w:tcPr>
                  <w:tcW w:w="568" w:type="pct"/>
                  <w:tcBorders>
                    <w:tl2br w:val="nil"/>
                    <w:tr2bl w:val="nil"/>
                  </w:tcBorders>
                  <w:tcMar>
                    <w:top w:w="0" w:type="dxa"/>
                    <w:left w:w="28" w:type="dxa"/>
                    <w:bottom w:w="0" w:type="dxa"/>
                    <w:right w:w="28" w:type="dxa"/>
                  </w:tcMar>
                  <w:vAlign w:val="center"/>
                </w:tcPr>
                <w:p w14:paraId="2E27467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w:t>
                  </w:r>
                  <w:r>
                    <w:rPr>
                      <w:rFonts w:hint="default" w:ascii="Times New Roman" w:hAnsi="Times New Roman" w:eastAsia="宋体" w:cs="Times New Roman"/>
                      <w:color w:val="auto"/>
                      <w:sz w:val="21"/>
                      <w:szCs w:val="21"/>
                      <w:vertAlign w:val="subscript"/>
                    </w:rPr>
                    <w:t>2</w:t>
                  </w:r>
                  <w:r>
                    <w:rPr>
                      <w:rFonts w:hint="default" w:ascii="Times New Roman" w:hAnsi="Times New Roman" w:eastAsia="宋体" w:cs="Times New Roman"/>
                      <w:color w:val="auto"/>
                      <w:sz w:val="21"/>
                      <w:szCs w:val="21"/>
                    </w:rPr>
                    <w:t>H</w:t>
                  </w:r>
                  <w:r>
                    <w:rPr>
                      <w:rFonts w:hint="default" w:ascii="Times New Roman" w:hAnsi="Times New Roman" w:eastAsia="宋体" w:cs="Times New Roman"/>
                      <w:color w:val="auto"/>
                      <w:sz w:val="21"/>
                      <w:szCs w:val="21"/>
                      <w:vertAlign w:val="subscript"/>
                    </w:rPr>
                    <w:t>6</w:t>
                  </w:r>
                  <w:r>
                    <w:rPr>
                      <w:rFonts w:hint="default" w:ascii="Times New Roman" w:hAnsi="Times New Roman" w:eastAsia="宋体" w:cs="Times New Roman"/>
                      <w:color w:val="auto"/>
                      <w:sz w:val="21"/>
                      <w:szCs w:val="21"/>
                    </w:rPr>
                    <w:t>O</w:t>
                  </w:r>
                </w:p>
                <w:p w14:paraId="1E38C2C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46.07</w:t>
                  </w:r>
                </w:p>
              </w:tc>
              <w:tc>
                <w:tcPr>
                  <w:tcW w:w="2280" w:type="pct"/>
                  <w:tcBorders>
                    <w:tl2br w:val="nil"/>
                    <w:tr2bl w:val="nil"/>
                  </w:tcBorders>
                  <w:tcMar>
                    <w:top w:w="0" w:type="dxa"/>
                    <w:left w:w="28" w:type="dxa"/>
                    <w:bottom w:w="0" w:type="dxa"/>
                    <w:right w:w="28" w:type="dxa"/>
                  </w:tcMar>
                  <w:vAlign w:val="center"/>
                </w:tcPr>
                <w:p w14:paraId="574415A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无色液体，有酒香。相对密度（水）0.79，熔点-114.1℃，沸点78.3℃，燃烧热1365.5kJ/</w:t>
                  </w:r>
                  <w:r>
                    <w:rPr>
                      <w:rFonts w:hint="eastAsia" w:cs="Times New Roman"/>
                      <w:color w:val="auto"/>
                      <w:sz w:val="21"/>
                      <w:szCs w:val="21"/>
                      <w:lang w:val="en-US" w:eastAsia="zh-CN"/>
                    </w:rPr>
                    <w:t xml:space="preserve"> </w:t>
                  </w:r>
                  <w:r>
                    <w:rPr>
                      <w:rFonts w:hint="default" w:ascii="Times New Roman" w:hAnsi="Times New Roman" w:eastAsia="宋体" w:cs="Times New Roman"/>
                      <w:color w:val="auto"/>
                      <w:sz w:val="21"/>
                      <w:szCs w:val="21"/>
                    </w:rPr>
                    <w:t>mol</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临界温度243.1℃，与水混溶，可混溶于醚、氯仿、甘油等多数有机溶剂。</w:t>
                  </w:r>
                </w:p>
              </w:tc>
              <w:tc>
                <w:tcPr>
                  <w:tcW w:w="322" w:type="pct"/>
                  <w:tcBorders>
                    <w:tl2br w:val="nil"/>
                    <w:tr2bl w:val="nil"/>
                  </w:tcBorders>
                  <w:tcMar>
                    <w:top w:w="0" w:type="dxa"/>
                    <w:left w:w="28" w:type="dxa"/>
                    <w:bottom w:w="0" w:type="dxa"/>
                    <w:right w:w="28" w:type="dxa"/>
                  </w:tcMar>
                  <w:vAlign w:val="center"/>
                </w:tcPr>
                <w:p w14:paraId="631DA77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50B22B1D">
                  <w:pPr>
                    <w:keepNext w:val="0"/>
                    <w:keepLines w:val="0"/>
                    <w:pageBreakBefore w:val="0"/>
                    <w:widowControl w:val="0"/>
                    <w:kinsoku/>
                    <w:wordWrap w:val="0"/>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急性毒性（</w:t>
                  </w:r>
                  <w:r>
                    <w:rPr>
                      <w:rFonts w:hint="default" w:ascii="Times New Roman" w:hAnsi="Times New Roman" w:eastAsia="宋体" w:cs="Times New Roman"/>
                      <w:color w:val="auto"/>
                      <w:w w:val="80"/>
                      <w:sz w:val="21"/>
                      <w:szCs w:val="21"/>
                    </w:rPr>
                    <w:t>LD</w:t>
                  </w:r>
                  <w:r>
                    <w:rPr>
                      <w:rFonts w:hint="default" w:ascii="Times New Roman" w:hAnsi="Times New Roman" w:eastAsia="宋体" w:cs="Times New Roman"/>
                      <w:color w:val="auto"/>
                      <w:w w:val="80"/>
                      <w:sz w:val="21"/>
                      <w:szCs w:val="21"/>
                      <w:vertAlign w:val="subscript"/>
                    </w:rPr>
                    <w:t>50</w:t>
                  </w:r>
                  <w:r>
                    <w:rPr>
                      <w:rFonts w:hint="default" w:ascii="Times New Roman" w:hAnsi="Times New Roman" w:eastAsia="宋体" w:cs="Times New Roman"/>
                      <w:color w:val="auto"/>
                      <w:sz w:val="21"/>
                      <w:szCs w:val="21"/>
                    </w:rPr>
                    <w:t>）7060mg/kg</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大鼠经口</w:t>
                  </w:r>
                  <w:r>
                    <w:rPr>
                      <w:rFonts w:hint="eastAsia" w:cs="Times New Roman"/>
                      <w:color w:val="auto"/>
                      <w:sz w:val="21"/>
                      <w:szCs w:val="21"/>
                      <w:lang w:eastAsia="zh-CN"/>
                    </w:rPr>
                    <w:t>）</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7430mg/kg</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大鼠经皮</w:t>
                  </w:r>
                  <w:r>
                    <w:rPr>
                      <w:rFonts w:hint="eastAsia" w:cs="Times New Roman"/>
                      <w:color w:val="auto"/>
                      <w:sz w:val="21"/>
                      <w:szCs w:val="21"/>
                      <w:lang w:eastAsia="zh-CN"/>
                    </w:rPr>
                    <w:t>）</w:t>
                  </w:r>
                </w:p>
              </w:tc>
            </w:tr>
            <w:tr w14:paraId="4899FB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26A430C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cs="Times New Roman"/>
                      <w:color w:val="auto"/>
                      <w:sz w:val="21"/>
                      <w:szCs w:val="21"/>
                      <w:lang w:eastAsia="zh-CN"/>
                    </w:rPr>
                  </w:pPr>
                  <w:r>
                    <w:rPr>
                      <w:rFonts w:hint="eastAsia" w:cs="Times New Roman"/>
                      <w:color w:val="auto"/>
                      <w:sz w:val="21"/>
                      <w:szCs w:val="21"/>
                      <w:lang w:eastAsia="zh-CN"/>
                    </w:rPr>
                    <w:t>甲苯</w:t>
                  </w:r>
                </w:p>
                <w:p w14:paraId="72B87784">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color w:val="auto"/>
                      <w:lang w:val="en-US" w:eastAsia="zh-CN"/>
                    </w:rPr>
                  </w:pPr>
                  <w:r>
                    <w:rPr>
                      <w:rFonts w:hint="eastAsia" w:ascii="Times New Roman" w:hAnsi="Times New Roman" w:eastAsia="宋体" w:cs="Times New Roman"/>
                      <w:color w:val="auto"/>
                      <w:sz w:val="21"/>
                      <w:szCs w:val="21"/>
                      <w:lang w:val="en-US" w:eastAsia="zh-CN"/>
                    </w:rPr>
                    <w:t>108-88-3</w:t>
                  </w:r>
                </w:p>
              </w:tc>
              <w:tc>
                <w:tcPr>
                  <w:tcW w:w="568" w:type="pct"/>
                  <w:tcBorders>
                    <w:tl2br w:val="nil"/>
                    <w:tr2bl w:val="nil"/>
                  </w:tcBorders>
                  <w:tcMar>
                    <w:top w:w="0" w:type="dxa"/>
                    <w:left w:w="28" w:type="dxa"/>
                    <w:bottom w:w="0" w:type="dxa"/>
                    <w:right w:w="28" w:type="dxa"/>
                  </w:tcMar>
                  <w:vAlign w:val="center"/>
                </w:tcPr>
                <w:p w14:paraId="7EAF49C8">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C</w:t>
                  </w:r>
                  <w:r>
                    <w:rPr>
                      <w:rFonts w:hint="eastAsia" w:cs="Times New Roman"/>
                      <w:color w:val="auto"/>
                      <w:sz w:val="21"/>
                      <w:szCs w:val="21"/>
                      <w:vertAlign w:val="subscript"/>
                      <w:lang w:val="en-US" w:eastAsia="zh-CN"/>
                    </w:rPr>
                    <w:t>7</w:t>
                  </w:r>
                  <w:r>
                    <w:rPr>
                      <w:rFonts w:hint="default" w:ascii="Times New Roman" w:hAnsi="Times New Roman" w:eastAsia="宋体" w:cs="Times New Roman"/>
                      <w:color w:val="auto"/>
                      <w:sz w:val="21"/>
                      <w:szCs w:val="21"/>
                    </w:rPr>
                    <w:t>H</w:t>
                  </w:r>
                  <w:r>
                    <w:rPr>
                      <w:rFonts w:hint="eastAsia" w:cs="Times New Roman"/>
                      <w:color w:val="auto"/>
                      <w:sz w:val="21"/>
                      <w:szCs w:val="21"/>
                      <w:vertAlign w:val="subscript"/>
                      <w:lang w:val="en-US" w:eastAsia="zh-CN"/>
                    </w:rPr>
                    <w:t>8</w:t>
                  </w:r>
                </w:p>
                <w:p w14:paraId="557BE6D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92.14</w:t>
                  </w:r>
                </w:p>
              </w:tc>
              <w:tc>
                <w:tcPr>
                  <w:tcW w:w="2280" w:type="pct"/>
                  <w:tcBorders>
                    <w:tl2br w:val="nil"/>
                    <w:tr2bl w:val="nil"/>
                  </w:tcBorders>
                  <w:tcMar>
                    <w:top w:w="0" w:type="dxa"/>
                    <w:left w:w="28" w:type="dxa"/>
                    <w:bottom w:w="0" w:type="dxa"/>
                    <w:right w:w="28" w:type="dxa"/>
                  </w:tcMar>
                  <w:vAlign w:val="center"/>
                </w:tcPr>
                <w:p w14:paraId="7786B5B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是一种无色、带特殊芳香味的易挥发液体，属芳香族</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"https://baike.baidu.com/item/%E7%A2%B3%E6%B0%A2%E5%8C%96%E5%90%88%E7%89%A9/256902?fromModule=lemma_inlink"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碳氢化合物</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。有强折光性。能与乙醇、</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"https://baike.baidu.com/item/%E4%B9%99%E9%86%9A/316922?fromModule=lemma_inlink"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乙醚</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"https://baike.baidu.com/item/%E4%B8%99%E9%85%AE/955883?fromModule=lemma_inlink"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丙酮</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"https://baike.baidu.com/item/%E6%B0%AF%E4%BB%BF/521847?fromModule=lemma_inlink"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氯仿</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"https://baike.baidu.com/item/%E4%BA%8C%E7%A1%AB%E5%8C%96%E7%A2%B3/6032457?fromModule=lemma_inlink"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二硫化碳</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和</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"https://baike.baidu.com/item/%E5%86%B0%E4%B9%99%E9%85%B8/650983?fromModule=lemma_inlink" \t "https://baike.baidu.com/item/%E7%94%B2%E8%8B%AF/_blank"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冰乙酸</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混溶，不溶于水。易燃，蒸气能与空气形成爆炸性混合物，混合物的体积浓度在较低范围时即可发生爆炸。高浓度气体有麻醉性，有刺激性。</w:t>
                  </w:r>
                </w:p>
              </w:tc>
              <w:tc>
                <w:tcPr>
                  <w:tcW w:w="322" w:type="pct"/>
                  <w:tcBorders>
                    <w:tl2br w:val="nil"/>
                    <w:tr2bl w:val="nil"/>
                  </w:tcBorders>
                  <w:tcMar>
                    <w:top w:w="0" w:type="dxa"/>
                    <w:left w:w="28" w:type="dxa"/>
                    <w:bottom w:w="0" w:type="dxa"/>
                    <w:right w:w="28" w:type="dxa"/>
                  </w:tcMar>
                  <w:vAlign w:val="center"/>
                </w:tcPr>
                <w:p w14:paraId="1A25446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5667208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低毒，半数致死量（大鼠，经口）5000mg/kg。</w:t>
                  </w:r>
                </w:p>
              </w:tc>
            </w:tr>
            <w:tr w14:paraId="469461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7AE9094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二甲苯</w:t>
                  </w:r>
                </w:p>
                <w:p w14:paraId="3C3118D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108-38-3</w:t>
                  </w:r>
                </w:p>
              </w:tc>
              <w:tc>
                <w:tcPr>
                  <w:tcW w:w="568" w:type="pct"/>
                  <w:tcBorders>
                    <w:tl2br w:val="nil"/>
                    <w:tr2bl w:val="nil"/>
                  </w:tcBorders>
                  <w:tcMar>
                    <w:top w:w="0" w:type="dxa"/>
                    <w:left w:w="28" w:type="dxa"/>
                    <w:bottom w:w="0" w:type="dxa"/>
                    <w:right w:w="28" w:type="dxa"/>
                  </w:tcMar>
                  <w:vAlign w:val="center"/>
                </w:tcPr>
                <w:p w14:paraId="6E5B482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w:t>
                  </w:r>
                  <w:r>
                    <w:rPr>
                      <w:rFonts w:hint="default" w:ascii="Times New Roman" w:hAnsi="Times New Roman" w:eastAsia="宋体" w:cs="Times New Roman"/>
                      <w:color w:val="auto"/>
                      <w:sz w:val="21"/>
                      <w:szCs w:val="21"/>
                      <w:vertAlign w:val="subscript"/>
                    </w:rPr>
                    <w:t>8</w:t>
                  </w:r>
                  <w:r>
                    <w:rPr>
                      <w:rFonts w:hint="default" w:ascii="Times New Roman" w:hAnsi="Times New Roman" w:eastAsia="宋体" w:cs="Times New Roman"/>
                      <w:color w:val="auto"/>
                      <w:sz w:val="21"/>
                      <w:szCs w:val="21"/>
                    </w:rPr>
                    <w:t>H</w:t>
                  </w:r>
                  <w:r>
                    <w:rPr>
                      <w:rFonts w:hint="default" w:ascii="Times New Roman" w:hAnsi="Times New Roman" w:eastAsia="宋体" w:cs="Times New Roman"/>
                      <w:color w:val="auto"/>
                      <w:sz w:val="21"/>
                      <w:szCs w:val="21"/>
                      <w:vertAlign w:val="subscript"/>
                    </w:rPr>
                    <w:t>10</w:t>
                  </w:r>
                </w:p>
                <w:p w14:paraId="2007AFE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106.17</w:t>
                  </w:r>
                </w:p>
              </w:tc>
              <w:tc>
                <w:tcPr>
                  <w:tcW w:w="2280" w:type="pct"/>
                  <w:tcBorders>
                    <w:tl2br w:val="nil"/>
                    <w:tr2bl w:val="nil"/>
                  </w:tcBorders>
                  <w:tcMar>
                    <w:top w:w="0" w:type="dxa"/>
                    <w:left w:w="28" w:type="dxa"/>
                    <w:bottom w:w="0" w:type="dxa"/>
                    <w:right w:w="28" w:type="dxa"/>
                  </w:tcMar>
                  <w:vAlign w:val="center"/>
                </w:tcPr>
                <w:p w14:paraId="725AC56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无色透明液体。有</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HYPERLINK "https://baike.baidu.com/item/%E8%8A%B3%E9%A6%99%E7%83%83" \t "https://baike.baidu.com/item/%E4%BA%8C%E7%94%B2%E8%8B%AF/_blank"</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芳香烃</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的特殊气味。二甲苯具刺激性气味、易燃，与</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HYPERLINK "https://baike.baidu.com/item/%E4%B9%99%E9%86%87" \t "https://baike.baidu.com/item/%E4%BA%8C%E7%94%B2%E8%8B%AF/_blank"</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乙醇</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HYPERLINK "https://baike.baidu.com/item/%E6%B0%AF%E4%BB%BF" \t "https://baike.baidu.com/item/%E4%BA%8C%E7%94%B2%E8%8B%AF/_blank"</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氯仿</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或</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HYPERLINK "https://baike.baidu.com/item/%E4%B9%99%E9%86%9A" \t "https://baike.baidu.com/item/%E4%BA%8C%E7%94%B2%E8%8B%AF/_blank"</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乙醚</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t>能任意混合，在水中不溶。沸点为137～140℃。</w:t>
                  </w:r>
                </w:p>
              </w:tc>
              <w:tc>
                <w:tcPr>
                  <w:tcW w:w="322" w:type="pct"/>
                  <w:tcBorders>
                    <w:tl2br w:val="nil"/>
                    <w:tr2bl w:val="nil"/>
                  </w:tcBorders>
                  <w:tcMar>
                    <w:top w:w="0" w:type="dxa"/>
                    <w:left w:w="28" w:type="dxa"/>
                    <w:bottom w:w="0" w:type="dxa"/>
                    <w:right w:w="28" w:type="dxa"/>
                  </w:tcMar>
                  <w:vAlign w:val="center"/>
                </w:tcPr>
                <w:p w14:paraId="71B1F07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779A245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23FC20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6FC0910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醋酸乙酯</w:t>
                  </w:r>
                </w:p>
                <w:p w14:paraId="2672EDE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141-78-6</w:t>
                  </w:r>
                </w:p>
              </w:tc>
              <w:tc>
                <w:tcPr>
                  <w:tcW w:w="568" w:type="pct"/>
                  <w:tcBorders>
                    <w:tl2br w:val="nil"/>
                    <w:tr2bl w:val="nil"/>
                  </w:tcBorders>
                  <w:tcMar>
                    <w:top w:w="0" w:type="dxa"/>
                    <w:left w:w="28" w:type="dxa"/>
                    <w:bottom w:w="0" w:type="dxa"/>
                    <w:right w:w="28" w:type="dxa"/>
                  </w:tcMar>
                  <w:vAlign w:val="center"/>
                </w:tcPr>
                <w:p w14:paraId="0DCFE67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w:t>
                  </w:r>
                  <w:r>
                    <w:rPr>
                      <w:rFonts w:hint="default" w:ascii="Times New Roman" w:hAnsi="Times New Roman" w:eastAsia="宋体" w:cs="Times New Roman"/>
                      <w:color w:val="auto"/>
                      <w:sz w:val="21"/>
                      <w:szCs w:val="21"/>
                      <w:vertAlign w:val="subscript"/>
                    </w:rPr>
                    <w:t>4</w:t>
                  </w:r>
                  <w:r>
                    <w:rPr>
                      <w:rFonts w:hint="default" w:ascii="Times New Roman" w:hAnsi="Times New Roman" w:eastAsia="宋体" w:cs="Times New Roman"/>
                      <w:color w:val="auto"/>
                      <w:sz w:val="21"/>
                      <w:szCs w:val="21"/>
                    </w:rPr>
                    <w:t>H</w:t>
                  </w:r>
                  <w:r>
                    <w:rPr>
                      <w:rFonts w:hint="default" w:ascii="Times New Roman" w:hAnsi="Times New Roman" w:eastAsia="宋体" w:cs="Times New Roman"/>
                      <w:color w:val="auto"/>
                      <w:sz w:val="21"/>
                      <w:szCs w:val="21"/>
                      <w:vertAlign w:val="subscript"/>
                    </w:rPr>
                    <w:t>8</w:t>
                  </w: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2</w:t>
                  </w:r>
                </w:p>
                <w:p w14:paraId="58DD77D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88.11</w:t>
                  </w:r>
                </w:p>
              </w:tc>
              <w:tc>
                <w:tcPr>
                  <w:tcW w:w="2280" w:type="pct"/>
                  <w:tcBorders>
                    <w:tl2br w:val="nil"/>
                    <w:tr2bl w:val="nil"/>
                  </w:tcBorders>
                  <w:tcMar>
                    <w:top w:w="0" w:type="dxa"/>
                    <w:left w:w="28" w:type="dxa"/>
                    <w:bottom w:w="0" w:type="dxa"/>
                    <w:right w:w="28" w:type="dxa"/>
                  </w:tcMar>
                  <w:vAlign w:val="center"/>
                </w:tcPr>
                <w:p w14:paraId="5D02A844">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无色液体，熔点-83.6℃</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沸点77°C（350.25K）</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水溶性8.3g/100mL（20°C）</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密度0.902g/mL</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临界点250.1°C</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523.26K</w:t>
                  </w:r>
                  <w:r>
                    <w:rPr>
                      <w:rFonts w:hint="eastAsia" w:cs="Times New Roman"/>
                      <w:color w:val="auto"/>
                      <w:sz w:val="21"/>
                      <w:szCs w:val="21"/>
                      <w:lang w:eastAsia="zh-CN"/>
                    </w:rPr>
                    <w:t>）</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闪点-4℃</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能发生醇解、氨解、酯交换、还原等一般酯的共同反应。</w:t>
                  </w:r>
                </w:p>
              </w:tc>
              <w:tc>
                <w:tcPr>
                  <w:tcW w:w="322" w:type="pct"/>
                  <w:tcBorders>
                    <w:tl2br w:val="nil"/>
                    <w:tr2bl w:val="nil"/>
                  </w:tcBorders>
                  <w:tcMar>
                    <w:top w:w="0" w:type="dxa"/>
                    <w:left w:w="28" w:type="dxa"/>
                    <w:bottom w:w="0" w:type="dxa"/>
                    <w:right w:w="28" w:type="dxa"/>
                  </w:tcMar>
                  <w:vAlign w:val="center"/>
                </w:tcPr>
                <w:p w14:paraId="6F6AF4E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47C2F46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0E51CA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tcMar>
                    <w:top w:w="0" w:type="dxa"/>
                    <w:left w:w="28" w:type="dxa"/>
                    <w:bottom w:w="0" w:type="dxa"/>
                    <w:right w:w="28" w:type="dxa"/>
                  </w:tcMar>
                  <w:vAlign w:val="center"/>
                </w:tcPr>
                <w:p w14:paraId="65BAE45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氯醇橡胶（ECOT3106）</w:t>
                  </w:r>
                </w:p>
              </w:tc>
              <w:tc>
                <w:tcPr>
                  <w:tcW w:w="568" w:type="pct"/>
                  <w:tcBorders>
                    <w:tl2br w:val="nil"/>
                    <w:tr2bl w:val="nil"/>
                  </w:tcBorders>
                  <w:tcMar>
                    <w:top w:w="0" w:type="dxa"/>
                    <w:left w:w="28" w:type="dxa"/>
                    <w:bottom w:w="0" w:type="dxa"/>
                    <w:right w:w="28" w:type="dxa"/>
                  </w:tcMar>
                  <w:vAlign w:val="center"/>
                </w:tcPr>
                <w:p w14:paraId="5A0E0552">
                  <w:pPr>
                    <w:keepNext w:val="0"/>
                    <w:keepLines w:val="0"/>
                    <w:pageBreakBefore w:val="0"/>
                    <w:kinsoku/>
                    <w:overflowPunct/>
                    <w:topLinePunct w:val="0"/>
                    <w:bidi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p>
                <w:p w14:paraId="6B53609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eastAsia="zh-CN"/>
                    </w:rPr>
                  </w:pPr>
                  <w:r>
                    <w:rPr>
                      <w:rFonts w:hint="eastAsia" w:cs="Times New Roman"/>
                      <w:color w:val="auto"/>
                      <w:sz w:val="21"/>
                      <w:szCs w:val="21"/>
                      <w:shd w:val="clear" w:color="auto" w:fill="FFFFFF"/>
                      <w:lang w:val="en-US" w:eastAsia="zh-CN"/>
                    </w:rPr>
                    <w:t>/</w:t>
                  </w:r>
                </w:p>
              </w:tc>
              <w:tc>
                <w:tcPr>
                  <w:tcW w:w="2280" w:type="pct"/>
                  <w:tcBorders>
                    <w:tl2br w:val="nil"/>
                    <w:tr2bl w:val="nil"/>
                  </w:tcBorders>
                  <w:tcMar>
                    <w:top w:w="0" w:type="dxa"/>
                    <w:left w:w="28" w:type="dxa"/>
                    <w:bottom w:w="0" w:type="dxa"/>
                    <w:right w:w="28" w:type="dxa"/>
                  </w:tcMar>
                  <w:vAlign w:val="center"/>
                </w:tcPr>
                <w:p w14:paraId="76A94C5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Style w:val="84"/>
                      <w:rFonts w:hint="default" w:ascii="Times New Roman" w:hAnsi="Times New Roman" w:eastAsia="宋体" w:cs="Times New Roman"/>
                      <w:color w:val="auto"/>
                      <w:sz w:val="21"/>
                      <w:szCs w:val="21"/>
                    </w:rPr>
                    <w:t>呈白色或略带微黄色的弹性体</w:t>
                  </w:r>
                  <w:r>
                    <w:rPr>
                      <w:rStyle w:val="84"/>
                      <w:rFonts w:hint="default" w:ascii="Times New Roman" w:hAnsi="Times New Roman" w:eastAsia="宋体" w:cs="Times New Roman"/>
                      <w:color w:val="auto"/>
                      <w:sz w:val="21"/>
                      <w:szCs w:val="21"/>
                      <w:u w:val="none"/>
                    </w:rPr>
                    <w:t>。易溶于</w:t>
                  </w:r>
                  <w:r>
                    <w:rPr>
                      <w:rStyle w:val="84"/>
                      <w:rFonts w:hint="default" w:ascii="Times New Roman" w:hAnsi="Times New Roman" w:eastAsia="宋体" w:cs="Times New Roman"/>
                      <w:color w:val="auto"/>
                      <w:sz w:val="21"/>
                      <w:szCs w:val="21"/>
                      <w:u w:val="none"/>
                    </w:rPr>
                    <w:fldChar w:fldCharType="begin"/>
                  </w:r>
                  <w:r>
                    <w:rPr>
                      <w:rStyle w:val="84"/>
                      <w:rFonts w:hint="default" w:ascii="Times New Roman" w:hAnsi="Times New Roman" w:eastAsia="宋体" w:cs="Times New Roman"/>
                      <w:color w:val="auto"/>
                      <w:sz w:val="21"/>
                      <w:szCs w:val="21"/>
                      <w:u w:val="none"/>
                    </w:rPr>
                    <w:instrText xml:space="preserve">HYPERLINK "https://baike.baidu.com/item/%E5%9B%9B%E6%B0%A2%E5%91%8B%E5%96%83/1137316?fromModule=lemma_inlink" \t "_blank"</w:instrText>
                  </w:r>
                  <w:r>
                    <w:rPr>
                      <w:rStyle w:val="84"/>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四氢呋喃</w:t>
                  </w:r>
                  <w:r>
                    <w:rPr>
                      <w:rStyle w:val="84"/>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、三</w:t>
                  </w:r>
                  <w:r>
                    <w:rPr>
                      <w:rStyle w:val="84"/>
                      <w:rFonts w:hint="eastAsia" w:ascii="Times New Roman" w:hAnsi="Times New Roman" w:eastAsia="宋体" w:cs="Times New Roman"/>
                      <w:color w:val="auto"/>
                      <w:sz w:val="21"/>
                      <w:szCs w:val="21"/>
                      <w:u w:val="none"/>
                      <w:lang w:eastAsia="zh-CN"/>
                    </w:rPr>
                    <w:t>氯</w:t>
                  </w:r>
                  <w:r>
                    <w:rPr>
                      <w:rStyle w:val="84"/>
                      <w:rFonts w:hint="default" w:ascii="Times New Roman" w:hAnsi="Times New Roman" w:eastAsia="宋体" w:cs="Times New Roman"/>
                      <w:color w:val="auto"/>
                      <w:sz w:val="21"/>
                      <w:szCs w:val="21"/>
                      <w:u w:val="none"/>
                    </w:rPr>
                    <w:t>甲烷、环已酮，能</w:t>
                  </w:r>
                  <w:r>
                    <w:rPr>
                      <w:rStyle w:val="84"/>
                      <w:rFonts w:hint="eastAsia" w:ascii="Times New Roman" w:hAnsi="Times New Roman" w:eastAsia="宋体" w:cs="Times New Roman"/>
                      <w:color w:val="auto"/>
                      <w:sz w:val="21"/>
                      <w:szCs w:val="21"/>
                      <w:u w:val="none"/>
                      <w:lang w:eastAsia="zh-CN"/>
                    </w:rPr>
                    <w:t>溶</w:t>
                  </w:r>
                  <w:r>
                    <w:rPr>
                      <w:rStyle w:val="84"/>
                      <w:rFonts w:hint="default" w:ascii="Times New Roman" w:hAnsi="Times New Roman" w:eastAsia="宋体" w:cs="Times New Roman"/>
                      <w:color w:val="auto"/>
                      <w:sz w:val="21"/>
                      <w:szCs w:val="21"/>
                      <w:u w:val="none"/>
                    </w:rPr>
                    <w:t>于苯、甲苯、丙酮，难溶于甲醇、乙醇、乙醚。耐油、耐油剂、耐酸碱、耐臭氧、耐燃、耐大气老化性良好。均聚胶具有透气性小，耐热</w:t>
                  </w:r>
                  <w:r>
                    <w:rPr>
                      <w:rStyle w:val="84"/>
                      <w:rFonts w:hint="eastAsia" w:cs="Times New Roman"/>
                      <w:color w:val="auto"/>
                      <w:sz w:val="21"/>
                      <w:szCs w:val="21"/>
                      <w:u w:val="none"/>
                      <w:lang w:eastAsia="zh-CN"/>
                    </w:rPr>
                    <w:t>（</w:t>
                  </w:r>
                  <w:r>
                    <w:rPr>
                      <w:rStyle w:val="84"/>
                      <w:rFonts w:hint="default" w:ascii="Times New Roman" w:hAnsi="Times New Roman" w:eastAsia="宋体" w:cs="Times New Roman"/>
                      <w:color w:val="auto"/>
                      <w:sz w:val="21"/>
                      <w:szCs w:val="21"/>
                      <w:u w:val="none"/>
                    </w:rPr>
                    <w:t>150℃</w:t>
                  </w:r>
                  <w:r>
                    <w:rPr>
                      <w:rStyle w:val="84"/>
                      <w:rFonts w:hint="eastAsia" w:cs="Times New Roman"/>
                      <w:color w:val="auto"/>
                      <w:sz w:val="21"/>
                      <w:szCs w:val="21"/>
                      <w:u w:val="none"/>
                      <w:lang w:eastAsia="zh-CN"/>
                    </w:rPr>
                    <w:t>）</w:t>
                  </w:r>
                  <w:r>
                    <w:rPr>
                      <w:rStyle w:val="84"/>
                      <w:rFonts w:hint="default" w:ascii="Times New Roman" w:hAnsi="Times New Roman" w:eastAsia="宋体" w:cs="Times New Roman"/>
                      <w:color w:val="auto"/>
                      <w:sz w:val="21"/>
                      <w:szCs w:val="21"/>
                      <w:u w:val="none"/>
                    </w:rPr>
                    <w:t>及粘着性好等优点，共聚胶则弹性好，低温性能好</w:t>
                  </w:r>
                  <w:r>
                    <w:rPr>
                      <w:rStyle w:val="84"/>
                      <w:rFonts w:hint="eastAsia" w:cs="Times New Roman"/>
                      <w:color w:val="auto"/>
                      <w:sz w:val="21"/>
                      <w:szCs w:val="21"/>
                      <w:u w:val="none"/>
                      <w:lang w:eastAsia="zh-CN"/>
                    </w:rPr>
                    <w:t>（</w:t>
                  </w:r>
                  <w:r>
                    <w:rPr>
                      <w:rStyle w:val="84"/>
                      <w:rFonts w:hint="default" w:ascii="Times New Roman" w:hAnsi="Times New Roman" w:eastAsia="宋体" w:cs="Times New Roman"/>
                      <w:color w:val="auto"/>
                      <w:sz w:val="21"/>
                      <w:szCs w:val="21"/>
                      <w:u w:val="none"/>
                    </w:rPr>
                    <w:t>使用温度范围为-40℃-135℃</w:t>
                  </w:r>
                  <w:r>
                    <w:rPr>
                      <w:rStyle w:val="84"/>
                      <w:rFonts w:hint="eastAsia" w:cs="Times New Roman"/>
                      <w:color w:val="auto"/>
                      <w:sz w:val="21"/>
                      <w:szCs w:val="21"/>
                      <w:u w:val="none"/>
                      <w:lang w:eastAsia="zh-CN"/>
                    </w:rPr>
                    <w:t>）</w:t>
                  </w:r>
                  <w:r>
                    <w:rPr>
                      <w:rStyle w:val="84"/>
                      <w:rFonts w:hint="default" w:ascii="Times New Roman" w:hAnsi="Times New Roman" w:eastAsia="宋体" w:cs="Times New Roman"/>
                      <w:color w:val="auto"/>
                      <w:sz w:val="21"/>
                      <w:szCs w:val="21"/>
                      <w:u w:val="none"/>
                    </w:rPr>
                    <w:t>。</w:t>
                  </w:r>
                </w:p>
              </w:tc>
              <w:tc>
                <w:tcPr>
                  <w:tcW w:w="322" w:type="pct"/>
                  <w:tcBorders>
                    <w:tl2br w:val="nil"/>
                    <w:tr2bl w:val="nil"/>
                  </w:tcBorders>
                  <w:tcMar>
                    <w:top w:w="0" w:type="dxa"/>
                    <w:left w:w="28" w:type="dxa"/>
                    <w:bottom w:w="0" w:type="dxa"/>
                    <w:right w:w="28" w:type="dxa"/>
                  </w:tcMar>
                  <w:vAlign w:val="center"/>
                </w:tcPr>
                <w:p w14:paraId="12860AA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难燃</w:t>
                  </w:r>
                </w:p>
              </w:tc>
              <w:tc>
                <w:tcPr>
                  <w:tcW w:w="1028" w:type="pct"/>
                  <w:tcBorders>
                    <w:tl2br w:val="nil"/>
                    <w:tr2bl w:val="nil"/>
                  </w:tcBorders>
                  <w:tcMar>
                    <w:top w:w="0" w:type="dxa"/>
                    <w:left w:w="28" w:type="dxa"/>
                    <w:bottom w:w="0" w:type="dxa"/>
                    <w:right w:w="28" w:type="dxa"/>
                  </w:tcMar>
                  <w:vAlign w:val="center"/>
                </w:tcPr>
                <w:p w14:paraId="174EE4A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4040BF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19C2DB9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丁腈橡胶（1052）</w:t>
                  </w:r>
                </w:p>
              </w:tc>
              <w:tc>
                <w:tcPr>
                  <w:tcW w:w="568" w:type="pct"/>
                  <w:tcBorders>
                    <w:tl2br w:val="nil"/>
                    <w:tr2bl w:val="nil"/>
                  </w:tcBorders>
                  <w:tcMar>
                    <w:top w:w="0" w:type="dxa"/>
                    <w:left w:w="28" w:type="dxa"/>
                    <w:bottom w:w="0" w:type="dxa"/>
                    <w:right w:w="28" w:type="dxa"/>
                  </w:tcMar>
                  <w:vAlign w:val="center"/>
                </w:tcPr>
                <w:p w14:paraId="15AF589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280" w:type="pct"/>
                  <w:tcBorders>
                    <w:tl2br w:val="nil"/>
                    <w:tr2bl w:val="nil"/>
                  </w:tcBorders>
                  <w:tcMar>
                    <w:top w:w="0" w:type="dxa"/>
                    <w:left w:w="28" w:type="dxa"/>
                    <w:bottom w:w="0" w:type="dxa"/>
                    <w:right w:w="28" w:type="dxa"/>
                  </w:tcMar>
                  <w:vAlign w:val="center"/>
                </w:tcPr>
                <w:p w14:paraId="0824EAB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丁腈橡胶主要用于制造耐油橡胶制品。丁腈橡胶中丙烯腈含量（%）有42～46、36～41、31～35、25～30、18～24等五种。丙烯腈含量越多，耐油性越好，但耐寒性则相应下降。它可以在120℃的空气中或在150℃的油中长期使用。</w:t>
                  </w:r>
                </w:p>
              </w:tc>
              <w:tc>
                <w:tcPr>
                  <w:tcW w:w="322" w:type="pct"/>
                  <w:tcBorders>
                    <w:tl2br w:val="nil"/>
                    <w:tr2bl w:val="nil"/>
                  </w:tcBorders>
                  <w:tcMar>
                    <w:top w:w="0" w:type="dxa"/>
                    <w:left w:w="28" w:type="dxa"/>
                    <w:bottom w:w="0" w:type="dxa"/>
                    <w:right w:w="28" w:type="dxa"/>
                  </w:tcMar>
                  <w:vAlign w:val="center"/>
                </w:tcPr>
                <w:p w14:paraId="77F0961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难燃</w:t>
                  </w:r>
                </w:p>
              </w:tc>
              <w:tc>
                <w:tcPr>
                  <w:tcW w:w="1028" w:type="pct"/>
                  <w:tcBorders>
                    <w:tl2br w:val="nil"/>
                    <w:tr2bl w:val="nil"/>
                  </w:tcBorders>
                  <w:tcMar>
                    <w:top w:w="0" w:type="dxa"/>
                    <w:left w:w="28" w:type="dxa"/>
                    <w:bottom w:w="0" w:type="dxa"/>
                    <w:right w:w="28" w:type="dxa"/>
                  </w:tcMar>
                  <w:vAlign w:val="center"/>
                </w:tcPr>
                <w:p w14:paraId="14E1DDC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3C5631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14B93E3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顺丁橡胶（BR900）</w:t>
                  </w:r>
                </w:p>
                <w:p w14:paraId="132EE31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9003-17-2</w:t>
                  </w:r>
                </w:p>
              </w:tc>
              <w:tc>
                <w:tcPr>
                  <w:tcW w:w="568" w:type="pct"/>
                  <w:tcBorders>
                    <w:tl2br w:val="nil"/>
                    <w:tr2bl w:val="nil"/>
                  </w:tcBorders>
                  <w:tcMar>
                    <w:top w:w="0" w:type="dxa"/>
                    <w:left w:w="28" w:type="dxa"/>
                    <w:bottom w:w="0" w:type="dxa"/>
                    <w:right w:w="28" w:type="dxa"/>
                  </w:tcMar>
                  <w:vAlign w:val="center"/>
                </w:tcPr>
                <w:p w14:paraId="6B182BF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C</w:t>
                  </w:r>
                  <w:r>
                    <w:rPr>
                      <w:rFonts w:hint="default" w:ascii="Times New Roman" w:hAnsi="Times New Roman" w:eastAsia="宋体" w:cs="Times New Roman"/>
                      <w:color w:val="auto"/>
                      <w:sz w:val="21"/>
                      <w:szCs w:val="21"/>
                      <w:shd w:val="clear" w:color="auto" w:fill="FFFFFF"/>
                      <w:vertAlign w:val="subscript"/>
                    </w:rPr>
                    <w:t>4</w:t>
                  </w:r>
                  <w:r>
                    <w:rPr>
                      <w:rFonts w:hint="default" w:ascii="Times New Roman" w:hAnsi="Times New Roman" w:eastAsia="宋体" w:cs="Times New Roman"/>
                      <w:color w:val="auto"/>
                      <w:sz w:val="21"/>
                      <w:szCs w:val="21"/>
                      <w:shd w:val="clear" w:color="auto" w:fill="FFFFFF"/>
                    </w:rPr>
                    <w:t>H</w:t>
                  </w:r>
                  <w:r>
                    <w:rPr>
                      <w:rFonts w:hint="default" w:ascii="Times New Roman" w:hAnsi="Times New Roman" w:eastAsia="宋体" w:cs="Times New Roman"/>
                      <w:color w:val="auto"/>
                      <w:sz w:val="21"/>
                      <w:szCs w:val="21"/>
                      <w:shd w:val="clear" w:color="auto" w:fill="FFFFFF"/>
                      <w:vertAlign w:val="subscript"/>
                    </w:rPr>
                    <w:t>6</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n</w:t>
                  </w:r>
                </w:p>
              </w:tc>
              <w:tc>
                <w:tcPr>
                  <w:tcW w:w="2280" w:type="pct"/>
                  <w:tcBorders>
                    <w:tl2br w:val="nil"/>
                    <w:tr2bl w:val="nil"/>
                  </w:tcBorders>
                  <w:tcMar>
                    <w:top w:w="0" w:type="dxa"/>
                    <w:left w:w="28" w:type="dxa"/>
                    <w:bottom w:w="0" w:type="dxa"/>
                    <w:right w:w="28" w:type="dxa"/>
                  </w:tcMar>
                  <w:vAlign w:val="center"/>
                </w:tcPr>
                <w:p w14:paraId="77F5D4F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lang w:eastAsia="zh-CN"/>
                    </w:rPr>
                  </w:pPr>
                  <w:r>
                    <w:rPr>
                      <w:rStyle w:val="84"/>
                      <w:rFonts w:hint="default" w:ascii="Times New Roman" w:hAnsi="Times New Roman" w:eastAsia="宋体" w:cs="Times New Roman"/>
                      <w:color w:val="auto"/>
                      <w:sz w:val="21"/>
                      <w:szCs w:val="21"/>
                    </w:rPr>
                    <w:t>顺丁橡</w:t>
                  </w:r>
                  <w:r>
                    <w:rPr>
                      <w:rStyle w:val="84"/>
                      <w:rFonts w:hint="default" w:ascii="Times New Roman" w:hAnsi="Times New Roman" w:eastAsia="宋体" w:cs="Times New Roman"/>
                      <w:color w:val="auto"/>
                      <w:sz w:val="21"/>
                      <w:szCs w:val="21"/>
                      <w:u w:val="none"/>
                    </w:rPr>
                    <w:t>胶与</w:t>
                  </w:r>
                  <w:r>
                    <w:rPr>
                      <w:rStyle w:val="84"/>
                      <w:rFonts w:hint="default" w:ascii="Times New Roman" w:hAnsi="Times New Roman" w:eastAsia="宋体" w:cs="Times New Roman"/>
                      <w:color w:val="auto"/>
                      <w:sz w:val="21"/>
                      <w:szCs w:val="21"/>
                      <w:u w:val="none"/>
                    </w:rPr>
                    <w:fldChar w:fldCharType="begin"/>
                  </w:r>
                  <w:r>
                    <w:rPr>
                      <w:rStyle w:val="84"/>
                      <w:rFonts w:hint="default" w:ascii="Times New Roman" w:hAnsi="Times New Roman" w:eastAsia="宋体" w:cs="Times New Roman"/>
                      <w:color w:val="auto"/>
                      <w:sz w:val="21"/>
                      <w:szCs w:val="21"/>
                      <w:u w:val="none"/>
                    </w:rPr>
                    <w:instrText xml:space="preserve">HYPERLINK "https://baike.baidu.com/item/%E5%A4%A9%E7%84%B6%E6%A9%A1%E8%83%B6/0?fromModule=lemma_inlink" \t "_blank"</w:instrText>
                  </w:r>
                  <w:r>
                    <w:rPr>
                      <w:rStyle w:val="84"/>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天然橡胶</w:t>
                  </w:r>
                  <w:r>
                    <w:rPr>
                      <w:rStyle w:val="84"/>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和</w:t>
                  </w:r>
                  <w:r>
                    <w:rPr>
                      <w:rStyle w:val="84"/>
                      <w:rFonts w:hint="default" w:ascii="Times New Roman" w:hAnsi="Times New Roman" w:eastAsia="宋体" w:cs="Times New Roman"/>
                      <w:color w:val="auto"/>
                      <w:sz w:val="21"/>
                      <w:szCs w:val="21"/>
                      <w:u w:val="none"/>
                    </w:rPr>
                    <w:fldChar w:fldCharType="begin"/>
                  </w:r>
                  <w:r>
                    <w:rPr>
                      <w:rStyle w:val="84"/>
                      <w:rFonts w:hint="default" w:ascii="Times New Roman" w:hAnsi="Times New Roman" w:eastAsia="宋体" w:cs="Times New Roman"/>
                      <w:color w:val="auto"/>
                      <w:sz w:val="21"/>
                      <w:szCs w:val="21"/>
                      <w:u w:val="none"/>
                    </w:rPr>
                    <w:instrText xml:space="preserve">HYPERLINK "https://baike.baidu.com/item/%E4%B8%81%E8%8B%AF%E6%A9%A1%E8%83%B6/0?fromModule=lemma_inlink" \t "_blank"</w:instrText>
                  </w:r>
                  <w:r>
                    <w:rPr>
                      <w:rStyle w:val="84"/>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丁苯橡胶</w:t>
                  </w:r>
                  <w:r>
                    <w:rPr>
                      <w:rStyle w:val="84"/>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相比，具有弹性高、耐磨性好、耐寒性好、生热低、耐曲挠性和动态性能好等特点。主要缺点是抗湿滑性差，撕裂强度和拉伸强度低，冷流性大，加工性能稍差，必须和其他胶种并用</w:t>
                  </w:r>
                  <w:r>
                    <w:rPr>
                      <w:rStyle w:val="84"/>
                      <w:rFonts w:hint="eastAsia" w:ascii="Times New Roman" w:hAnsi="Times New Roman" w:eastAsia="宋体" w:cs="Times New Roman"/>
                      <w:color w:val="auto"/>
                      <w:sz w:val="21"/>
                      <w:szCs w:val="21"/>
                      <w:u w:val="none"/>
                      <w:lang w:eastAsia="zh-CN"/>
                    </w:rPr>
                    <w:t>。</w:t>
                  </w:r>
                </w:p>
              </w:tc>
              <w:tc>
                <w:tcPr>
                  <w:tcW w:w="322" w:type="pct"/>
                  <w:tcBorders>
                    <w:tl2br w:val="nil"/>
                    <w:tr2bl w:val="nil"/>
                  </w:tcBorders>
                  <w:tcMar>
                    <w:top w:w="0" w:type="dxa"/>
                    <w:left w:w="28" w:type="dxa"/>
                    <w:bottom w:w="0" w:type="dxa"/>
                    <w:right w:w="28" w:type="dxa"/>
                  </w:tcMar>
                  <w:vAlign w:val="center"/>
                </w:tcPr>
                <w:p w14:paraId="5D37F50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难燃</w:t>
                  </w:r>
                </w:p>
              </w:tc>
              <w:tc>
                <w:tcPr>
                  <w:tcW w:w="1028" w:type="pct"/>
                  <w:tcBorders>
                    <w:tl2br w:val="nil"/>
                    <w:tr2bl w:val="nil"/>
                  </w:tcBorders>
                  <w:tcMar>
                    <w:top w:w="0" w:type="dxa"/>
                    <w:left w:w="28" w:type="dxa"/>
                    <w:bottom w:w="0" w:type="dxa"/>
                    <w:right w:w="28" w:type="dxa"/>
                  </w:tcMar>
                  <w:vAlign w:val="center"/>
                </w:tcPr>
                <w:p w14:paraId="721C871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2C178F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4C634F1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炭黑</w:t>
                  </w:r>
                </w:p>
              </w:tc>
              <w:tc>
                <w:tcPr>
                  <w:tcW w:w="568" w:type="pct"/>
                  <w:tcBorders>
                    <w:tl2br w:val="nil"/>
                    <w:tr2bl w:val="nil"/>
                  </w:tcBorders>
                  <w:tcMar>
                    <w:top w:w="0" w:type="dxa"/>
                    <w:left w:w="28" w:type="dxa"/>
                    <w:bottom w:w="0" w:type="dxa"/>
                    <w:right w:w="28" w:type="dxa"/>
                  </w:tcMar>
                  <w:vAlign w:val="center"/>
                </w:tcPr>
                <w:p w14:paraId="5E0E359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C</w:t>
                  </w:r>
                </w:p>
              </w:tc>
              <w:tc>
                <w:tcPr>
                  <w:tcW w:w="2280" w:type="pct"/>
                  <w:tcBorders>
                    <w:tl2br w:val="nil"/>
                    <w:tr2bl w:val="nil"/>
                  </w:tcBorders>
                  <w:tcMar>
                    <w:top w:w="0" w:type="dxa"/>
                    <w:left w:w="28" w:type="dxa"/>
                    <w:bottom w:w="0" w:type="dxa"/>
                    <w:right w:w="28" w:type="dxa"/>
                  </w:tcMar>
                  <w:vAlign w:val="center"/>
                </w:tcPr>
                <w:p w14:paraId="6C6EA1C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外观与性状：黑色、无气味固体。有可能含有易燃的氢化合物；稳定性和瓜活性：禁配物：强氧化剂；健康危害：吸入刺激鼻腔、嘴、喉；接触刺激皮肤和眼睛；长期暴露，会损伤皮肤和指甲，造成暂时或水久性损伤，伤害肺和呼吸道，并对心脏产生不良影响，慢性接触引起咳嗽、咳痰、烦燥、胸痛、头痛、肺损害、管炎、皮疹、健康危害（蓝色）：燃爆危险：自燃，点燃后燃烧缓慢</w:t>
                  </w:r>
                  <w:r>
                    <w:rPr>
                      <w:rFonts w:hint="eastAsia" w:ascii="Times New Roman" w:hAnsi="Times New Roman" w:eastAsia="宋体" w:cs="Times New Roman"/>
                      <w:color w:val="auto"/>
                      <w:sz w:val="21"/>
                      <w:szCs w:val="21"/>
                      <w:lang w:eastAsia="zh-CN"/>
                    </w:rPr>
                    <w:t>。</w:t>
                  </w:r>
                </w:p>
              </w:tc>
              <w:tc>
                <w:tcPr>
                  <w:tcW w:w="322" w:type="pct"/>
                  <w:tcBorders>
                    <w:tl2br w:val="nil"/>
                    <w:tr2bl w:val="nil"/>
                  </w:tcBorders>
                  <w:tcMar>
                    <w:top w:w="0" w:type="dxa"/>
                    <w:left w:w="28" w:type="dxa"/>
                    <w:bottom w:w="0" w:type="dxa"/>
                    <w:right w:w="28" w:type="dxa"/>
                  </w:tcMar>
                  <w:vAlign w:val="center"/>
                </w:tcPr>
                <w:p w14:paraId="73AC13E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32F59D0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4337F4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4FFFDEE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环烷油</w:t>
                  </w:r>
                </w:p>
                <w:p w14:paraId="02C6896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67254-74-4</w:t>
                  </w:r>
                </w:p>
              </w:tc>
              <w:tc>
                <w:tcPr>
                  <w:tcW w:w="568" w:type="pct"/>
                  <w:tcBorders>
                    <w:tl2br w:val="nil"/>
                    <w:tr2bl w:val="nil"/>
                  </w:tcBorders>
                  <w:tcMar>
                    <w:top w:w="0" w:type="dxa"/>
                    <w:left w:w="28" w:type="dxa"/>
                    <w:bottom w:w="0" w:type="dxa"/>
                    <w:right w:w="28" w:type="dxa"/>
                  </w:tcMar>
                  <w:vAlign w:val="center"/>
                </w:tcPr>
                <w:p w14:paraId="40338FD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280" w:type="pct"/>
                  <w:tcBorders>
                    <w:tl2br w:val="nil"/>
                    <w:tr2bl w:val="nil"/>
                  </w:tcBorders>
                  <w:tcMar>
                    <w:top w:w="0" w:type="dxa"/>
                    <w:left w:w="28" w:type="dxa"/>
                    <w:bottom w:w="0" w:type="dxa"/>
                    <w:right w:w="28" w:type="dxa"/>
                  </w:tcMar>
                  <w:vAlign w:val="center"/>
                </w:tcPr>
                <w:p w14:paraId="2081A151">
                  <w:pPr>
                    <w:pStyle w:val="31"/>
                    <w:keepNext w:val="0"/>
                    <w:keepLines w:val="0"/>
                    <w:pageBreakBefore w:val="0"/>
                    <w:kinsoku/>
                    <w:overflowPunct/>
                    <w:topLinePunct w:val="0"/>
                    <w:bidi w:val="0"/>
                    <w:spacing w:before="0" w:beforeAutospacing="0" w:after="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外观：透明油状液体；运动粘度mm</w:t>
                  </w:r>
                  <w:r>
                    <w:rPr>
                      <w:rFonts w:hint="eastAsia" w:ascii="Times New Roman" w:hAnsi="Times New Roman" w:eastAsia="宋体" w:cs="Times New Roman"/>
                      <w:color w:val="auto"/>
                      <w:sz w:val="21"/>
                      <w:szCs w:val="21"/>
                      <w:vertAlign w:val="superscript"/>
                      <w:lang w:val="en-US" w:eastAsia="zh-CN"/>
                    </w:rPr>
                    <w:t>2</w:t>
                  </w:r>
                  <w:r>
                    <w:rPr>
                      <w:rFonts w:hint="default" w:ascii="Times New Roman" w:hAnsi="Times New Roman" w:eastAsia="宋体" w:cs="Times New Roman"/>
                      <w:color w:val="auto"/>
                      <w:sz w:val="21"/>
                      <w:szCs w:val="21"/>
                    </w:rPr>
                    <w:t>/s</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40°C</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：180±5；闪点°C</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开口</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：≥220；凝固点°C：≤-21；常温常压下稳定，无化学反应发生，高温下</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大于220°C</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可能产生有毒的分解产物。本品为无毒油品，有轻微刺激性气味，接触皮肤一般无过敏，但有可能对此较敏感的人群存在，未有因接触该产品而致癌的报导，常温下不危及人身安全。</w:t>
                  </w:r>
                </w:p>
              </w:tc>
              <w:tc>
                <w:tcPr>
                  <w:tcW w:w="322" w:type="pct"/>
                  <w:tcBorders>
                    <w:tl2br w:val="nil"/>
                    <w:tr2bl w:val="nil"/>
                  </w:tcBorders>
                  <w:tcMar>
                    <w:top w:w="0" w:type="dxa"/>
                    <w:left w:w="28" w:type="dxa"/>
                    <w:bottom w:w="0" w:type="dxa"/>
                    <w:right w:w="28" w:type="dxa"/>
                  </w:tcMar>
                  <w:vAlign w:val="center"/>
                </w:tcPr>
                <w:p w14:paraId="47F8A64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3B4698B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18BA82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29AFB8B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促进剂（DTDM）</w:t>
                  </w:r>
                </w:p>
                <w:p w14:paraId="7D6EF954">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120-54-7</w:t>
                  </w:r>
                </w:p>
              </w:tc>
              <w:tc>
                <w:tcPr>
                  <w:tcW w:w="568" w:type="pct"/>
                  <w:tcBorders>
                    <w:tl2br w:val="nil"/>
                    <w:tr2bl w:val="nil"/>
                  </w:tcBorders>
                  <w:tcMar>
                    <w:top w:w="0" w:type="dxa"/>
                    <w:left w:w="28" w:type="dxa"/>
                    <w:bottom w:w="0" w:type="dxa"/>
                    <w:right w:w="28" w:type="dxa"/>
                  </w:tcMar>
                  <w:vAlign w:val="center"/>
                </w:tcPr>
                <w:p w14:paraId="27DE344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280" w:type="pct"/>
                  <w:tcBorders>
                    <w:tl2br w:val="nil"/>
                    <w:tr2bl w:val="nil"/>
                  </w:tcBorders>
                  <w:tcMar>
                    <w:top w:w="0" w:type="dxa"/>
                    <w:left w:w="28" w:type="dxa"/>
                    <w:bottom w:w="0" w:type="dxa"/>
                    <w:right w:w="28" w:type="dxa"/>
                  </w:tcMar>
                  <w:vAlign w:val="center"/>
                </w:tcPr>
                <w:p w14:paraId="6BB5F3C1">
                  <w:pPr>
                    <w:keepNext w:val="0"/>
                    <w:keepLines w:val="0"/>
                    <w:pageBreakBefore w:val="0"/>
                    <w:kinsoku/>
                    <w:overflowPunct/>
                    <w:topLinePunct w:val="0"/>
                    <w:autoSpaceDE w:val="0"/>
                    <w:autoSpaceDN w:val="0"/>
                    <w:bidi w:val="0"/>
                    <w:adjustRightInd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lang w:val="en-US" w:eastAsia="zh-CN" w:bidi="ar-SA"/>
                    </w:rPr>
                    <w:t>外观：白色粉末；熔点：115℃以上；密度：1.5g/cm</w:t>
                  </w:r>
                  <w:r>
                    <w:rPr>
                      <w:rFonts w:hint="default" w:ascii="Times New Roman" w:hAnsi="Times New Roman" w:eastAsia="宋体" w:cs="Times New Roman"/>
                      <w:color w:val="auto"/>
                      <w:kern w:val="0"/>
                      <w:sz w:val="21"/>
                      <w:szCs w:val="21"/>
                      <w:vertAlign w:val="superscript"/>
                      <w:lang w:val="en-US" w:eastAsia="zh-CN" w:bidi="ar-SA"/>
                    </w:rPr>
                    <w:t>3</w:t>
                  </w:r>
                  <w:r>
                    <w:rPr>
                      <w:rFonts w:hint="default" w:ascii="Times New Roman" w:hAnsi="Times New Roman" w:eastAsia="宋体" w:cs="Times New Roman"/>
                      <w:color w:val="auto"/>
                      <w:kern w:val="0"/>
                      <w:sz w:val="21"/>
                      <w:szCs w:val="21"/>
                      <w:vertAlign w:val="baseline"/>
                      <w:lang w:val="en-US" w:eastAsia="zh-CN" w:bidi="ar-SA"/>
                    </w:rPr>
                    <w:t>；</w:t>
                  </w:r>
                  <w:r>
                    <w:rPr>
                      <w:rFonts w:hint="default" w:ascii="Times New Roman" w:hAnsi="Times New Roman" w:eastAsia="宋体" w:cs="Times New Roman"/>
                      <w:color w:val="auto"/>
                      <w:kern w:val="0"/>
                      <w:sz w:val="21"/>
                      <w:szCs w:val="21"/>
                      <w:lang w:val="en-US" w:eastAsia="zh-CN" w:bidi="ar-SA"/>
                    </w:rPr>
                    <w:t>溶解度：不溶于水</w:t>
                  </w:r>
                  <w:r>
                    <w:rPr>
                      <w:rFonts w:hint="eastAsia" w:cs="Times New Roman"/>
                      <w:color w:val="auto"/>
                      <w:kern w:val="0"/>
                      <w:sz w:val="21"/>
                      <w:szCs w:val="21"/>
                      <w:lang w:val="en-US" w:eastAsia="zh-CN" w:bidi="ar-SA"/>
                    </w:rPr>
                    <w:t>。</w:t>
                  </w:r>
                </w:p>
              </w:tc>
              <w:tc>
                <w:tcPr>
                  <w:tcW w:w="322" w:type="pct"/>
                  <w:tcBorders>
                    <w:tl2br w:val="nil"/>
                    <w:tr2bl w:val="nil"/>
                  </w:tcBorders>
                  <w:tcMar>
                    <w:top w:w="0" w:type="dxa"/>
                    <w:left w:w="28" w:type="dxa"/>
                    <w:bottom w:w="0" w:type="dxa"/>
                    <w:right w:w="28" w:type="dxa"/>
                  </w:tcMar>
                  <w:vAlign w:val="center"/>
                </w:tcPr>
                <w:p w14:paraId="2C237C4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易燃</w:t>
                  </w:r>
                </w:p>
              </w:tc>
              <w:tc>
                <w:tcPr>
                  <w:tcW w:w="1028" w:type="pct"/>
                  <w:tcBorders>
                    <w:tl2br w:val="nil"/>
                    <w:tr2bl w:val="nil"/>
                  </w:tcBorders>
                  <w:tcMar>
                    <w:top w:w="0" w:type="dxa"/>
                    <w:left w:w="28" w:type="dxa"/>
                    <w:bottom w:w="0" w:type="dxa"/>
                    <w:right w:w="28" w:type="dxa"/>
                  </w:tcMar>
                  <w:vAlign w:val="center"/>
                </w:tcPr>
                <w:p w14:paraId="457CB13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w w:val="99"/>
                      <w:sz w:val="21"/>
                      <w:szCs w:val="21"/>
                    </w:rPr>
                    <w:t>急性毒性</w:t>
                  </w:r>
                </w:p>
              </w:tc>
            </w:tr>
            <w:tr w14:paraId="0829D1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4848E5A7">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促进剂（DM）</w:t>
                  </w:r>
                </w:p>
                <w:p w14:paraId="08D010CD">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120-78-5</w:t>
                  </w:r>
                </w:p>
              </w:tc>
              <w:tc>
                <w:tcPr>
                  <w:tcW w:w="568" w:type="pct"/>
                  <w:tcBorders>
                    <w:tl2br w:val="nil"/>
                    <w:tr2bl w:val="nil"/>
                  </w:tcBorders>
                  <w:shd w:val="clear" w:color="auto" w:fill="auto"/>
                  <w:tcMar>
                    <w:top w:w="0" w:type="dxa"/>
                    <w:left w:w="28" w:type="dxa"/>
                    <w:bottom w:w="0" w:type="dxa"/>
                    <w:right w:w="28" w:type="dxa"/>
                  </w:tcMar>
                  <w:vAlign w:val="center"/>
                </w:tcPr>
                <w:p w14:paraId="46AF37FA">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C</w:t>
                  </w:r>
                  <w:r>
                    <w:rPr>
                      <w:rFonts w:hint="default" w:ascii="Times New Roman" w:hAnsi="Times New Roman" w:eastAsia="宋体" w:cs="Times New Roman"/>
                      <w:color w:val="auto"/>
                      <w:kern w:val="0"/>
                      <w:sz w:val="21"/>
                      <w:szCs w:val="21"/>
                      <w:vertAlign w:val="subscript"/>
                      <w:lang w:val="en-US" w:eastAsia="zh-CN" w:bidi="ar-SA"/>
                    </w:rPr>
                    <w:t>14</w:t>
                  </w:r>
                  <w:r>
                    <w:rPr>
                      <w:rFonts w:hint="default" w:ascii="Times New Roman" w:hAnsi="Times New Roman" w:eastAsia="宋体" w:cs="Times New Roman"/>
                      <w:color w:val="auto"/>
                      <w:kern w:val="0"/>
                      <w:sz w:val="21"/>
                      <w:szCs w:val="21"/>
                      <w:lang w:val="en-US" w:eastAsia="zh-CN" w:bidi="ar-SA"/>
                    </w:rPr>
                    <w:t>H</w:t>
                  </w:r>
                  <w:r>
                    <w:rPr>
                      <w:rFonts w:hint="default" w:ascii="Times New Roman" w:hAnsi="Times New Roman" w:eastAsia="宋体" w:cs="Times New Roman"/>
                      <w:color w:val="auto"/>
                      <w:kern w:val="0"/>
                      <w:sz w:val="21"/>
                      <w:szCs w:val="21"/>
                      <w:vertAlign w:val="subscript"/>
                      <w:lang w:val="en-US" w:eastAsia="zh-CN" w:bidi="ar-SA"/>
                    </w:rPr>
                    <w:t>8</w:t>
                  </w:r>
                  <w:r>
                    <w:rPr>
                      <w:rFonts w:hint="default" w:ascii="Times New Roman" w:hAnsi="Times New Roman" w:eastAsia="宋体" w:cs="Times New Roman"/>
                      <w:color w:val="auto"/>
                      <w:kern w:val="0"/>
                      <w:sz w:val="21"/>
                      <w:szCs w:val="21"/>
                      <w:lang w:val="en-US" w:eastAsia="zh-CN" w:bidi="ar-SA"/>
                    </w:rPr>
                    <w:t>N</w:t>
                  </w:r>
                  <w:r>
                    <w:rPr>
                      <w:rFonts w:hint="default" w:ascii="Times New Roman" w:hAnsi="Times New Roman" w:eastAsia="宋体" w:cs="Times New Roman"/>
                      <w:color w:val="auto"/>
                      <w:kern w:val="0"/>
                      <w:sz w:val="21"/>
                      <w:szCs w:val="21"/>
                      <w:vertAlign w:val="subscript"/>
                      <w:lang w:val="en-US" w:eastAsia="zh-CN" w:bidi="ar-SA"/>
                    </w:rPr>
                    <w:t>2</w:t>
                  </w:r>
                  <w:r>
                    <w:rPr>
                      <w:rFonts w:hint="default" w:ascii="Times New Roman" w:hAnsi="Times New Roman" w:eastAsia="宋体" w:cs="Times New Roman"/>
                      <w:color w:val="auto"/>
                      <w:kern w:val="0"/>
                      <w:sz w:val="21"/>
                      <w:szCs w:val="21"/>
                      <w:lang w:val="en-US" w:eastAsia="zh-CN" w:bidi="ar-SA"/>
                    </w:rPr>
                    <w:t>S</w:t>
                  </w:r>
                  <w:r>
                    <w:rPr>
                      <w:rFonts w:hint="default" w:ascii="Times New Roman" w:hAnsi="Times New Roman" w:eastAsia="宋体" w:cs="Times New Roman"/>
                      <w:color w:val="auto"/>
                      <w:kern w:val="0"/>
                      <w:sz w:val="21"/>
                      <w:szCs w:val="21"/>
                      <w:vertAlign w:val="subscript"/>
                      <w:lang w:val="en-US" w:eastAsia="zh-CN" w:bidi="ar-SA"/>
                    </w:rPr>
                    <w:t>4</w:t>
                  </w:r>
                </w:p>
                <w:p w14:paraId="610B5A46">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p>
              </w:tc>
              <w:tc>
                <w:tcPr>
                  <w:tcW w:w="2280" w:type="pct"/>
                  <w:tcBorders>
                    <w:tl2br w:val="nil"/>
                    <w:tr2bl w:val="nil"/>
                  </w:tcBorders>
                  <w:shd w:val="clear" w:color="auto" w:fill="auto"/>
                  <w:tcMar>
                    <w:top w:w="0" w:type="dxa"/>
                    <w:left w:w="28" w:type="dxa"/>
                    <w:bottom w:w="0" w:type="dxa"/>
                    <w:right w:w="28" w:type="dxa"/>
                  </w:tcMar>
                  <w:vAlign w:val="center"/>
                </w:tcPr>
                <w:p w14:paraId="0F2EC8D9">
                  <w:pPr>
                    <w:keepNext w:val="0"/>
                    <w:keepLines w:val="0"/>
                    <w:pageBreakBefore w:val="0"/>
                    <w:kinsoku/>
                    <w:overflowPunct/>
                    <w:topLinePunct w:val="0"/>
                    <w:autoSpaceDE w:val="0"/>
                    <w:autoSpaceDN w:val="0"/>
                    <w:bidi w:val="0"/>
                    <w:adjustRightInd w:val="0"/>
                    <w:spacing w:beforeAutospacing="0" w:afterAutospacing="0" w:line="360" w:lineRule="exact"/>
                    <w:ind w:firstLine="0"/>
                    <w:jc w:val="left"/>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外观与性状</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灰白色或者淡黄色粉末；熔点</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°C</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164-175°C；相对密度</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水=1</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1.54</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25°C</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；闪点</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°C</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271；引燃温度</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°C</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360；溶解性</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不溶于水、汽油、乙酸乙酯</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溶于苯、四氯化碳、乙醇、丙酮。稳定性</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储存在密闭的、有机容器中稳定；禁配物</w:t>
                  </w:r>
                  <w:r>
                    <w:rPr>
                      <w:rFonts w:hint="eastAsia" w:cs="Times New Roman"/>
                      <w:color w:val="auto"/>
                      <w:kern w:val="0"/>
                      <w:sz w:val="21"/>
                      <w:szCs w:val="21"/>
                      <w:lang w:val="en-US" w:eastAsia="zh-CN" w:bidi="ar-SA"/>
                    </w:rPr>
                    <w:t>：</w:t>
                  </w:r>
                  <w:r>
                    <w:rPr>
                      <w:rFonts w:hint="default" w:ascii="Times New Roman" w:hAnsi="Times New Roman" w:eastAsia="宋体" w:cs="Times New Roman"/>
                      <w:color w:val="auto"/>
                      <w:kern w:val="0"/>
                      <w:sz w:val="21"/>
                      <w:szCs w:val="21"/>
                      <w:lang w:val="en-US" w:eastAsia="zh-CN" w:bidi="ar-SA"/>
                    </w:rPr>
                    <w:t>强氧化剂。避免接触的条件：远离光，热和火焰。避免接触强氧化剂。</w:t>
                  </w:r>
                </w:p>
              </w:tc>
              <w:tc>
                <w:tcPr>
                  <w:tcW w:w="322" w:type="pct"/>
                  <w:tcBorders>
                    <w:tl2br w:val="nil"/>
                    <w:tr2bl w:val="nil"/>
                  </w:tcBorders>
                  <w:shd w:val="clear" w:color="auto" w:fill="auto"/>
                  <w:tcMar>
                    <w:top w:w="0" w:type="dxa"/>
                    <w:left w:w="28" w:type="dxa"/>
                    <w:bottom w:w="0" w:type="dxa"/>
                    <w:right w:w="28" w:type="dxa"/>
                  </w:tcMar>
                  <w:vAlign w:val="center"/>
                </w:tcPr>
                <w:p w14:paraId="308FDA96">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不燃</w:t>
                  </w:r>
                </w:p>
                <w:p w14:paraId="4EB49898">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p>
              </w:tc>
              <w:tc>
                <w:tcPr>
                  <w:tcW w:w="1028" w:type="pct"/>
                  <w:tcBorders>
                    <w:tl2br w:val="nil"/>
                    <w:tr2bl w:val="nil"/>
                  </w:tcBorders>
                  <w:tcMar>
                    <w:top w:w="0" w:type="dxa"/>
                    <w:left w:w="28" w:type="dxa"/>
                    <w:bottom w:w="0" w:type="dxa"/>
                    <w:right w:w="28" w:type="dxa"/>
                  </w:tcMar>
                  <w:vAlign w:val="center"/>
                </w:tcPr>
                <w:p w14:paraId="273DA990">
                  <w:pPr>
                    <w:keepNext w:val="0"/>
                    <w:keepLines w:val="0"/>
                    <w:pageBreakBefore w:val="0"/>
                    <w:kinsoku/>
                    <w:overflowPunct/>
                    <w:topLinePunct w:val="0"/>
                    <w:autoSpaceDE w:val="0"/>
                    <w:autoSpaceDN w:val="0"/>
                    <w:bidi w:val="0"/>
                    <w:adjustRightInd w:val="0"/>
                    <w:spacing w:beforeAutospacing="0" w:afterAutospacing="0" w:line="360" w:lineRule="exact"/>
                    <w:ind w:firstLine="0"/>
                    <w:jc w:val="center"/>
                    <w:textAlignment w:val="auto"/>
                    <w:outlineLvl w:val="9"/>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bidi="ar-SA"/>
                    </w:rPr>
                    <w:t>无毒</w:t>
                  </w:r>
                </w:p>
              </w:tc>
            </w:tr>
            <w:tr w14:paraId="3C1C5C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6927818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促进剂（CZ）</w:t>
                  </w:r>
                </w:p>
                <w:p w14:paraId="6E9A3BA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95-33-0</w:t>
                  </w:r>
                </w:p>
              </w:tc>
              <w:tc>
                <w:tcPr>
                  <w:tcW w:w="568" w:type="pct"/>
                  <w:tcBorders>
                    <w:tl2br w:val="nil"/>
                    <w:tr2bl w:val="nil"/>
                  </w:tcBorders>
                  <w:tcMar>
                    <w:top w:w="0" w:type="dxa"/>
                    <w:left w:w="28" w:type="dxa"/>
                    <w:bottom w:w="0" w:type="dxa"/>
                    <w:right w:w="28" w:type="dxa"/>
                  </w:tcMar>
                  <w:vAlign w:val="center"/>
                </w:tcPr>
                <w:p w14:paraId="56BC742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u w:val="none"/>
                    </w:rPr>
                    <w:fldChar w:fldCharType="begin"/>
                  </w:r>
                  <w:r>
                    <w:rPr>
                      <w:rFonts w:hint="default" w:ascii="Times New Roman" w:hAnsi="Times New Roman" w:eastAsia="宋体" w:cs="Times New Roman"/>
                      <w:color w:val="auto"/>
                      <w:sz w:val="21"/>
                      <w:szCs w:val="21"/>
                      <w:u w:val="none"/>
                    </w:rPr>
                    <w:instrText xml:space="preserve"> HYPERLINK "https://www.chembk.com/cn/search/C13H16N2S2" </w:instrText>
                  </w:r>
                  <w:r>
                    <w:rPr>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C</w:t>
                  </w:r>
                  <w:r>
                    <w:rPr>
                      <w:rStyle w:val="47"/>
                      <w:rFonts w:hint="default" w:ascii="Times New Roman" w:hAnsi="Times New Roman" w:eastAsia="宋体" w:cs="Times New Roman"/>
                      <w:color w:val="auto"/>
                      <w:sz w:val="21"/>
                      <w:szCs w:val="21"/>
                      <w:u w:val="none"/>
                      <w:vertAlign w:val="subscript"/>
                    </w:rPr>
                    <w:t>13</w:t>
                  </w:r>
                  <w:r>
                    <w:rPr>
                      <w:rStyle w:val="47"/>
                      <w:rFonts w:hint="default" w:ascii="Times New Roman" w:hAnsi="Times New Roman" w:eastAsia="宋体" w:cs="Times New Roman"/>
                      <w:color w:val="auto"/>
                      <w:sz w:val="21"/>
                      <w:szCs w:val="21"/>
                      <w:u w:val="none"/>
                    </w:rPr>
                    <w:t>H</w:t>
                  </w:r>
                  <w:r>
                    <w:rPr>
                      <w:rStyle w:val="47"/>
                      <w:rFonts w:hint="default" w:ascii="Times New Roman" w:hAnsi="Times New Roman" w:eastAsia="宋体" w:cs="Times New Roman"/>
                      <w:color w:val="auto"/>
                      <w:sz w:val="21"/>
                      <w:szCs w:val="21"/>
                      <w:u w:val="none"/>
                      <w:vertAlign w:val="subscript"/>
                    </w:rPr>
                    <w:t>16</w:t>
                  </w:r>
                  <w:r>
                    <w:rPr>
                      <w:rStyle w:val="47"/>
                      <w:rFonts w:hint="default" w:ascii="Times New Roman" w:hAnsi="Times New Roman" w:eastAsia="宋体" w:cs="Times New Roman"/>
                      <w:color w:val="auto"/>
                      <w:sz w:val="21"/>
                      <w:szCs w:val="21"/>
                      <w:u w:val="none"/>
                    </w:rPr>
                    <w:t>N</w:t>
                  </w:r>
                  <w:r>
                    <w:rPr>
                      <w:rStyle w:val="47"/>
                      <w:rFonts w:hint="default" w:ascii="Times New Roman" w:hAnsi="Times New Roman" w:eastAsia="宋体" w:cs="Times New Roman"/>
                      <w:color w:val="auto"/>
                      <w:sz w:val="21"/>
                      <w:szCs w:val="21"/>
                      <w:u w:val="none"/>
                      <w:vertAlign w:val="subscript"/>
                    </w:rPr>
                    <w:t>2</w:t>
                  </w:r>
                  <w:r>
                    <w:rPr>
                      <w:rStyle w:val="47"/>
                      <w:rFonts w:hint="default" w:ascii="Times New Roman" w:hAnsi="Times New Roman" w:eastAsia="宋体" w:cs="Times New Roman"/>
                      <w:color w:val="auto"/>
                      <w:sz w:val="21"/>
                      <w:szCs w:val="21"/>
                      <w:u w:val="none"/>
                    </w:rPr>
                    <w:t>S</w:t>
                  </w:r>
                  <w:r>
                    <w:rPr>
                      <w:rStyle w:val="47"/>
                      <w:rFonts w:hint="default" w:ascii="Times New Roman" w:hAnsi="Times New Roman" w:eastAsia="宋体" w:cs="Times New Roman"/>
                      <w:color w:val="auto"/>
                      <w:sz w:val="21"/>
                      <w:szCs w:val="21"/>
                      <w:u w:val="none"/>
                      <w:vertAlign w:val="subscript"/>
                    </w:rPr>
                    <w:t>2</w:t>
                  </w:r>
                  <w:r>
                    <w:rPr>
                      <w:rStyle w:val="47"/>
                      <w:rFonts w:hint="default" w:ascii="Times New Roman" w:hAnsi="Times New Roman" w:eastAsia="宋体" w:cs="Times New Roman"/>
                      <w:color w:val="auto"/>
                      <w:sz w:val="21"/>
                      <w:szCs w:val="21"/>
                      <w:u w:val="none"/>
                    </w:rPr>
                    <w:fldChar w:fldCharType="end"/>
                  </w:r>
                </w:p>
              </w:tc>
              <w:tc>
                <w:tcPr>
                  <w:tcW w:w="2280" w:type="pct"/>
                  <w:tcBorders>
                    <w:tl2br w:val="nil"/>
                    <w:tr2bl w:val="nil"/>
                  </w:tcBorders>
                  <w:tcMar>
                    <w:top w:w="0" w:type="dxa"/>
                    <w:left w:w="28" w:type="dxa"/>
                    <w:bottom w:w="0" w:type="dxa"/>
                    <w:right w:w="28" w:type="dxa"/>
                  </w:tcMar>
                  <w:vAlign w:val="center"/>
                </w:tcPr>
                <w:p w14:paraId="2F8EF601">
                  <w:pPr>
                    <w:keepNext w:val="0"/>
                    <w:keepLines w:val="0"/>
                    <w:pageBreakBefore w:val="0"/>
                    <w:widowControl w:val="0"/>
                    <w:kinsoku/>
                    <w:wordWrap w:val="0"/>
                    <w:overflowPunct/>
                    <w:topLinePunct w:val="0"/>
                    <w:autoSpaceDE w:val="0"/>
                    <w:autoSpaceDN w:val="0"/>
                    <w:bidi w:val="0"/>
                    <w:adjustRightInd w:val="0"/>
                    <w:snapToGrid w:val="0"/>
                    <w:spacing w:beforeAutospacing="0" w:afterAutospacing="0" w:line="360" w:lineRule="exact"/>
                    <w:ind w:firstLine="0"/>
                    <w:jc w:val="both"/>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外观：固体；颜色：乳白色或米色粉末；密度：1.31~1.34g/cm</w:t>
                  </w:r>
                  <w:r>
                    <w:rPr>
                      <w:rFonts w:hint="default" w:ascii="Times New Roman" w:hAnsi="Times New Roman" w:eastAsia="宋体" w:cs="Times New Roman"/>
                      <w:color w:val="auto"/>
                      <w:sz w:val="21"/>
                      <w:szCs w:val="21"/>
                      <w:shd w:val="clear" w:color="auto" w:fill="FFFFFF"/>
                      <w:vertAlign w:val="superscript"/>
                    </w:rPr>
                    <w:t>3</w:t>
                  </w:r>
                  <w:r>
                    <w:rPr>
                      <w:rFonts w:hint="default" w:ascii="Times New Roman" w:hAnsi="Times New Roman" w:eastAsia="宋体" w:cs="Times New Roman"/>
                      <w:color w:val="auto"/>
                      <w:sz w:val="21"/>
                      <w:szCs w:val="21"/>
                      <w:shd w:val="clear" w:color="auto" w:fill="FFFFFF"/>
                    </w:rPr>
                    <w:t>；熔点：93-100°C；沸点：410.4±28.0°C；闪点：202°C；蒸汽压6.04E-07mmHg</w:t>
                  </w:r>
                  <w:r>
                    <w:rPr>
                      <w:rFonts w:hint="eastAsia" w:cs="Times New Roman"/>
                      <w:color w:val="auto"/>
                      <w:sz w:val="21"/>
                      <w:szCs w:val="21"/>
                      <w:shd w:val="clear" w:color="auto" w:fill="FFFFFF"/>
                      <w:lang w:eastAsia="zh-CN"/>
                    </w:rPr>
                    <w:t>（25</w:t>
                  </w:r>
                  <w:r>
                    <w:rPr>
                      <w:rFonts w:hint="default" w:ascii="Times New Roman" w:hAnsi="Times New Roman" w:cs="Times New Roman"/>
                      <w:color w:val="auto"/>
                      <w:sz w:val="21"/>
                      <w:szCs w:val="21"/>
                      <w:shd w:val="clear" w:color="auto" w:fill="FFFFFF"/>
                      <w:lang w:eastAsia="zh-CN"/>
                    </w:rPr>
                    <w:t>°</w:t>
                  </w:r>
                  <w:r>
                    <w:rPr>
                      <w:rFonts w:hint="eastAsia" w:cs="Times New Roman"/>
                      <w:color w:val="auto"/>
                      <w:sz w:val="21"/>
                      <w:szCs w:val="21"/>
                      <w:shd w:val="clear" w:color="auto" w:fill="FFFFFF"/>
                      <w:lang w:eastAsia="zh-CN"/>
                    </w:rPr>
                    <w:t>C）</w:t>
                  </w:r>
                  <w:r>
                    <w:rPr>
                      <w:rFonts w:hint="default" w:ascii="Times New Roman" w:hAnsi="Times New Roman" w:eastAsia="宋体" w:cs="Times New Roman"/>
                      <w:color w:val="auto"/>
                      <w:sz w:val="21"/>
                      <w:szCs w:val="21"/>
                      <w:shd w:val="clear" w:color="auto" w:fill="FFFFFF"/>
                    </w:rPr>
                    <w:t>；溶解度：氯仿</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微溶</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、DMSO</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微溶</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、乙酸乙酯</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微溶</w:t>
                  </w:r>
                  <w:r>
                    <w:rPr>
                      <w:rFonts w:hint="eastAsia" w:cs="Times New Roman"/>
                      <w:color w:val="auto"/>
                      <w:sz w:val="21"/>
                      <w:szCs w:val="21"/>
                      <w:shd w:val="clear" w:color="auto" w:fill="FFFFFF"/>
                      <w:lang w:eastAsia="zh-CN"/>
                    </w:rPr>
                    <w:t>）</w:t>
                  </w:r>
                  <w:r>
                    <w:rPr>
                      <w:rFonts w:hint="default" w:ascii="Times New Roman" w:hAnsi="Times New Roman" w:eastAsia="宋体" w:cs="Times New Roman"/>
                      <w:color w:val="auto"/>
                      <w:sz w:val="21"/>
                      <w:szCs w:val="21"/>
                      <w:shd w:val="clear" w:color="auto" w:fill="FFFFFF"/>
                    </w:rPr>
                    <w:t>；物化性质：乳白色或米色粉末。溶于苯、二氯甲烷、四氯化碳、醋酸乙酯、丙酮，微溶于乙醇和汽油，不溶于水。</w:t>
                  </w:r>
                </w:p>
              </w:tc>
              <w:tc>
                <w:tcPr>
                  <w:tcW w:w="322" w:type="pct"/>
                  <w:tcBorders>
                    <w:tl2br w:val="nil"/>
                    <w:tr2bl w:val="nil"/>
                  </w:tcBorders>
                  <w:tcMar>
                    <w:top w:w="0" w:type="dxa"/>
                    <w:left w:w="28" w:type="dxa"/>
                    <w:bottom w:w="0" w:type="dxa"/>
                    <w:right w:w="28" w:type="dxa"/>
                  </w:tcMar>
                  <w:vAlign w:val="center"/>
                </w:tcPr>
                <w:p w14:paraId="0A913DE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不燃</w:t>
                  </w:r>
                </w:p>
                <w:p w14:paraId="3841429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p>
              </w:tc>
              <w:tc>
                <w:tcPr>
                  <w:tcW w:w="1028" w:type="pct"/>
                  <w:tcBorders>
                    <w:tl2br w:val="nil"/>
                    <w:tr2bl w:val="nil"/>
                  </w:tcBorders>
                  <w:tcMar>
                    <w:top w:w="0" w:type="dxa"/>
                    <w:left w:w="28" w:type="dxa"/>
                    <w:bottom w:w="0" w:type="dxa"/>
                    <w:right w:w="28" w:type="dxa"/>
                  </w:tcMar>
                  <w:vAlign w:val="center"/>
                </w:tcPr>
                <w:p w14:paraId="1D0AF69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3C796B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0A99C43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shd w:val="clear" w:color="auto" w:fill="FFFFFF"/>
                    </w:rPr>
                  </w:pPr>
                  <w:r>
                    <w:rPr>
                      <w:rFonts w:hint="default" w:ascii="Times New Roman" w:hAnsi="Times New Roman" w:eastAsia="宋体" w:cs="Times New Roman"/>
                      <w:color w:val="auto"/>
                      <w:sz w:val="21"/>
                      <w:szCs w:val="21"/>
                      <w:shd w:val="clear" w:color="auto" w:fill="FFFFFF"/>
                    </w:rPr>
                    <w:t>硫磺粉（S-75）</w:t>
                  </w:r>
                </w:p>
                <w:p w14:paraId="0210328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shd w:val="clear" w:color="auto" w:fill="FFFFFF"/>
                    </w:rPr>
                  </w:pPr>
                  <w:r>
                    <w:rPr>
                      <w:rFonts w:hint="default" w:ascii="Times New Roman" w:hAnsi="Times New Roman" w:eastAsia="宋体" w:cs="Times New Roman"/>
                      <w:color w:val="auto"/>
                      <w:sz w:val="21"/>
                      <w:szCs w:val="21"/>
                      <w:shd w:val="clear" w:color="auto" w:fill="FFFFFF"/>
                    </w:rPr>
                    <w:t>7704-34-9</w:t>
                  </w:r>
                </w:p>
              </w:tc>
              <w:tc>
                <w:tcPr>
                  <w:tcW w:w="568" w:type="pct"/>
                  <w:tcBorders>
                    <w:tl2br w:val="nil"/>
                    <w:tr2bl w:val="nil"/>
                  </w:tcBorders>
                  <w:shd w:val="clear" w:color="auto" w:fill="auto"/>
                  <w:tcMar>
                    <w:top w:w="0" w:type="dxa"/>
                    <w:left w:w="28" w:type="dxa"/>
                    <w:bottom w:w="0" w:type="dxa"/>
                    <w:right w:w="28" w:type="dxa"/>
                  </w:tcMar>
                  <w:vAlign w:val="center"/>
                </w:tcPr>
                <w:p w14:paraId="44BCA6C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shd w:val="clear" w:color="auto" w:fill="FFFFFF"/>
                      <w:lang w:val="en-US" w:eastAsia="zh-CN"/>
                    </w:rPr>
                  </w:pPr>
                  <w:r>
                    <w:rPr>
                      <w:rFonts w:hint="eastAsia" w:ascii="Times New Roman" w:hAnsi="Times New Roman" w:eastAsia="宋体" w:cs="Times New Roman"/>
                      <w:color w:val="auto"/>
                      <w:sz w:val="21"/>
                      <w:szCs w:val="21"/>
                      <w:shd w:val="clear" w:color="auto" w:fill="FFFFFF"/>
                      <w:lang w:val="en-US" w:eastAsia="zh-CN"/>
                    </w:rPr>
                    <w:t>S</w:t>
                  </w:r>
                </w:p>
              </w:tc>
              <w:tc>
                <w:tcPr>
                  <w:tcW w:w="2280" w:type="pct"/>
                  <w:tcBorders>
                    <w:tl2br w:val="nil"/>
                    <w:tr2bl w:val="nil"/>
                  </w:tcBorders>
                  <w:tcMar>
                    <w:top w:w="0" w:type="dxa"/>
                    <w:left w:w="28" w:type="dxa"/>
                    <w:bottom w:w="0" w:type="dxa"/>
                    <w:right w:w="28" w:type="dxa"/>
                  </w:tcMar>
                  <w:vAlign w:val="center"/>
                </w:tcPr>
                <w:p w14:paraId="4CDC9B6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呈黄色或淡黄色固体。易燃烧，燃烧温度一般为248～261℃，燃烧时产生二氧化硫。易溶于二硫化碳、四氯化碳和苯，略溶于乙醇和醚类，不溶于水。导电性和导热性都很差。液体硫黄能溶解硫化氢，其溶解度随温度的升高而增加，温度下降硫化氢即可析出。</w:t>
                  </w:r>
                </w:p>
              </w:tc>
              <w:tc>
                <w:tcPr>
                  <w:tcW w:w="322" w:type="pct"/>
                  <w:tcBorders>
                    <w:tl2br w:val="nil"/>
                    <w:tr2bl w:val="nil"/>
                  </w:tcBorders>
                  <w:tcMar>
                    <w:top w:w="0" w:type="dxa"/>
                    <w:left w:w="28" w:type="dxa"/>
                    <w:bottom w:w="0" w:type="dxa"/>
                    <w:right w:w="28" w:type="dxa"/>
                  </w:tcMar>
                  <w:vAlign w:val="center"/>
                </w:tcPr>
                <w:p w14:paraId="48FB409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易爆</w:t>
                  </w:r>
                </w:p>
              </w:tc>
              <w:tc>
                <w:tcPr>
                  <w:tcW w:w="1028" w:type="pct"/>
                  <w:tcBorders>
                    <w:tl2br w:val="nil"/>
                    <w:tr2bl w:val="nil"/>
                  </w:tcBorders>
                  <w:tcMar>
                    <w:top w:w="0" w:type="dxa"/>
                    <w:left w:w="28" w:type="dxa"/>
                    <w:bottom w:w="0" w:type="dxa"/>
                    <w:right w:w="28" w:type="dxa"/>
                  </w:tcMar>
                  <w:vAlign w:val="center"/>
                </w:tcPr>
                <w:p w14:paraId="2F1AFC6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属低毒类</w:t>
                  </w:r>
                </w:p>
              </w:tc>
            </w:tr>
            <w:tr w14:paraId="2D7EA4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7F039028">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氧化锌</w:t>
                  </w:r>
                </w:p>
                <w:p w14:paraId="739D35D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1314-13-2</w:t>
                  </w:r>
                </w:p>
              </w:tc>
              <w:tc>
                <w:tcPr>
                  <w:tcW w:w="568" w:type="pct"/>
                  <w:tcBorders>
                    <w:tl2br w:val="nil"/>
                    <w:tr2bl w:val="nil"/>
                  </w:tcBorders>
                  <w:tcMar>
                    <w:top w:w="0" w:type="dxa"/>
                    <w:left w:w="28" w:type="dxa"/>
                    <w:bottom w:w="0" w:type="dxa"/>
                    <w:right w:w="28" w:type="dxa"/>
                  </w:tcMar>
                  <w:vAlign w:val="center"/>
                </w:tcPr>
                <w:p w14:paraId="702F5EF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ZnO</w:t>
                  </w:r>
                </w:p>
              </w:tc>
              <w:tc>
                <w:tcPr>
                  <w:tcW w:w="2280" w:type="pct"/>
                  <w:tcBorders>
                    <w:tl2br w:val="nil"/>
                    <w:tr2bl w:val="nil"/>
                  </w:tcBorders>
                  <w:tcMar>
                    <w:top w:w="0" w:type="dxa"/>
                    <w:left w:w="28" w:type="dxa"/>
                    <w:bottom w:w="0" w:type="dxa"/>
                    <w:right w:w="28" w:type="dxa"/>
                  </w:tcMar>
                  <w:vAlign w:val="center"/>
                </w:tcPr>
                <w:p w14:paraId="458A9707">
                  <w:pPr>
                    <w:keepNext w:val="0"/>
                    <w:keepLines w:val="0"/>
                    <w:pageBreakBefore w:val="0"/>
                    <w:kinsoku/>
                    <w:overflowPunct/>
                    <w:topLinePunct w:val="0"/>
                    <w:bidi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外观：白色固体；</w:t>
                  </w:r>
                  <w:r>
                    <w:rPr>
                      <w:rFonts w:hint="default" w:ascii="Times New Roman" w:hAnsi="Times New Roman" w:eastAsia="宋体" w:cs="Times New Roman"/>
                      <w:color w:val="auto"/>
                      <w:sz w:val="21"/>
                      <w:szCs w:val="21"/>
                      <w:shd w:val="clear" w:color="auto" w:fill="FFFFFF"/>
                    </w:rPr>
                    <w:t>水溶性：不溶于水；密度：5.6g/cm³；闪点：1436℃；熔点：1975℃；沸点：2360℃</w:t>
                  </w:r>
                  <w:r>
                    <w:rPr>
                      <w:rFonts w:hint="eastAsia" w:cs="Times New Roman"/>
                      <w:color w:val="auto"/>
                      <w:sz w:val="21"/>
                      <w:szCs w:val="21"/>
                      <w:shd w:val="clear" w:color="auto" w:fill="FFFFFF"/>
                      <w:lang w:eastAsia="zh-CN"/>
                    </w:rPr>
                    <w:t>。</w:t>
                  </w:r>
                </w:p>
              </w:tc>
              <w:tc>
                <w:tcPr>
                  <w:tcW w:w="322" w:type="pct"/>
                  <w:tcBorders>
                    <w:tl2br w:val="nil"/>
                    <w:tr2bl w:val="nil"/>
                  </w:tcBorders>
                  <w:tcMar>
                    <w:top w:w="0" w:type="dxa"/>
                    <w:left w:w="28" w:type="dxa"/>
                    <w:bottom w:w="0" w:type="dxa"/>
                    <w:right w:w="28" w:type="dxa"/>
                  </w:tcMar>
                  <w:vAlign w:val="center"/>
                </w:tcPr>
                <w:p w14:paraId="06EAAF05">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不燃</w:t>
                  </w:r>
                </w:p>
              </w:tc>
              <w:tc>
                <w:tcPr>
                  <w:tcW w:w="1028" w:type="pct"/>
                  <w:tcBorders>
                    <w:tl2br w:val="nil"/>
                    <w:tr2bl w:val="nil"/>
                  </w:tcBorders>
                  <w:tcMar>
                    <w:top w:w="0" w:type="dxa"/>
                    <w:left w:w="28" w:type="dxa"/>
                    <w:bottom w:w="0" w:type="dxa"/>
                    <w:right w:w="28" w:type="dxa"/>
                  </w:tcMar>
                  <w:vAlign w:val="center"/>
                </w:tcPr>
                <w:p w14:paraId="34A2243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797C58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3445936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硬脂酸</w:t>
                  </w:r>
                </w:p>
              </w:tc>
              <w:tc>
                <w:tcPr>
                  <w:tcW w:w="568" w:type="pct"/>
                  <w:tcBorders>
                    <w:tl2br w:val="nil"/>
                    <w:tr2bl w:val="nil"/>
                  </w:tcBorders>
                  <w:tcMar>
                    <w:top w:w="0" w:type="dxa"/>
                    <w:left w:w="28" w:type="dxa"/>
                    <w:bottom w:w="0" w:type="dxa"/>
                    <w:right w:w="28" w:type="dxa"/>
                  </w:tcMar>
                  <w:vAlign w:val="center"/>
                </w:tcPr>
                <w:p w14:paraId="4E6B276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Style w:val="84"/>
                      <w:rFonts w:hint="default" w:ascii="Times New Roman" w:hAnsi="Times New Roman" w:eastAsia="宋体" w:cs="Times New Roman"/>
                      <w:color w:val="auto"/>
                      <w:sz w:val="21"/>
                      <w:szCs w:val="21"/>
                    </w:rPr>
                    <w:t>C</w:t>
                  </w:r>
                  <w:r>
                    <w:rPr>
                      <w:rStyle w:val="84"/>
                      <w:rFonts w:hint="default" w:ascii="Times New Roman" w:hAnsi="Times New Roman" w:eastAsia="宋体" w:cs="Times New Roman"/>
                      <w:color w:val="auto"/>
                      <w:sz w:val="21"/>
                      <w:szCs w:val="21"/>
                      <w:vertAlign w:val="subscript"/>
                    </w:rPr>
                    <w:t>18</w:t>
                  </w:r>
                  <w:r>
                    <w:rPr>
                      <w:rStyle w:val="84"/>
                      <w:rFonts w:hint="default" w:ascii="Times New Roman" w:hAnsi="Times New Roman" w:eastAsia="宋体" w:cs="Times New Roman"/>
                      <w:color w:val="auto"/>
                      <w:sz w:val="21"/>
                      <w:szCs w:val="21"/>
                    </w:rPr>
                    <w:t>H</w:t>
                  </w:r>
                  <w:r>
                    <w:rPr>
                      <w:rStyle w:val="84"/>
                      <w:rFonts w:hint="default" w:ascii="Times New Roman" w:hAnsi="Times New Roman" w:eastAsia="宋体" w:cs="Times New Roman"/>
                      <w:color w:val="auto"/>
                      <w:sz w:val="21"/>
                      <w:szCs w:val="21"/>
                      <w:vertAlign w:val="subscript"/>
                    </w:rPr>
                    <w:t>36</w:t>
                  </w:r>
                  <w:r>
                    <w:rPr>
                      <w:rStyle w:val="84"/>
                      <w:rFonts w:hint="default" w:ascii="Times New Roman" w:hAnsi="Times New Roman" w:eastAsia="宋体" w:cs="Times New Roman"/>
                      <w:color w:val="auto"/>
                      <w:sz w:val="21"/>
                      <w:szCs w:val="21"/>
                    </w:rPr>
                    <w:t>O</w:t>
                  </w:r>
                  <w:r>
                    <w:rPr>
                      <w:rStyle w:val="84"/>
                      <w:rFonts w:hint="default" w:ascii="Times New Roman" w:hAnsi="Times New Roman" w:eastAsia="宋体" w:cs="Times New Roman"/>
                      <w:color w:val="auto"/>
                      <w:sz w:val="21"/>
                      <w:szCs w:val="21"/>
                      <w:vertAlign w:val="subscript"/>
                    </w:rPr>
                    <w:t>2</w:t>
                  </w:r>
                </w:p>
              </w:tc>
              <w:tc>
                <w:tcPr>
                  <w:tcW w:w="2280" w:type="pct"/>
                  <w:tcBorders>
                    <w:tl2br w:val="nil"/>
                    <w:tr2bl w:val="nil"/>
                  </w:tcBorders>
                  <w:tcMar>
                    <w:top w:w="0" w:type="dxa"/>
                    <w:left w:w="28" w:type="dxa"/>
                    <w:bottom w:w="0" w:type="dxa"/>
                    <w:right w:w="28" w:type="dxa"/>
                  </w:tcMar>
                  <w:vAlign w:val="center"/>
                </w:tcPr>
                <w:p w14:paraId="52062D52">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外观：白色蜡状透明固体或微黄色蜡状固体；</w:t>
                  </w:r>
                  <w:r>
                    <w:rPr>
                      <w:rFonts w:hint="default" w:ascii="Times New Roman" w:hAnsi="Times New Roman" w:eastAsia="宋体" w:cs="Times New Roman"/>
                      <w:color w:val="auto"/>
                      <w:sz w:val="21"/>
                      <w:szCs w:val="21"/>
                      <w:shd w:val="clear" w:color="auto" w:fill="FFFFFF"/>
                    </w:rPr>
                    <w:t>水溶性：不溶于水；密度：0.84g/cm³；熔点：67-72℃；沸点：361℃</w:t>
                  </w:r>
                  <w:r>
                    <w:rPr>
                      <w:rFonts w:hint="eastAsia" w:cs="Times New Roman"/>
                      <w:color w:val="auto"/>
                      <w:sz w:val="21"/>
                      <w:szCs w:val="21"/>
                      <w:shd w:val="clear" w:color="auto" w:fill="FFFFFF"/>
                      <w:lang w:eastAsia="zh-CN"/>
                    </w:rPr>
                    <w:t>；</w:t>
                  </w:r>
                  <w:r>
                    <w:rPr>
                      <w:rStyle w:val="84"/>
                      <w:rFonts w:hint="default" w:ascii="Times New Roman" w:hAnsi="Times New Roman" w:eastAsia="宋体" w:cs="Times New Roman"/>
                      <w:color w:val="auto"/>
                      <w:sz w:val="21"/>
                      <w:szCs w:val="21"/>
                    </w:rPr>
                    <w:t>溶解性：不溶于水，稍溶于冷乙醇，加热时较易溶解。微溶于丙酮、苯，易溶于乙醚、氯仿、热乙醇</w:t>
                  </w:r>
                  <w:r>
                    <w:rPr>
                      <w:rStyle w:val="84"/>
                      <w:rFonts w:hint="eastAsia" w:cs="Times New Roman"/>
                      <w:color w:val="auto"/>
                      <w:sz w:val="21"/>
                      <w:szCs w:val="21"/>
                      <w:lang w:eastAsia="zh-CN"/>
                    </w:rPr>
                    <w:t>。</w:t>
                  </w:r>
                </w:p>
              </w:tc>
              <w:tc>
                <w:tcPr>
                  <w:tcW w:w="322" w:type="pct"/>
                  <w:tcBorders>
                    <w:tl2br w:val="nil"/>
                    <w:tr2bl w:val="nil"/>
                  </w:tcBorders>
                  <w:tcMar>
                    <w:top w:w="0" w:type="dxa"/>
                    <w:left w:w="28" w:type="dxa"/>
                    <w:bottom w:w="0" w:type="dxa"/>
                    <w:right w:w="28" w:type="dxa"/>
                  </w:tcMar>
                  <w:vAlign w:val="center"/>
                </w:tcPr>
                <w:p w14:paraId="58012264">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易燃</w:t>
                  </w:r>
                </w:p>
              </w:tc>
              <w:tc>
                <w:tcPr>
                  <w:tcW w:w="1028" w:type="pct"/>
                  <w:tcBorders>
                    <w:tl2br w:val="nil"/>
                    <w:tr2bl w:val="nil"/>
                  </w:tcBorders>
                  <w:tcMar>
                    <w:top w:w="0" w:type="dxa"/>
                    <w:left w:w="28" w:type="dxa"/>
                    <w:bottom w:w="0" w:type="dxa"/>
                    <w:right w:w="28" w:type="dxa"/>
                  </w:tcMar>
                  <w:vAlign w:val="center"/>
                </w:tcPr>
                <w:p w14:paraId="5D2C7EF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77E481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204FFD7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轻质碳化钙</w:t>
                  </w:r>
                </w:p>
                <w:p w14:paraId="01C5B12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471</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rPr>
                    <w:t>34</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rPr>
                    <w:t>1</w:t>
                  </w:r>
                </w:p>
              </w:tc>
              <w:tc>
                <w:tcPr>
                  <w:tcW w:w="568" w:type="pct"/>
                  <w:tcBorders>
                    <w:tl2br w:val="nil"/>
                    <w:tr2bl w:val="nil"/>
                  </w:tcBorders>
                  <w:tcMar>
                    <w:top w:w="0" w:type="dxa"/>
                    <w:left w:w="28" w:type="dxa"/>
                    <w:bottom w:w="0" w:type="dxa"/>
                    <w:right w:w="28" w:type="dxa"/>
                  </w:tcMar>
                  <w:vAlign w:val="center"/>
                </w:tcPr>
                <w:p w14:paraId="6C30618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CaCO</w:t>
                  </w:r>
                  <w:r>
                    <w:rPr>
                      <w:rFonts w:hint="default" w:ascii="Times New Roman" w:hAnsi="Times New Roman" w:eastAsia="宋体" w:cs="Times New Roman"/>
                      <w:color w:val="auto"/>
                      <w:sz w:val="21"/>
                      <w:szCs w:val="21"/>
                      <w:vertAlign w:val="subscript"/>
                    </w:rPr>
                    <w:t>3</w:t>
                  </w:r>
                </w:p>
              </w:tc>
              <w:tc>
                <w:tcPr>
                  <w:tcW w:w="2280" w:type="pct"/>
                  <w:tcBorders>
                    <w:tl2br w:val="nil"/>
                    <w:tr2bl w:val="nil"/>
                  </w:tcBorders>
                  <w:tcMar>
                    <w:top w:w="0" w:type="dxa"/>
                    <w:left w:w="28" w:type="dxa"/>
                    <w:bottom w:w="0" w:type="dxa"/>
                    <w:right w:w="28" w:type="dxa"/>
                  </w:tcMar>
                  <w:vAlign w:val="center"/>
                </w:tcPr>
                <w:p w14:paraId="49222E44">
                  <w:pPr>
                    <w:keepNext w:val="0"/>
                    <w:keepLines w:val="0"/>
                    <w:pageBreakBefore w:val="0"/>
                    <w:kinsoku/>
                    <w:overflowPunct/>
                    <w:topLinePunct w:val="0"/>
                    <w:bidi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外观与性状：无臭、无味的白色粉未或无色结晶；熔点</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：825（分解）</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相对密度</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水=1</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：2.70-2.95</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溶解性：不溶于水，溶于酸。禁配物：强酸。</w:t>
                  </w:r>
                </w:p>
              </w:tc>
              <w:tc>
                <w:tcPr>
                  <w:tcW w:w="322" w:type="pct"/>
                  <w:tcBorders>
                    <w:tl2br w:val="nil"/>
                    <w:tr2bl w:val="nil"/>
                  </w:tcBorders>
                  <w:tcMar>
                    <w:top w:w="0" w:type="dxa"/>
                    <w:left w:w="28" w:type="dxa"/>
                    <w:bottom w:w="0" w:type="dxa"/>
                    <w:right w:w="28" w:type="dxa"/>
                  </w:tcMar>
                  <w:vAlign w:val="center"/>
                </w:tcPr>
                <w:p w14:paraId="22DD5D94">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不燃</w:t>
                  </w:r>
                </w:p>
              </w:tc>
              <w:tc>
                <w:tcPr>
                  <w:tcW w:w="1028" w:type="pct"/>
                  <w:tcBorders>
                    <w:tl2br w:val="nil"/>
                    <w:tr2bl w:val="nil"/>
                  </w:tcBorders>
                  <w:tcMar>
                    <w:top w:w="0" w:type="dxa"/>
                    <w:left w:w="28" w:type="dxa"/>
                    <w:bottom w:w="0" w:type="dxa"/>
                    <w:right w:w="28" w:type="dxa"/>
                  </w:tcMar>
                  <w:vAlign w:val="center"/>
                </w:tcPr>
                <w:p w14:paraId="41F2B6E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4C4EFF5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6BAE6C7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导电剂（R220）</w:t>
                  </w:r>
                </w:p>
              </w:tc>
              <w:tc>
                <w:tcPr>
                  <w:tcW w:w="568" w:type="pct"/>
                  <w:tcBorders>
                    <w:tl2br w:val="nil"/>
                    <w:tr2bl w:val="nil"/>
                  </w:tcBorders>
                  <w:tcMar>
                    <w:top w:w="0" w:type="dxa"/>
                    <w:left w:w="28" w:type="dxa"/>
                    <w:bottom w:w="0" w:type="dxa"/>
                    <w:right w:w="28" w:type="dxa"/>
                  </w:tcMar>
                  <w:vAlign w:val="center"/>
                </w:tcPr>
                <w:p w14:paraId="384C7AF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280" w:type="pct"/>
                  <w:tcBorders>
                    <w:tl2br w:val="nil"/>
                    <w:tr2bl w:val="nil"/>
                  </w:tcBorders>
                  <w:tcMar>
                    <w:top w:w="0" w:type="dxa"/>
                    <w:left w:w="28" w:type="dxa"/>
                    <w:bottom w:w="0" w:type="dxa"/>
                    <w:right w:w="28" w:type="dxa"/>
                  </w:tcMar>
                  <w:vAlign w:val="center"/>
                </w:tcPr>
                <w:p w14:paraId="7201BAA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Fonts w:hint="eastAsia" w:ascii="Times New Roman" w:hAnsi="Times New Roman" w:eastAsia="宋体" w:cs="Times New Roman"/>
                      <w:color w:val="auto"/>
                      <w:sz w:val="21"/>
                      <w:szCs w:val="21"/>
                      <w:u w:val="none"/>
                      <w:lang w:eastAsia="zh-CN"/>
                    </w:rPr>
                  </w:pPr>
                  <w:r>
                    <w:rPr>
                      <w:rStyle w:val="84"/>
                      <w:rFonts w:hint="default" w:ascii="Times New Roman" w:hAnsi="Times New Roman" w:eastAsia="宋体" w:cs="Times New Roman"/>
                      <w:color w:val="auto"/>
                      <w:sz w:val="21"/>
                      <w:szCs w:val="21"/>
                      <w:u w:val="none"/>
                    </w:rPr>
                    <w:t>导电剂是为了保证电极具有良好的充放电性能，在极片制作时通常加入一定量的导电物质，在活性物质之间、活性物质与</w:t>
                  </w:r>
                  <w:r>
                    <w:rPr>
                      <w:rFonts w:hint="default" w:ascii="Times New Roman" w:hAnsi="Times New Roman" w:eastAsia="宋体" w:cs="Times New Roman"/>
                      <w:color w:val="auto"/>
                      <w:sz w:val="21"/>
                      <w:szCs w:val="21"/>
                      <w:u w:val="none"/>
                    </w:rPr>
                    <w:fldChar w:fldCharType="begin"/>
                  </w:r>
                  <w:r>
                    <w:rPr>
                      <w:rFonts w:hint="default" w:ascii="Times New Roman" w:hAnsi="Times New Roman" w:eastAsia="宋体" w:cs="Times New Roman"/>
                      <w:color w:val="auto"/>
                      <w:sz w:val="21"/>
                      <w:szCs w:val="21"/>
                      <w:u w:val="none"/>
                    </w:rPr>
                    <w:instrText xml:space="preserve"> HYPERLINK "https://baike.baidu.com/item/%E9%9B%86%E6%B5%81%E4%BD%93/1597179?fromModule=lemma_inlink" \t "_blank" </w:instrText>
                  </w:r>
                  <w:r>
                    <w:rPr>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集流体</w:t>
                  </w:r>
                  <w:r>
                    <w:rPr>
                      <w:rStyle w:val="47"/>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之间起到收集微电流的作用，以减小电极的</w:t>
                  </w:r>
                  <w:r>
                    <w:rPr>
                      <w:rFonts w:hint="default" w:ascii="Times New Roman" w:hAnsi="Times New Roman" w:eastAsia="宋体" w:cs="Times New Roman"/>
                      <w:color w:val="auto"/>
                      <w:sz w:val="21"/>
                      <w:szCs w:val="21"/>
                      <w:u w:val="none"/>
                    </w:rPr>
                    <w:fldChar w:fldCharType="begin"/>
                  </w:r>
                  <w:r>
                    <w:rPr>
                      <w:rFonts w:hint="default" w:ascii="Times New Roman" w:hAnsi="Times New Roman" w:eastAsia="宋体" w:cs="Times New Roman"/>
                      <w:color w:val="auto"/>
                      <w:sz w:val="21"/>
                      <w:szCs w:val="21"/>
                      <w:u w:val="none"/>
                    </w:rPr>
                    <w:instrText xml:space="preserve"> HYPERLINK "https://baike.baidu.com/item/%E6%8E%A5%E8%A7%A6%E7%94%B5%E9%98%BB/8488111?fromModule=lemma_inlink" \t "_blank" </w:instrText>
                  </w:r>
                  <w:r>
                    <w:rPr>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接触电阻</w:t>
                  </w:r>
                  <w:r>
                    <w:rPr>
                      <w:rStyle w:val="47"/>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加速电子的移动速率，同时也能有效地提高锂离子在电极材料中的迁移速率，从而提高电极的充放电效率</w:t>
                  </w:r>
                  <w:r>
                    <w:rPr>
                      <w:rStyle w:val="84"/>
                      <w:rFonts w:hint="eastAsia" w:ascii="Times New Roman" w:hAnsi="Times New Roman" w:eastAsia="宋体" w:cs="Times New Roman"/>
                      <w:color w:val="auto"/>
                      <w:sz w:val="21"/>
                      <w:szCs w:val="21"/>
                      <w:u w:val="none"/>
                      <w:lang w:eastAsia="zh-CN"/>
                    </w:rPr>
                    <w:t>。</w:t>
                  </w:r>
                </w:p>
              </w:tc>
              <w:tc>
                <w:tcPr>
                  <w:tcW w:w="322" w:type="pct"/>
                  <w:tcBorders>
                    <w:tl2br w:val="nil"/>
                    <w:tr2bl w:val="nil"/>
                  </w:tcBorders>
                  <w:tcMar>
                    <w:top w:w="0" w:type="dxa"/>
                    <w:left w:w="28" w:type="dxa"/>
                    <w:bottom w:w="0" w:type="dxa"/>
                    <w:right w:w="28" w:type="dxa"/>
                  </w:tcMar>
                  <w:vAlign w:val="center"/>
                </w:tcPr>
                <w:p w14:paraId="2DBA84F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shd w:val="clear" w:color="auto" w:fill="FFFFFF"/>
                    </w:rPr>
                    <w:t>易燃</w:t>
                  </w:r>
                </w:p>
              </w:tc>
              <w:tc>
                <w:tcPr>
                  <w:tcW w:w="1028" w:type="pct"/>
                  <w:tcBorders>
                    <w:tl2br w:val="nil"/>
                    <w:tr2bl w:val="nil"/>
                  </w:tcBorders>
                  <w:tcMar>
                    <w:top w:w="0" w:type="dxa"/>
                    <w:left w:w="28" w:type="dxa"/>
                    <w:bottom w:w="0" w:type="dxa"/>
                    <w:right w:w="28" w:type="dxa"/>
                  </w:tcMar>
                  <w:vAlign w:val="center"/>
                </w:tcPr>
                <w:p w14:paraId="478702FE">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31BB19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6089558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高岭土</w:t>
                  </w:r>
                </w:p>
              </w:tc>
              <w:tc>
                <w:tcPr>
                  <w:tcW w:w="568" w:type="pct"/>
                  <w:tcBorders>
                    <w:tl2br w:val="nil"/>
                    <w:tr2bl w:val="nil"/>
                  </w:tcBorders>
                  <w:tcMar>
                    <w:top w:w="0" w:type="dxa"/>
                    <w:left w:w="28" w:type="dxa"/>
                    <w:bottom w:w="0" w:type="dxa"/>
                    <w:right w:w="28" w:type="dxa"/>
                  </w:tcMar>
                  <w:vAlign w:val="center"/>
                </w:tcPr>
                <w:p w14:paraId="136DF80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eastAsia="zh-CN"/>
                    </w:rPr>
                  </w:pPr>
                  <w:r>
                    <w:rPr>
                      <w:rStyle w:val="84"/>
                      <w:rFonts w:hint="eastAsia" w:cs="Times New Roman"/>
                      <w:color w:val="auto"/>
                      <w:sz w:val="21"/>
                      <w:szCs w:val="21"/>
                      <w:lang w:val="en-US" w:eastAsia="zh-CN"/>
                    </w:rPr>
                    <w:t>/</w:t>
                  </w:r>
                </w:p>
              </w:tc>
              <w:tc>
                <w:tcPr>
                  <w:tcW w:w="2280" w:type="pct"/>
                  <w:tcBorders>
                    <w:tl2br w:val="nil"/>
                    <w:tr2bl w:val="nil"/>
                  </w:tcBorders>
                  <w:tcMar>
                    <w:top w:w="0" w:type="dxa"/>
                    <w:left w:w="28" w:type="dxa"/>
                    <w:bottom w:w="0" w:type="dxa"/>
                    <w:right w:w="28" w:type="dxa"/>
                  </w:tcMar>
                  <w:vAlign w:val="center"/>
                </w:tcPr>
                <w:p w14:paraId="1A62662A">
                  <w:pPr>
                    <w:keepNext w:val="0"/>
                    <w:keepLines w:val="0"/>
                    <w:pageBreakBefore w:val="0"/>
                    <w:kinsoku/>
                    <w:overflowPunct/>
                    <w:topLinePunct w:val="0"/>
                    <w:bidi w:val="0"/>
                    <w:spacing w:beforeAutospacing="0" w:afterAutospacing="0" w:line="360" w:lineRule="exact"/>
                    <w:ind w:firstLine="0"/>
                    <w:jc w:val="left"/>
                    <w:textAlignment w:val="auto"/>
                    <w:outlineLvl w:val="9"/>
                    <w:rPr>
                      <w:rFonts w:hint="default" w:ascii="Times New Roman" w:hAnsi="Times New Roman" w:eastAsia="宋体" w:cs="Times New Roman"/>
                      <w:color w:val="auto"/>
                      <w:sz w:val="21"/>
                      <w:szCs w:val="21"/>
                      <w:u w:val="none"/>
                      <w:lang w:eastAsia="zh-CN"/>
                    </w:rPr>
                  </w:pPr>
                  <w:r>
                    <w:rPr>
                      <w:rStyle w:val="84"/>
                      <w:rFonts w:hint="default" w:ascii="Times New Roman" w:hAnsi="Times New Roman" w:eastAsia="宋体" w:cs="Times New Roman"/>
                      <w:color w:val="auto"/>
                      <w:sz w:val="21"/>
                      <w:szCs w:val="21"/>
                      <w:u w:val="none"/>
                    </w:rPr>
                    <w:t>性状：多无光泽，质纯时颜白细腻，如含杂质时可带有灰、黄、褐等色。外观依成因不同可呈松散的土块状及致密状态</w:t>
                  </w:r>
                  <w:r>
                    <w:rPr>
                      <w:rFonts w:hint="default" w:ascii="Times New Roman" w:hAnsi="Times New Roman" w:eastAsia="宋体" w:cs="Times New Roman"/>
                      <w:color w:val="auto"/>
                      <w:sz w:val="21"/>
                      <w:szCs w:val="21"/>
                      <w:u w:val="none"/>
                    </w:rPr>
                    <w:fldChar w:fldCharType="begin"/>
                  </w:r>
                  <w:r>
                    <w:rPr>
                      <w:rFonts w:hint="default" w:ascii="Times New Roman" w:hAnsi="Times New Roman" w:eastAsia="宋体" w:cs="Times New Roman"/>
                      <w:color w:val="auto"/>
                      <w:sz w:val="21"/>
                      <w:szCs w:val="21"/>
                      <w:u w:val="none"/>
                    </w:rPr>
                    <w:instrText xml:space="preserve"> HYPERLINK "https://baike.baidu.com/item/%E5%B2%A9%E5%9D%97/0?fromModule=lemma_inlink" \t "_blank" </w:instrText>
                  </w:r>
                  <w:r>
                    <w:rPr>
                      <w:rFonts w:hint="default" w:ascii="Times New Roman" w:hAnsi="Times New Roman" w:eastAsia="宋体" w:cs="Times New Roman"/>
                      <w:color w:val="auto"/>
                      <w:sz w:val="21"/>
                      <w:szCs w:val="21"/>
                      <w:u w:val="none"/>
                    </w:rPr>
                    <w:fldChar w:fldCharType="separate"/>
                  </w:r>
                  <w:r>
                    <w:rPr>
                      <w:rStyle w:val="47"/>
                      <w:rFonts w:hint="default" w:ascii="Times New Roman" w:hAnsi="Times New Roman" w:eastAsia="宋体" w:cs="Times New Roman"/>
                      <w:color w:val="auto"/>
                      <w:sz w:val="21"/>
                      <w:szCs w:val="21"/>
                      <w:u w:val="none"/>
                    </w:rPr>
                    <w:t>岩块</w:t>
                  </w:r>
                  <w:r>
                    <w:rPr>
                      <w:rStyle w:val="47"/>
                      <w:rFonts w:hint="default" w:ascii="Times New Roman" w:hAnsi="Times New Roman" w:eastAsia="宋体" w:cs="Times New Roman"/>
                      <w:color w:val="auto"/>
                      <w:sz w:val="21"/>
                      <w:szCs w:val="21"/>
                      <w:u w:val="none"/>
                    </w:rPr>
                    <w:fldChar w:fldCharType="end"/>
                  </w:r>
                  <w:r>
                    <w:rPr>
                      <w:rStyle w:val="84"/>
                      <w:rFonts w:hint="default" w:ascii="Times New Roman" w:hAnsi="Times New Roman" w:eastAsia="宋体" w:cs="Times New Roman"/>
                      <w:color w:val="auto"/>
                      <w:sz w:val="21"/>
                      <w:szCs w:val="21"/>
                      <w:u w:val="none"/>
                    </w:rPr>
                    <w:t>状。密度：2.54-2.60g/cm</w:t>
                  </w:r>
                  <w:r>
                    <w:rPr>
                      <w:rStyle w:val="84"/>
                      <w:rFonts w:hint="default" w:ascii="Times New Roman" w:hAnsi="Times New Roman" w:eastAsia="宋体" w:cs="Times New Roman"/>
                      <w:color w:val="auto"/>
                      <w:sz w:val="21"/>
                      <w:szCs w:val="21"/>
                      <w:u w:val="none"/>
                      <w:vertAlign w:val="superscript"/>
                    </w:rPr>
                    <w:t>3</w:t>
                  </w:r>
                  <w:r>
                    <w:rPr>
                      <w:rStyle w:val="84"/>
                      <w:rFonts w:hint="default" w:ascii="Times New Roman" w:hAnsi="Times New Roman" w:eastAsia="宋体" w:cs="Times New Roman"/>
                      <w:color w:val="auto"/>
                      <w:sz w:val="21"/>
                      <w:szCs w:val="21"/>
                      <w:u w:val="none"/>
                    </w:rPr>
                    <w:t>。熔点：约1785℃。具有可塑性，湿土能塑成各种形状而不致破碎，并能长期保持不变</w:t>
                  </w:r>
                  <w:r>
                    <w:rPr>
                      <w:rStyle w:val="84"/>
                      <w:rFonts w:hint="default" w:ascii="Times New Roman" w:hAnsi="Times New Roman" w:eastAsia="宋体" w:cs="Times New Roman"/>
                      <w:color w:val="auto"/>
                      <w:sz w:val="21"/>
                      <w:szCs w:val="21"/>
                      <w:u w:val="none"/>
                      <w:lang w:eastAsia="zh-CN"/>
                    </w:rPr>
                    <w:t>。</w:t>
                  </w:r>
                </w:p>
              </w:tc>
              <w:tc>
                <w:tcPr>
                  <w:tcW w:w="322" w:type="pct"/>
                  <w:tcBorders>
                    <w:tl2br w:val="nil"/>
                    <w:tr2bl w:val="nil"/>
                  </w:tcBorders>
                  <w:tcMar>
                    <w:top w:w="0" w:type="dxa"/>
                    <w:left w:w="28" w:type="dxa"/>
                    <w:bottom w:w="0" w:type="dxa"/>
                    <w:right w:w="28" w:type="dxa"/>
                  </w:tcMar>
                  <w:vAlign w:val="center"/>
                </w:tcPr>
                <w:p w14:paraId="2F6C7725">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不燃</w:t>
                  </w:r>
                </w:p>
              </w:tc>
              <w:tc>
                <w:tcPr>
                  <w:tcW w:w="1028" w:type="pct"/>
                  <w:tcBorders>
                    <w:tl2br w:val="nil"/>
                    <w:tr2bl w:val="nil"/>
                  </w:tcBorders>
                  <w:tcMar>
                    <w:top w:w="0" w:type="dxa"/>
                    <w:left w:w="28" w:type="dxa"/>
                    <w:bottom w:w="0" w:type="dxa"/>
                    <w:right w:w="28" w:type="dxa"/>
                  </w:tcMar>
                  <w:vAlign w:val="center"/>
                </w:tcPr>
                <w:p w14:paraId="168144B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无毒</w:t>
                  </w:r>
                </w:p>
              </w:tc>
            </w:tr>
            <w:tr w14:paraId="66DE52B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62BCC02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美沙克灵</w:t>
                  </w:r>
                </w:p>
              </w:tc>
              <w:tc>
                <w:tcPr>
                  <w:tcW w:w="568" w:type="pct"/>
                  <w:tcBorders>
                    <w:tl2br w:val="nil"/>
                    <w:tr2bl w:val="nil"/>
                  </w:tcBorders>
                  <w:shd w:val="clear" w:color="auto" w:fill="auto"/>
                  <w:tcMar>
                    <w:top w:w="0" w:type="dxa"/>
                    <w:left w:w="28" w:type="dxa"/>
                    <w:bottom w:w="0" w:type="dxa"/>
                    <w:right w:w="28" w:type="dxa"/>
                  </w:tcMar>
                  <w:vAlign w:val="center"/>
                </w:tcPr>
                <w:p w14:paraId="35CF745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w:t>
                  </w:r>
                </w:p>
              </w:tc>
              <w:tc>
                <w:tcPr>
                  <w:tcW w:w="2280" w:type="pct"/>
                  <w:tcBorders>
                    <w:tl2br w:val="nil"/>
                    <w:tr2bl w:val="nil"/>
                  </w:tcBorders>
                  <w:shd w:val="clear" w:color="auto" w:fill="auto"/>
                  <w:tcMar>
                    <w:top w:w="0" w:type="dxa"/>
                    <w:left w:w="28" w:type="dxa"/>
                    <w:bottom w:w="0" w:type="dxa"/>
                    <w:right w:w="28" w:type="dxa"/>
                  </w:tcMar>
                  <w:vAlign w:val="center"/>
                </w:tcPr>
                <w:p w14:paraId="7633C645">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无色透明液体，有芳香气味，微溶于水，溶于乙醇乙醚；熔点-96.7</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,沸点42</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，相对密度1.33，燃烧热604.9kJ/mol,引燃温度615</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w:t>
                  </w:r>
                </w:p>
              </w:tc>
              <w:tc>
                <w:tcPr>
                  <w:tcW w:w="322" w:type="pct"/>
                  <w:tcBorders>
                    <w:tl2br w:val="nil"/>
                    <w:tr2bl w:val="nil"/>
                  </w:tcBorders>
                  <w:shd w:val="clear" w:color="auto" w:fill="auto"/>
                  <w:tcMar>
                    <w:top w:w="0" w:type="dxa"/>
                    <w:left w:w="28" w:type="dxa"/>
                    <w:bottom w:w="0" w:type="dxa"/>
                    <w:right w:w="28" w:type="dxa"/>
                  </w:tcMar>
                  <w:vAlign w:val="center"/>
                </w:tcPr>
                <w:p w14:paraId="0266383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不燃</w:t>
                  </w:r>
                </w:p>
                <w:p w14:paraId="6011EB3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不爆</w:t>
                  </w:r>
                </w:p>
              </w:tc>
              <w:tc>
                <w:tcPr>
                  <w:tcW w:w="1028" w:type="pct"/>
                  <w:tcBorders>
                    <w:tl2br w:val="nil"/>
                    <w:tr2bl w:val="nil"/>
                  </w:tcBorders>
                  <w:shd w:val="clear" w:color="auto" w:fill="auto"/>
                  <w:tcMar>
                    <w:top w:w="0" w:type="dxa"/>
                    <w:left w:w="28" w:type="dxa"/>
                    <w:bottom w:w="0" w:type="dxa"/>
                    <w:right w:w="28" w:type="dxa"/>
                  </w:tcMar>
                  <w:vAlign w:val="center"/>
                </w:tcPr>
                <w:p w14:paraId="5775ACA0">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急性毒性：LD16000-2000mg/kg</w:t>
                  </w:r>
                  <w:r>
                    <w:rPr>
                      <w:rFonts w:hint="eastAsia"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大鼠经口</w:t>
                  </w:r>
                  <w:r>
                    <w:rPr>
                      <w:rFonts w:hint="eastAsia" w:cs="Times New Roman"/>
                      <w:color w:val="auto"/>
                      <w:sz w:val="21"/>
                      <w:szCs w:val="21"/>
                      <w:lang w:val="en-US" w:eastAsia="zh-CN"/>
                    </w:rPr>
                    <w:t>）</w:t>
                  </w:r>
                </w:p>
              </w:tc>
            </w:tr>
            <w:tr w14:paraId="7FEA8A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44E5E36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水性双组份聚氨酯清漆</w:t>
                  </w:r>
                </w:p>
              </w:tc>
              <w:tc>
                <w:tcPr>
                  <w:tcW w:w="568" w:type="pct"/>
                  <w:tcBorders>
                    <w:tl2br w:val="nil"/>
                    <w:tr2bl w:val="nil"/>
                  </w:tcBorders>
                  <w:shd w:val="clear" w:color="auto" w:fill="auto"/>
                  <w:tcMar>
                    <w:top w:w="0" w:type="dxa"/>
                    <w:left w:w="28" w:type="dxa"/>
                    <w:bottom w:w="0" w:type="dxa"/>
                    <w:right w:w="28" w:type="dxa"/>
                  </w:tcMar>
                  <w:vAlign w:val="center"/>
                </w:tcPr>
                <w:p w14:paraId="4FAA00A7">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rPr>
                  </w:pPr>
                </w:p>
                <w:p w14:paraId="2B1933A9">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eastAsia" w:cs="Times New Roman"/>
                      <w:color w:val="auto"/>
                      <w:sz w:val="21"/>
                      <w:szCs w:val="21"/>
                      <w:lang w:val="en-US" w:eastAsia="zh-CN"/>
                    </w:rPr>
                    <w:t>/</w:t>
                  </w:r>
                </w:p>
              </w:tc>
              <w:tc>
                <w:tcPr>
                  <w:tcW w:w="2280" w:type="pct"/>
                  <w:tcBorders>
                    <w:tl2br w:val="nil"/>
                    <w:tr2bl w:val="nil"/>
                  </w:tcBorders>
                  <w:shd w:val="clear" w:color="auto" w:fill="auto"/>
                  <w:tcMar>
                    <w:top w:w="0" w:type="dxa"/>
                    <w:left w:w="28" w:type="dxa"/>
                    <w:bottom w:w="0" w:type="dxa"/>
                    <w:right w:w="28" w:type="dxa"/>
                  </w:tcMar>
                  <w:vAlign w:val="center"/>
                </w:tcPr>
                <w:p w14:paraId="7CF6D1F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Style w:val="84"/>
                      <w:rFonts w:hint="eastAsia"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水性聚氨酯树脂</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50-60%</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去离子水</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40-50%助剂：2-10%</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外观</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液体</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苯、甲苯、二甲苯、乙苯的总含量，0%</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气味</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轻微氨味</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pH</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8.0±0.5</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蒸气压</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暂无数据</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沸点</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≤100℃</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水溶性</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水溶</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挥发量</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40-50%</w:t>
                  </w:r>
                  <w:r>
                    <w:rPr>
                      <w:rStyle w:val="84"/>
                      <w:rFonts w:hint="eastAsia" w:cs="Times New Roman"/>
                      <w:color w:val="auto"/>
                      <w:sz w:val="21"/>
                      <w:szCs w:val="21"/>
                      <w:lang w:eastAsia="zh-CN"/>
                    </w:rPr>
                    <w:t>。</w:t>
                  </w:r>
                </w:p>
              </w:tc>
              <w:tc>
                <w:tcPr>
                  <w:tcW w:w="322" w:type="pct"/>
                  <w:tcBorders>
                    <w:tl2br w:val="nil"/>
                    <w:tr2bl w:val="nil"/>
                  </w:tcBorders>
                  <w:shd w:val="clear" w:color="auto" w:fill="auto"/>
                  <w:tcMar>
                    <w:top w:w="0" w:type="dxa"/>
                    <w:left w:w="28" w:type="dxa"/>
                    <w:bottom w:w="0" w:type="dxa"/>
                    <w:right w:w="28" w:type="dxa"/>
                  </w:tcMar>
                  <w:vAlign w:val="center"/>
                </w:tcPr>
                <w:p w14:paraId="714CA9AF">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不燃</w:t>
                  </w:r>
                </w:p>
              </w:tc>
              <w:tc>
                <w:tcPr>
                  <w:tcW w:w="1028" w:type="pct"/>
                  <w:tcBorders>
                    <w:tl2br w:val="nil"/>
                    <w:tr2bl w:val="nil"/>
                  </w:tcBorders>
                  <w:shd w:val="clear" w:color="auto" w:fill="auto"/>
                  <w:tcMar>
                    <w:top w:w="0" w:type="dxa"/>
                    <w:left w:w="28" w:type="dxa"/>
                    <w:bottom w:w="0" w:type="dxa"/>
                    <w:right w:w="28" w:type="dxa"/>
                  </w:tcMar>
                  <w:vAlign w:val="center"/>
                </w:tcPr>
                <w:p w14:paraId="5365EF8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无毒</w:t>
                  </w:r>
                </w:p>
              </w:tc>
            </w:tr>
            <w:tr w14:paraId="55F694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08F4FC5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水性双组份聚氨酯黑漆</w:t>
                  </w:r>
                </w:p>
              </w:tc>
              <w:tc>
                <w:tcPr>
                  <w:tcW w:w="568" w:type="pct"/>
                  <w:tcBorders>
                    <w:tl2br w:val="nil"/>
                    <w:tr2bl w:val="nil"/>
                  </w:tcBorders>
                  <w:shd w:val="clear" w:color="auto" w:fill="auto"/>
                  <w:tcMar>
                    <w:top w:w="0" w:type="dxa"/>
                    <w:left w:w="28" w:type="dxa"/>
                    <w:bottom w:w="0" w:type="dxa"/>
                    <w:right w:w="28" w:type="dxa"/>
                  </w:tcMar>
                  <w:vAlign w:val="center"/>
                </w:tcPr>
                <w:p w14:paraId="1B71EA7B">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eastAsia" w:cs="Times New Roman"/>
                      <w:color w:val="auto"/>
                      <w:sz w:val="21"/>
                      <w:szCs w:val="21"/>
                      <w:lang w:val="en-US" w:eastAsia="zh-CN"/>
                    </w:rPr>
                    <w:t>/</w:t>
                  </w:r>
                </w:p>
              </w:tc>
              <w:tc>
                <w:tcPr>
                  <w:tcW w:w="2280" w:type="pct"/>
                  <w:tcBorders>
                    <w:tl2br w:val="nil"/>
                    <w:tr2bl w:val="nil"/>
                  </w:tcBorders>
                  <w:shd w:val="clear" w:color="auto" w:fill="auto"/>
                  <w:tcMar>
                    <w:top w:w="0" w:type="dxa"/>
                    <w:left w:w="28" w:type="dxa"/>
                    <w:bottom w:w="0" w:type="dxa"/>
                    <w:right w:w="28" w:type="dxa"/>
                  </w:tcMar>
                  <w:vAlign w:val="center"/>
                </w:tcPr>
                <w:p w14:paraId="2A2DF783">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left"/>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水性聚氨酯树脂</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35-40%</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颜料</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5-23%</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填料</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15-20%</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去离子水</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10-15%</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助剂</w:t>
                  </w:r>
                  <w:r>
                    <w:rPr>
                      <w:rStyle w:val="84"/>
                      <w:rFonts w:hint="default" w:ascii="Times New Roman" w:hAnsi="Times New Roman" w:eastAsia="宋体" w:cs="Times New Roman"/>
                      <w:color w:val="auto"/>
                      <w:sz w:val="21"/>
                      <w:szCs w:val="21"/>
                      <w:lang w:eastAsia="zh-CN"/>
                    </w:rPr>
                    <w:t>：</w:t>
                  </w:r>
                  <w:r>
                    <w:rPr>
                      <w:rStyle w:val="84"/>
                      <w:rFonts w:hint="default" w:ascii="Times New Roman" w:hAnsi="Times New Roman" w:eastAsia="宋体" w:cs="Times New Roman"/>
                      <w:color w:val="auto"/>
                      <w:sz w:val="21"/>
                      <w:szCs w:val="21"/>
                    </w:rPr>
                    <w:t>2-10%。外观液体</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苯、甲苯、二甲苯、乙苯的总含量，0%；气味</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轻微氨味</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pH</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8.0±0.5</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蒸气压</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暂无数据</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沸点</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≤100℃</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水溶性</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水溶</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挥发量</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40-50%。</w:t>
                  </w:r>
                </w:p>
              </w:tc>
              <w:tc>
                <w:tcPr>
                  <w:tcW w:w="322" w:type="pct"/>
                  <w:tcBorders>
                    <w:tl2br w:val="nil"/>
                    <w:tr2bl w:val="nil"/>
                  </w:tcBorders>
                  <w:shd w:val="clear" w:color="auto" w:fill="auto"/>
                  <w:tcMar>
                    <w:top w:w="0" w:type="dxa"/>
                    <w:left w:w="28" w:type="dxa"/>
                    <w:bottom w:w="0" w:type="dxa"/>
                    <w:right w:w="28" w:type="dxa"/>
                  </w:tcMar>
                  <w:vAlign w:val="center"/>
                </w:tcPr>
                <w:p w14:paraId="10F8BC3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不燃</w:t>
                  </w:r>
                </w:p>
              </w:tc>
              <w:tc>
                <w:tcPr>
                  <w:tcW w:w="1028" w:type="pct"/>
                  <w:tcBorders>
                    <w:tl2br w:val="nil"/>
                    <w:tr2bl w:val="nil"/>
                  </w:tcBorders>
                  <w:shd w:val="clear" w:color="auto" w:fill="auto"/>
                  <w:tcMar>
                    <w:top w:w="0" w:type="dxa"/>
                    <w:left w:w="28" w:type="dxa"/>
                    <w:bottom w:w="0" w:type="dxa"/>
                    <w:right w:w="28" w:type="dxa"/>
                  </w:tcMar>
                  <w:vAlign w:val="center"/>
                </w:tcPr>
                <w:p w14:paraId="123E3BCA">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无毒</w:t>
                  </w:r>
                </w:p>
              </w:tc>
            </w:tr>
            <w:tr w14:paraId="103921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00" w:type="pct"/>
                  <w:tcBorders>
                    <w:tl2br w:val="nil"/>
                    <w:tr2bl w:val="nil"/>
                  </w:tcBorders>
                  <w:shd w:val="clear" w:color="auto" w:fill="auto"/>
                  <w:tcMar>
                    <w:top w:w="0" w:type="dxa"/>
                    <w:left w:w="28" w:type="dxa"/>
                    <w:bottom w:w="0" w:type="dxa"/>
                    <w:right w:w="28" w:type="dxa"/>
                  </w:tcMar>
                  <w:vAlign w:val="center"/>
                </w:tcPr>
                <w:p w14:paraId="40F4432D">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导热油</w:t>
                  </w:r>
                </w:p>
              </w:tc>
              <w:tc>
                <w:tcPr>
                  <w:tcW w:w="568" w:type="pct"/>
                  <w:tcBorders>
                    <w:tl2br w:val="nil"/>
                    <w:tr2bl w:val="nil"/>
                  </w:tcBorders>
                  <w:shd w:val="clear" w:color="auto" w:fill="auto"/>
                  <w:tcMar>
                    <w:top w:w="0" w:type="dxa"/>
                    <w:left w:w="28" w:type="dxa"/>
                    <w:bottom w:w="0" w:type="dxa"/>
                    <w:right w:w="28" w:type="dxa"/>
                  </w:tcMar>
                  <w:vAlign w:val="center"/>
                </w:tcPr>
                <w:p w14:paraId="7EDF81FC">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eastAsia" w:cs="Times New Roman"/>
                      <w:color w:val="auto"/>
                      <w:sz w:val="21"/>
                      <w:szCs w:val="21"/>
                      <w:lang w:val="en-US" w:eastAsia="zh-CN"/>
                    </w:rPr>
                    <w:t>/</w:t>
                  </w:r>
                </w:p>
              </w:tc>
              <w:tc>
                <w:tcPr>
                  <w:tcW w:w="2280" w:type="pct"/>
                  <w:tcBorders>
                    <w:tl2br w:val="nil"/>
                    <w:tr2bl w:val="nil"/>
                  </w:tcBorders>
                  <w:shd w:val="clear" w:color="auto" w:fill="auto"/>
                  <w:tcMar>
                    <w:top w:w="0" w:type="dxa"/>
                    <w:left w:w="28" w:type="dxa"/>
                    <w:bottom w:w="0" w:type="dxa"/>
                    <w:right w:w="28" w:type="dxa"/>
                  </w:tcMar>
                  <w:vAlign w:val="center"/>
                </w:tcPr>
                <w:p w14:paraId="2D96BA1E">
                  <w:pPr>
                    <w:keepNext w:val="0"/>
                    <w:keepLines w:val="0"/>
                    <w:pageBreakBefore w:val="0"/>
                    <w:widowControl w:val="0"/>
                    <w:kinsoku/>
                    <w:wordWrap w:val="0"/>
                    <w:overflowPunct/>
                    <w:topLinePunct w:val="0"/>
                    <w:autoSpaceDE w:val="0"/>
                    <w:autoSpaceDN w:val="0"/>
                    <w:bidi w:val="0"/>
                    <w:adjustRightInd w:val="0"/>
                    <w:snapToGrid w:val="0"/>
                    <w:spacing w:beforeAutospacing="0" w:afterAutospacing="0" w:line="360" w:lineRule="exact"/>
                    <w:ind w:firstLine="0"/>
                    <w:jc w:val="left"/>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深度加氢精制物和添加剂的混合物</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外观与性状：琥珀色，室温下液体：气味：矿物油特性；初沸点及沸程：估计值，&gt;280°C/536°F；闪点：典型，216°C/421°F</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COC</w:t>
                  </w:r>
                  <w:r>
                    <w:rPr>
                      <w:rStyle w:val="84"/>
                      <w:rFonts w:hint="eastAsia" w:cs="Times New Roman"/>
                      <w:color w:val="auto"/>
                      <w:sz w:val="21"/>
                      <w:szCs w:val="21"/>
                      <w:lang w:eastAsia="zh-CN"/>
                    </w:rPr>
                    <w:t>）</w:t>
                  </w:r>
                  <w:r>
                    <w:rPr>
                      <w:rStyle w:val="84"/>
                      <w:rFonts w:hint="default" w:ascii="Times New Roman" w:hAnsi="Times New Roman" w:eastAsia="宋体" w:cs="Times New Roman"/>
                      <w:color w:val="auto"/>
                      <w:sz w:val="21"/>
                      <w:szCs w:val="21"/>
                    </w:rPr>
                    <w:t>。</w:t>
                  </w:r>
                </w:p>
              </w:tc>
              <w:tc>
                <w:tcPr>
                  <w:tcW w:w="322" w:type="pct"/>
                  <w:tcBorders>
                    <w:tl2br w:val="nil"/>
                    <w:tr2bl w:val="nil"/>
                  </w:tcBorders>
                  <w:shd w:val="clear" w:color="auto" w:fill="auto"/>
                  <w:tcMar>
                    <w:top w:w="0" w:type="dxa"/>
                    <w:left w:w="28" w:type="dxa"/>
                    <w:bottom w:w="0" w:type="dxa"/>
                    <w:right w:w="28" w:type="dxa"/>
                  </w:tcMar>
                  <w:vAlign w:val="center"/>
                </w:tcPr>
                <w:p w14:paraId="665515E6">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难燃</w:t>
                  </w:r>
                </w:p>
              </w:tc>
              <w:tc>
                <w:tcPr>
                  <w:tcW w:w="1028" w:type="pct"/>
                  <w:tcBorders>
                    <w:tl2br w:val="nil"/>
                    <w:tr2bl w:val="nil"/>
                  </w:tcBorders>
                  <w:shd w:val="clear" w:color="auto" w:fill="auto"/>
                  <w:tcMar>
                    <w:top w:w="0" w:type="dxa"/>
                    <w:left w:w="28" w:type="dxa"/>
                    <w:bottom w:w="0" w:type="dxa"/>
                    <w:right w:w="28" w:type="dxa"/>
                  </w:tcMar>
                  <w:vAlign w:val="center"/>
                </w:tcPr>
                <w:p w14:paraId="67B4D781">
                  <w:pPr>
                    <w:keepNext w:val="0"/>
                    <w:keepLines w:val="0"/>
                    <w:pageBreakBefore w:val="0"/>
                    <w:kinsoku/>
                    <w:overflowPunct/>
                    <w:topLinePunct w:val="0"/>
                    <w:autoSpaceDE w:val="0"/>
                    <w:autoSpaceDN w:val="0"/>
                    <w:bidi w:val="0"/>
                    <w:adjustRightInd w:val="0"/>
                    <w:snapToGrid w:val="0"/>
                    <w:spacing w:beforeAutospacing="0" w:afterAutospacing="0" w:line="360" w:lineRule="exact"/>
                    <w:ind w:firstLine="0"/>
                    <w:jc w:val="center"/>
                    <w:textAlignment w:val="auto"/>
                    <w:outlineLvl w:val="9"/>
                    <w:rPr>
                      <w:rStyle w:val="84"/>
                      <w:rFonts w:hint="default" w:ascii="Times New Roman" w:hAnsi="Times New Roman" w:eastAsia="宋体" w:cs="Times New Roman"/>
                      <w:color w:val="auto"/>
                      <w:sz w:val="21"/>
                      <w:szCs w:val="21"/>
                      <w:lang w:val="en-US" w:eastAsia="zh-CN"/>
                    </w:rPr>
                  </w:pPr>
                  <w:r>
                    <w:rPr>
                      <w:rStyle w:val="84"/>
                      <w:rFonts w:hint="default" w:ascii="Times New Roman" w:hAnsi="Times New Roman" w:eastAsia="宋体" w:cs="Times New Roman"/>
                      <w:color w:val="auto"/>
                      <w:sz w:val="21"/>
                      <w:szCs w:val="21"/>
                    </w:rPr>
                    <w:t>低毒</w:t>
                  </w:r>
                </w:p>
              </w:tc>
            </w:tr>
          </w:tbl>
          <w:p w14:paraId="38AE8000">
            <w:pPr>
              <w:keepNext w:val="0"/>
              <w:keepLines w:val="0"/>
              <w:pageBreakBefore w:val="0"/>
              <w:widowControl w:val="0"/>
              <w:kinsoku/>
              <w:wordWrap/>
              <w:overflowPunct/>
              <w:topLinePunct w:val="0"/>
              <w:autoSpaceDE/>
              <w:autoSpaceDN/>
              <w:bidi w:val="0"/>
              <w:adjustRightInd/>
              <w:snapToGrid/>
              <w:spacing w:line="400" w:lineRule="exact"/>
              <w:ind w:left="0" w:firstLine="0" w:firstLineChars="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val="0"/>
                <w:bCs w:val="0"/>
                <w:color w:val="auto"/>
                <w:sz w:val="21"/>
                <w:szCs w:val="21"/>
                <w:lang w:val="en-US" w:eastAsia="zh-CN"/>
              </w:rPr>
              <w:t>说明：水性双组份聚氨酯清漆和水性双组份聚氨酯黑漆用于调配涂料。</w:t>
            </w:r>
          </w:p>
          <w:p w14:paraId="15999287">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5.</w:t>
            </w:r>
            <w:r>
              <w:rPr>
                <w:rFonts w:hint="default" w:ascii="Times New Roman" w:hAnsi="Times New Roman" w:eastAsia="宋体" w:cs="Times New Roman"/>
                <w:b/>
                <w:bCs/>
                <w:color w:val="auto"/>
                <w:sz w:val="22"/>
                <w:szCs w:val="22"/>
                <w:lang w:val="en-US" w:eastAsia="zh-CN"/>
              </w:rPr>
              <w:t>主要生产设备</w:t>
            </w:r>
          </w:p>
          <w:p w14:paraId="0B00B6B6">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textAlignment w:val="auto"/>
              <w:outlineLvl w:val="9"/>
              <w:rPr>
                <w:rFonts w:hint="default" w:ascii="Times New Roman" w:hAnsi="Times New Roman" w:eastAsia="宋体" w:cs="Times New Roman"/>
                <w:b w:val="0"/>
                <w:bCs w:val="0"/>
                <w:color w:val="auto"/>
                <w:sz w:val="22"/>
                <w:szCs w:val="22"/>
              </w:rPr>
            </w:pPr>
            <w:r>
              <w:rPr>
                <w:rFonts w:hint="default" w:ascii="Times New Roman" w:hAnsi="Times New Roman" w:eastAsia="宋体" w:cs="Times New Roman"/>
                <w:b w:val="0"/>
                <w:bCs w:val="0"/>
                <w:color w:val="auto"/>
                <w:sz w:val="22"/>
                <w:szCs w:val="22"/>
              </w:rPr>
              <w:t>建设项目主要设备见</w:t>
            </w:r>
            <w:r>
              <w:rPr>
                <w:rFonts w:hint="eastAsia" w:ascii="Times New Roman" w:hAnsi="Times New Roman" w:eastAsia="宋体" w:cs="Times New Roman"/>
                <w:b w:val="0"/>
                <w:bCs w:val="0"/>
                <w:color w:val="auto"/>
                <w:sz w:val="22"/>
                <w:szCs w:val="22"/>
                <w:lang w:eastAsia="zh-CN"/>
              </w:rPr>
              <w:t>下</w:t>
            </w:r>
            <w:r>
              <w:rPr>
                <w:rFonts w:hint="default" w:ascii="Times New Roman" w:hAnsi="Times New Roman" w:eastAsia="宋体" w:cs="Times New Roman"/>
                <w:b w:val="0"/>
                <w:bCs w:val="0"/>
                <w:color w:val="auto"/>
                <w:sz w:val="22"/>
                <w:szCs w:val="22"/>
              </w:rPr>
              <w:t>表。</w:t>
            </w:r>
          </w:p>
          <w:p w14:paraId="3120BD00">
            <w:pPr>
              <w:keepNext w:val="0"/>
              <w:keepLines w:val="0"/>
              <w:pageBreakBefore w:val="0"/>
              <w:widowControl w:val="0"/>
              <w:kinsoku/>
              <w:wordWrap/>
              <w:overflowPunct/>
              <w:topLinePunct w:val="0"/>
              <w:autoSpaceDE/>
              <w:autoSpaceDN/>
              <w:bidi w:val="0"/>
              <w:adjustRightInd/>
              <w:snapToGrid/>
              <w:spacing w:line="500" w:lineRule="exact"/>
              <w:ind w:left="0"/>
              <w:jc w:val="center"/>
              <w:textAlignment w:val="auto"/>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表</w:t>
            </w:r>
            <w:r>
              <w:rPr>
                <w:rFonts w:hint="default" w:ascii="Times New Roman" w:hAnsi="Times New Roman" w:eastAsia="宋体" w:cs="Times New Roman"/>
                <w:b/>
                <w:bCs/>
                <w:color w:val="auto"/>
                <w:sz w:val="22"/>
                <w:szCs w:val="22"/>
                <w:lang w:val="en-US" w:eastAsia="zh-CN"/>
              </w:rPr>
              <w:t>2-</w:t>
            </w:r>
            <w:r>
              <w:rPr>
                <w:rFonts w:hint="eastAsia" w:cs="Times New Roman"/>
                <w:b/>
                <w:bCs/>
                <w:color w:val="auto"/>
                <w:sz w:val="22"/>
                <w:szCs w:val="22"/>
                <w:lang w:val="en-US" w:eastAsia="zh-CN"/>
              </w:rPr>
              <w:t>6</w:t>
            </w:r>
            <w:r>
              <w:rPr>
                <w:rFonts w:hint="default"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rPr>
              <w:t>建设项目主要设备一览表</w:t>
            </w:r>
          </w:p>
          <w:tbl>
            <w:tblPr>
              <w:tblStyle w:val="43"/>
              <w:tblW w:w="498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812"/>
              <w:gridCol w:w="2000"/>
              <w:gridCol w:w="1646"/>
              <w:gridCol w:w="1186"/>
              <w:gridCol w:w="1075"/>
              <w:gridCol w:w="1125"/>
              <w:gridCol w:w="1154"/>
            </w:tblGrid>
            <w:tr w14:paraId="7CF3D02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vMerge w:val="restart"/>
                  <w:noWrap w:val="0"/>
                  <w:vAlign w:val="center"/>
                </w:tcPr>
                <w:p w14:paraId="72227785">
                  <w:pPr>
                    <w:keepNext w:val="0"/>
                    <w:keepLines w:val="0"/>
                    <w:pageBreakBefore w:val="0"/>
                    <w:widowControl w:val="0"/>
                    <w:kinsoku/>
                    <w:wordWrap w:val="0"/>
                    <w:overflowPunct/>
                    <w:topLinePunct w:val="0"/>
                    <w:autoSpaceDE w:val="0"/>
                    <w:autoSpaceDN w:val="0"/>
                    <w:bidi w:val="0"/>
                    <w:snapToGrid/>
                    <w:spacing w:line="360" w:lineRule="exact"/>
                    <w:ind w:left="0"/>
                    <w:jc w:val="both"/>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序号</w:t>
                  </w:r>
                </w:p>
              </w:tc>
              <w:tc>
                <w:tcPr>
                  <w:tcW w:w="1111" w:type="pct"/>
                  <w:vMerge w:val="restart"/>
                  <w:noWrap w:val="0"/>
                  <w:vAlign w:val="center"/>
                </w:tcPr>
                <w:p w14:paraId="57BB8E3B">
                  <w:pPr>
                    <w:keepNext w:val="0"/>
                    <w:keepLines w:val="0"/>
                    <w:pageBreakBefore w:val="0"/>
                    <w:widowControl w:val="0"/>
                    <w:kinsoku/>
                    <w:wordWrap w:val="0"/>
                    <w:overflowPunct/>
                    <w:topLinePunct w:val="0"/>
                    <w:autoSpaceDE w:val="0"/>
                    <w:autoSpaceDN w:val="0"/>
                    <w:bidi w:val="0"/>
                    <w:snapToGrid/>
                    <w:spacing w:line="360" w:lineRule="exact"/>
                    <w:ind w:left="0" w:firstLine="103" w:firstLineChars="49"/>
                    <w:jc w:val="center"/>
                    <w:textAlignment w:val="auto"/>
                    <w:outlineLvl w:val="9"/>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名称</w:t>
                  </w:r>
                </w:p>
              </w:tc>
              <w:tc>
                <w:tcPr>
                  <w:tcW w:w="914" w:type="pct"/>
                  <w:vMerge w:val="restart"/>
                  <w:noWrap w:val="0"/>
                  <w:vAlign w:val="center"/>
                </w:tcPr>
                <w:p w14:paraId="4B74A471">
                  <w:pPr>
                    <w:keepNext w:val="0"/>
                    <w:keepLines w:val="0"/>
                    <w:pageBreakBefore w:val="0"/>
                    <w:widowControl w:val="0"/>
                    <w:kinsoku/>
                    <w:wordWrap w:val="0"/>
                    <w:overflowPunct/>
                    <w:topLinePunct w:val="0"/>
                    <w:autoSpaceDE w:val="0"/>
                    <w:autoSpaceDN w:val="0"/>
                    <w:bidi w:val="0"/>
                    <w:snapToGrid/>
                    <w:spacing w:line="360" w:lineRule="exact"/>
                    <w:ind w:left="0" w:firstLine="103" w:firstLineChars="49"/>
                    <w:jc w:val="center"/>
                    <w:textAlignment w:val="auto"/>
                    <w:outlineLvl w:val="9"/>
                    <w:rPr>
                      <w:rFonts w:hint="default" w:ascii="Times New Roman" w:hAnsi="Times New Roman" w:eastAsia="宋体" w:cs="Times New Roman"/>
                      <w:b/>
                      <w:bCs/>
                      <w:color w:val="auto"/>
                      <w:w w:val="100"/>
                      <w:sz w:val="21"/>
                      <w:szCs w:val="21"/>
                      <w:lang w:val="en-US" w:eastAsia="zh-CN" w:bidi="ar-SA"/>
                    </w:rPr>
                  </w:pPr>
                  <w:r>
                    <w:rPr>
                      <w:rFonts w:hint="default" w:ascii="Times New Roman" w:hAnsi="Times New Roman" w:eastAsia="宋体" w:cs="Times New Roman"/>
                      <w:b/>
                      <w:bCs/>
                      <w:color w:val="auto"/>
                      <w:w w:val="100"/>
                      <w:sz w:val="21"/>
                      <w:szCs w:val="21"/>
                      <w:lang w:eastAsia="zh-CN"/>
                    </w:rPr>
                    <w:t>型号</w:t>
                  </w:r>
                  <w:r>
                    <w:rPr>
                      <w:rFonts w:hint="default" w:ascii="Times New Roman" w:hAnsi="Times New Roman" w:eastAsia="宋体" w:cs="Times New Roman"/>
                      <w:b/>
                      <w:bCs/>
                      <w:color w:val="auto"/>
                      <w:w w:val="100"/>
                      <w:sz w:val="21"/>
                      <w:szCs w:val="21"/>
                      <w:lang w:val="en-US" w:eastAsia="zh-CN"/>
                    </w:rPr>
                    <w:t>/规格</w:t>
                  </w:r>
                </w:p>
              </w:tc>
              <w:tc>
                <w:tcPr>
                  <w:tcW w:w="2522" w:type="pct"/>
                  <w:gridSpan w:val="4"/>
                  <w:noWrap w:val="0"/>
                  <w:vAlign w:val="center"/>
                </w:tcPr>
                <w:p w14:paraId="7AA752A6">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val="en-US" w:eastAsia="zh-CN"/>
                    </w:rPr>
                  </w:pPr>
                  <w:r>
                    <w:rPr>
                      <w:rFonts w:hint="default" w:ascii="Times New Roman" w:hAnsi="Times New Roman" w:eastAsia="宋体" w:cs="Times New Roman"/>
                      <w:b/>
                      <w:bCs/>
                      <w:color w:val="auto"/>
                      <w:w w:val="100"/>
                      <w:sz w:val="21"/>
                      <w:szCs w:val="21"/>
                    </w:rPr>
                    <w:t>数量</w:t>
                  </w:r>
                  <w:r>
                    <w:rPr>
                      <w:rFonts w:hint="eastAsia" w:cs="Times New Roman"/>
                      <w:b/>
                      <w:bCs/>
                      <w:color w:val="auto"/>
                      <w:w w:val="100"/>
                      <w:sz w:val="21"/>
                      <w:szCs w:val="21"/>
                      <w:lang w:val="en-US" w:eastAsia="zh-CN"/>
                    </w:rPr>
                    <w:t>（</w:t>
                  </w:r>
                  <w:r>
                    <w:rPr>
                      <w:rFonts w:hint="default" w:ascii="Times New Roman" w:hAnsi="Times New Roman" w:eastAsia="宋体" w:cs="Times New Roman"/>
                      <w:b/>
                      <w:bCs/>
                      <w:color w:val="auto"/>
                      <w:w w:val="100"/>
                      <w:sz w:val="21"/>
                      <w:szCs w:val="21"/>
                      <w:lang w:val="en-US" w:eastAsia="zh-CN"/>
                    </w:rPr>
                    <w:t>台/套</w:t>
                  </w:r>
                  <w:r>
                    <w:rPr>
                      <w:rFonts w:hint="eastAsia" w:cs="Times New Roman"/>
                      <w:b/>
                      <w:bCs/>
                      <w:color w:val="auto"/>
                      <w:w w:val="100"/>
                      <w:sz w:val="21"/>
                      <w:szCs w:val="21"/>
                      <w:lang w:val="en-US" w:eastAsia="zh-CN"/>
                    </w:rPr>
                    <w:t>）</w:t>
                  </w:r>
                </w:p>
              </w:tc>
            </w:tr>
            <w:tr w14:paraId="2511D55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vMerge w:val="continue"/>
                  <w:noWrap w:val="0"/>
                  <w:vAlign w:val="center"/>
                </w:tcPr>
                <w:p w14:paraId="298D6634">
                  <w:pPr>
                    <w:keepNext w:val="0"/>
                    <w:keepLines w:val="0"/>
                    <w:pageBreakBefore w:val="0"/>
                    <w:widowControl w:val="0"/>
                    <w:kinsoku/>
                    <w:wordWrap w:val="0"/>
                    <w:overflowPunct/>
                    <w:topLinePunct w:val="0"/>
                    <w:autoSpaceDE w:val="0"/>
                    <w:autoSpaceDN w:val="0"/>
                    <w:bidi w:val="0"/>
                    <w:snapToGrid/>
                    <w:spacing w:line="360" w:lineRule="exact"/>
                    <w:ind w:left="0"/>
                    <w:jc w:val="both"/>
                    <w:textAlignment w:val="auto"/>
                    <w:outlineLvl w:val="9"/>
                    <w:rPr>
                      <w:rFonts w:hint="default" w:ascii="Times New Roman" w:hAnsi="Times New Roman" w:eastAsia="宋体" w:cs="Times New Roman"/>
                      <w:b/>
                      <w:bCs/>
                      <w:color w:val="auto"/>
                      <w:w w:val="100"/>
                      <w:sz w:val="21"/>
                      <w:szCs w:val="21"/>
                    </w:rPr>
                  </w:pPr>
                </w:p>
              </w:tc>
              <w:tc>
                <w:tcPr>
                  <w:tcW w:w="1111" w:type="pct"/>
                  <w:vMerge w:val="continue"/>
                  <w:noWrap w:val="0"/>
                  <w:vAlign w:val="center"/>
                </w:tcPr>
                <w:p w14:paraId="69DC1EF4">
                  <w:pPr>
                    <w:keepNext w:val="0"/>
                    <w:keepLines w:val="0"/>
                    <w:pageBreakBefore w:val="0"/>
                    <w:widowControl w:val="0"/>
                    <w:kinsoku/>
                    <w:wordWrap w:val="0"/>
                    <w:overflowPunct/>
                    <w:topLinePunct w:val="0"/>
                    <w:autoSpaceDE w:val="0"/>
                    <w:autoSpaceDN w:val="0"/>
                    <w:bidi w:val="0"/>
                    <w:snapToGrid/>
                    <w:spacing w:line="360" w:lineRule="exact"/>
                    <w:ind w:left="0" w:firstLine="103" w:firstLineChars="49"/>
                    <w:jc w:val="center"/>
                    <w:textAlignment w:val="auto"/>
                    <w:outlineLvl w:val="9"/>
                    <w:rPr>
                      <w:rFonts w:hint="default" w:ascii="Times New Roman" w:hAnsi="Times New Roman" w:eastAsia="宋体" w:cs="Times New Roman"/>
                      <w:b/>
                      <w:bCs/>
                      <w:color w:val="auto"/>
                      <w:w w:val="100"/>
                      <w:sz w:val="21"/>
                      <w:szCs w:val="21"/>
                    </w:rPr>
                  </w:pPr>
                </w:p>
              </w:tc>
              <w:tc>
                <w:tcPr>
                  <w:tcW w:w="914" w:type="pct"/>
                  <w:vMerge w:val="continue"/>
                  <w:noWrap w:val="0"/>
                  <w:vAlign w:val="center"/>
                </w:tcPr>
                <w:p w14:paraId="11C32B49">
                  <w:pPr>
                    <w:keepNext w:val="0"/>
                    <w:keepLines w:val="0"/>
                    <w:pageBreakBefore w:val="0"/>
                    <w:widowControl w:val="0"/>
                    <w:kinsoku/>
                    <w:wordWrap w:val="0"/>
                    <w:overflowPunct/>
                    <w:topLinePunct w:val="0"/>
                    <w:autoSpaceDE w:val="0"/>
                    <w:autoSpaceDN w:val="0"/>
                    <w:bidi w:val="0"/>
                    <w:snapToGrid/>
                    <w:spacing w:line="360" w:lineRule="exact"/>
                    <w:ind w:left="0" w:firstLine="103" w:firstLineChars="49"/>
                    <w:jc w:val="center"/>
                    <w:textAlignment w:val="auto"/>
                    <w:outlineLvl w:val="9"/>
                    <w:rPr>
                      <w:rFonts w:hint="default" w:ascii="Times New Roman" w:hAnsi="Times New Roman" w:eastAsia="宋体" w:cs="Times New Roman"/>
                      <w:b/>
                      <w:bCs/>
                      <w:color w:val="auto"/>
                      <w:w w:val="100"/>
                      <w:sz w:val="21"/>
                      <w:szCs w:val="21"/>
                      <w:lang w:eastAsia="zh-CN"/>
                    </w:rPr>
                  </w:pPr>
                </w:p>
              </w:tc>
              <w:tc>
                <w:tcPr>
                  <w:tcW w:w="659" w:type="pct"/>
                  <w:noWrap w:val="0"/>
                  <w:vAlign w:val="center"/>
                </w:tcPr>
                <w:p w14:paraId="4F136ABB">
                  <w:pPr>
                    <w:keepNext w:val="0"/>
                    <w:keepLines w:val="0"/>
                    <w:pageBreakBefore w:val="0"/>
                    <w:widowControl w:val="0"/>
                    <w:kinsoku/>
                    <w:wordWrap w:val="0"/>
                    <w:overflowPunct/>
                    <w:topLinePunct w:val="0"/>
                    <w:autoSpaceDE w:val="0"/>
                    <w:autoSpaceDN w:val="0"/>
                    <w:bidi w:val="0"/>
                    <w:snapToGrid/>
                    <w:spacing w:line="360" w:lineRule="exact"/>
                    <w:ind w:left="0" w:firstLine="0" w:firstLineChars="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现有</w:t>
                  </w:r>
                </w:p>
              </w:tc>
              <w:tc>
                <w:tcPr>
                  <w:tcW w:w="597" w:type="pct"/>
                  <w:noWrap w:val="0"/>
                  <w:vAlign w:val="center"/>
                </w:tcPr>
                <w:p w14:paraId="3F8FE8F6">
                  <w:pPr>
                    <w:keepNext w:val="0"/>
                    <w:keepLines w:val="0"/>
                    <w:pageBreakBefore w:val="0"/>
                    <w:widowControl w:val="0"/>
                    <w:kinsoku/>
                    <w:wordWrap w:val="0"/>
                    <w:overflowPunct/>
                    <w:topLinePunct w:val="0"/>
                    <w:autoSpaceDE w:val="0"/>
                    <w:autoSpaceDN w:val="0"/>
                    <w:bidi w:val="0"/>
                    <w:snapToGrid/>
                    <w:spacing w:line="360" w:lineRule="exact"/>
                    <w:ind w:left="0" w:firstLine="0" w:firstLineChars="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新增</w:t>
                  </w:r>
                </w:p>
              </w:tc>
              <w:tc>
                <w:tcPr>
                  <w:tcW w:w="625" w:type="pct"/>
                  <w:noWrap w:val="0"/>
                  <w:vAlign w:val="center"/>
                </w:tcPr>
                <w:p w14:paraId="4A5076E6">
                  <w:pPr>
                    <w:keepNext w:val="0"/>
                    <w:keepLines w:val="0"/>
                    <w:pageBreakBefore w:val="0"/>
                    <w:widowControl w:val="0"/>
                    <w:kinsoku/>
                    <w:wordWrap w:val="0"/>
                    <w:overflowPunct/>
                    <w:topLinePunct w:val="0"/>
                    <w:autoSpaceDE w:val="0"/>
                    <w:autoSpaceDN w:val="0"/>
                    <w:bidi w:val="0"/>
                    <w:snapToGrid/>
                    <w:spacing w:line="360" w:lineRule="exact"/>
                    <w:ind w:left="0" w:firstLine="0" w:firstLineChars="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淘汰</w:t>
                  </w:r>
                </w:p>
              </w:tc>
              <w:tc>
                <w:tcPr>
                  <w:tcW w:w="640" w:type="pct"/>
                  <w:noWrap w:val="0"/>
                  <w:vAlign w:val="center"/>
                </w:tcPr>
                <w:p w14:paraId="08E532F6">
                  <w:pPr>
                    <w:keepNext w:val="0"/>
                    <w:keepLines w:val="0"/>
                    <w:pageBreakBefore w:val="0"/>
                    <w:widowControl w:val="0"/>
                    <w:kinsoku/>
                    <w:wordWrap w:val="0"/>
                    <w:overflowPunct/>
                    <w:topLinePunct w:val="0"/>
                    <w:autoSpaceDE w:val="0"/>
                    <w:autoSpaceDN w:val="0"/>
                    <w:bidi w:val="0"/>
                    <w:adjustRightInd w:val="0"/>
                    <w:snapToGrid/>
                    <w:spacing w:line="360" w:lineRule="exact"/>
                    <w:ind w:left="0" w:firstLine="0" w:firstLineChars="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合计</w:t>
                  </w:r>
                </w:p>
              </w:tc>
            </w:tr>
            <w:tr w14:paraId="6F49CD5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4021CEBA">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1</w:t>
                  </w:r>
                </w:p>
              </w:tc>
              <w:tc>
                <w:tcPr>
                  <w:tcW w:w="1111" w:type="pct"/>
                  <w:shd w:val="clear" w:color="auto" w:fill="auto"/>
                  <w:noWrap w:val="0"/>
                  <w:vAlign w:val="center"/>
                </w:tcPr>
                <w:p w14:paraId="6EB6B351">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开炼</w:t>
                  </w:r>
                  <w:r>
                    <w:rPr>
                      <w:color w:val="auto"/>
                      <w:szCs w:val="21"/>
                    </w:rPr>
                    <w:t>机</w:t>
                  </w:r>
                </w:p>
              </w:tc>
              <w:tc>
                <w:tcPr>
                  <w:tcW w:w="914" w:type="pct"/>
                  <w:shd w:val="clear" w:color="auto" w:fill="auto"/>
                  <w:noWrap w:val="0"/>
                  <w:vAlign w:val="center"/>
                </w:tcPr>
                <w:p w14:paraId="3978F0EA">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color w:val="auto"/>
                      <w:szCs w:val="21"/>
                    </w:rPr>
                    <w:t>SK-400</w:t>
                  </w:r>
                </w:p>
              </w:tc>
              <w:tc>
                <w:tcPr>
                  <w:tcW w:w="659" w:type="pct"/>
                  <w:shd w:val="clear" w:color="auto" w:fill="auto"/>
                  <w:noWrap w:val="0"/>
                  <w:vAlign w:val="center"/>
                </w:tcPr>
                <w:p w14:paraId="3CAE7DD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0</w:t>
                  </w:r>
                </w:p>
              </w:tc>
              <w:tc>
                <w:tcPr>
                  <w:tcW w:w="597" w:type="pct"/>
                  <w:noWrap w:val="0"/>
                  <w:vAlign w:val="center"/>
                </w:tcPr>
                <w:p w14:paraId="70A4C8F3">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6</w:t>
                  </w:r>
                </w:p>
              </w:tc>
              <w:tc>
                <w:tcPr>
                  <w:tcW w:w="625" w:type="pct"/>
                  <w:noWrap w:val="0"/>
                  <w:vAlign w:val="center"/>
                </w:tcPr>
                <w:p w14:paraId="6A06C3ED">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w:t>
                  </w:r>
                </w:p>
              </w:tc>
              <w:tc>
                <w:tcPr>
                  <w:tcW w:w="640" w:type="pct"/>
                  <w:shd w:val="clear" w:color="auto" w:fill="auto"/>
                  <w:noWrap w:val="0"/>
                  <w:vAlign w:val="center"/>
                </w:tcPr>
                <w:p w14:paraId="0FC4B10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r>
            <w:tr w14:paraId="05587DD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0A3AE15F">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2</w:t>
                  </w:r>
                </w:p>
              </w:tc>
              <w:tc>
                <w:tcPr>
                  <w:tcW w:w="1111" w:type="pct"/>
                  <w:shd w:val="clear" w:color="auto" w:fill="auto"/>
                  <w:noWrap w:val="0"/>
                  <w:vAlign w:val="center"/>
                </w:tcPr>
                <w:p w14:paraId="0FF8E08F">
                  <w:pPr>
                    <w:wordWrap w:val="0"/>
                    <w:autoSpaceDE w:val="0"/>
                    <w:autoSpaceDN w:val="0"/>
                    <w:spacing w:line="360" w:lineRule="exact"/>
                    <w:ind w:firstLine="102" w:firstLineChars="49"/>
                    <w:jc w:val="center"/>
                    <w:rPr>
                      <w:rFonts w:hint="eastAsia"/>
                      <w:color w:val="auto"/>
                      <w:szCs w:val="21"/>
                    </w:rPr>
                  </w:pPr>
                  <w:r>
                    <w:rPr>
                      <w:rFonts w:hint="eastAsia"/>
                      <w:color w:val="auto"/>
                      <w:szCs w:val="21"/>
                    </w:rPr>
                    <w:t>密炼机</w:t>
                  </w:r>
                </w:p>
              </w:tc>
              <w:tc>
                <w:tcPr>
                  <w:tcW w:w="914" w:type="pct"/>
                  <w:shd w:val="clear" w:color="auto" w:fill="auto"/>
                  <w:noWrap w:val="0"/>
                  <w:vAlign w:val="center"/>
                </w:tcPr>
                <w:p w14:paraId="1CF77434">
                  <w:pPr>
                    <w:wordWrap w:val="0"/>
                    <w:autoSpaceDE w:val="0"/>
                    <w:autoSpaceDN w:val="0"/>
                    <w:spacing w:line="360" w:lineRule="exact"/>
                    <w:ind w:firstLine="102" w:firstLineChars="49"/>
                    <w:jc w:val="center"/>
                    <w:rPr>
                      <w:rFonts w:hint="eastAsia" w:eastAsia="宋体"/>
                      <w:color w:val="auto"/>
                      <w:szCs w:val="21"/>
                      <w:lang w:val="en-US" w:eastAsia="zh-CN"/>
                    </w:rPr>
                  </w:pPr>
                  <w:r>
                    <w:rPr>
                      <w:rFonts w:hint="eastAsia"/>
                      <w:color w:val="auto"/>
                      <w:szCs w:val="21"/>
                      <w:lang w:val="en-US" w:eastAsia="zh-CN"/>
                    </w:rPr>
                    <w:t>/</w:t>
                  </w:r>
                </w:p>
              </w:tc>
              <w:tc>
                <w:tcPr>
                  <w:tcW w:w="659" w:type="pct"/>
                  <w:shd w:val="clear" w:color="auto" w:fill="auto"/>
                  <w:noWrap w:val="0"/>
                  <w:vAlign w:val="center"/>
                </w:tcPr>
                <w:p w14:paraId="481499A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rPr>
                  </w:pPr>
                  <w:r>
                    <w:rPr>
                      <w:rFonts w:hint="eastAsia" w:cs="Times New Roman"/>
                      <w:color w:val="auto"/>
                      <w:w w:val="100"/>
                      <w:sz w:val="21"/>
                      <w:szCs w:val="21"/>
                      <w:lang w:val="en-US" w:eastAsia="zh-CN"/>
                    </w:rPr>
                    <w:t>0</w:t>
                  </w:r>
                </w:p>
              </w:tc>
              <w:tc>
                <w:tcPr>
                  <w:tcW w:w="597" w:type="pct"/>
                  <w:noWrap w:val="0"/>
                  <w:vAlign w:val="center"/>
                </w:tcPr>
                <w:p w14:paraId="27738FC5">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6</w:t>
                  </w:r>
                </w:p>
              </w:tc>
              <w:tc>
                <w:tcPr>
                  <w:tcW w:w="625" w:type="pct"/>
                  <w:noWrap w:val="0"/>
                  <w:vAlign w:val="center"/>
                </w:tcPr>
                <w:p w14:paraId="325890AC">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w:t>
                  </w:r>
                </w:p>
              </w:tc>
              <w:tc>
                <w:tcPr>
                  <w:tcW w:w="640" w:type="pct"/>
                  <w:shd w:val="clear" w:color="auto" w:fill="auto"/>
                  <w:noWrap w:val="0"/>
                  <w:vAlign w:val="center"/>
                </w:tcPr>
                <w:p w14:paraId="65568EB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r>
            <w:tr w14:paraId="30CF821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3EB28055">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rPr>
                    <w:t>3</w:t>
                  </w:r>
                </w:p>
              </w:tc>
              <w:tc>
                <w:tcPr>
                  <w:tcW w:w="1111" w:type="pct"/>
                  <w:noWrap w:val="0"/>
                  <w:vAlign w:val="center"/>
                </w:tcPr>
                <w:p w14:paraId="28577D29">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薄通机</w:t>
                  </w:r>
                </w:p>
              </w:tc>
              <w:tc>
                <w:tcPr>
                  <w:tcW w:w="914" w:type="pct"/>
                  <w:noWrap w:val="0"/>
                  <w:vAlign w:val="center"/>
                </w:tcPr>
                <w:p w14:paraId="39DECC31">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w:t>
                  </w:r>
                </w:p>
              </w:tc>
              <w:tc>
                <w:tcPr>
                  <w:tcW w:w="659" w:type="pct"/>
                  <w:shd w:val="clear" w:color="auto" w:fill="auto"/>
                  <w:noWrap w:val="0"/>
                  <w:vAlign w:val="center"/>
                </w:tcPr>
                <w:p w14:paraId="65F812E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4</w:t>
                  </w:r>
                </w:p>
              </w:tc>
              <w:tc>
                <w:tcPr>
                  <w:tcW w:w="597" w:type="pct"/>
                  <w:noWrap w:val="0"/>
                  <w:vAlign w:val="center"/>
                </w:tcPr>
                <w:p w14:paraId="133F5B8F">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highlight w:val="none"/>
                      <w:lang w:val="en-US" w:eastAsia="zh-CN" w:bidi="ar-SA"/>
                    </w:rPr>
                  </w:pPr>
                  <w:r>
                    <w:rPr>
                      <w:rFonts w:hint="eastAsia" w:cs="Times New Roman"/>
                      <w:color w:val="auto"/>
                      <w:w w:val="100"/>
                      <w:sz w:val="21"/>
                      <w:szCs w:val="21"/>
                      <w:highlight w:val="none"/>
                      <w:lang w:val="en-US" w:eastAsia="zh-CN" w:bidi="ar-SA"/>
                    </w:rPr>
                    <w:t>/</w:t>
                  </w:r>
                </w:p>
              </w:tc>
              <w:tc>
                <w:tcPr>
                  <w:tcW w:w="625" w:type="pct"/>
                  <w:noWrap w:val="0"/>
                  <w:vAlign w:val="center"/>
                </w:tcPr>
                <w:p w14:paraId="29315696">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4</w:t>
                  </w:r>
                </w:p>
              </w:tc>
              <w:tc>
                <w:tcPr>
                  <w:tcW w:w="640" w:type="pct"/>
                  <w:shd w:val="clear" w:color="auto" w:fill="auto"/>
                  <w:noWrap w:val="0"/>
                  <w:vAlign w:val="center"/>
                </w:tcPr>
                <w:p w14:paraId="2B3924A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bidi="ar-SA"/>
                    </w:rPr>
                    <w:t>0</w:t>
                  </w:r>
                </w:p>
              </w:tc>
            </w:tr>
            <w:tr w14:paraId="23554B3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607FEE01">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4</w:t>
                  </w:r>
                </w:p>
              </w:tc>
              <w:tc>
                <w:tcPr>
                  <w:tcW w:w="1111" w:type="pct"/>
                  <w:noWrap w:val="0"/>
                  <w:vAlign w:val="center"/>
                </w:tcPr>
                <w:p w14:paraId="0DADA65E">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过滤机</w:t>
                  </w:r>
                </w:p>
              </w:tc>
              <w:tc>
                <w:tcPr>
                  <w:tcW w:w="914" w:type="pct"/>
                  <w:noWrap w:val="0"/>
                  <w:vAlign w:val="center"/>
                </w:tcPr>
                <w:p w14:paraId="22F81FA2">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3F57E48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1</w:t>
                  </w:r>
                </w:p>
              </w:tc>
              <w:tc>
                <w:tcPr>
                  <w:tcW w:w="597" w:type="pct"/>
                  <w:noWrap w:val="0"/>
                  <w:vAlign w:val="center"/>
                </w:tcPr>
                <w:p w14:paraId="6026E851">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25" w:type="pct"/>
                  <w:noWrap w:val="0"/>
                  <w:vAlign w:val="center"/>
                </w:tcPr>
                <w:p w14:paraId="3A5FAC8A">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543F578">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r>
            <w:tr w14:paraId="62987FB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772178DE">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5</w:t>
                  </w:r>
                </w:p>
              </w:tc>
              <w:tc>
                <w:tcPr>
                  <w:tcW w:w="1111" w:type="pct"/>
                  <w:noWrap w:val="0"/>
                  <w:vAlign w:val="center"/>
                </w:tcPr>
                <w:p w14:paraId="7ED3DD29">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裁断机</w:t>
                  </w:r>
                </w:p>
              </w:tc>
              <w:tc>
                <w:tcPr>
                  <w:tcW w:w="914" w:type="pct"/>
                  <w:noWrap w:val="0"/>
                  <w:vAlign w:val="center"/>
                </w:tcPr>
                <w:p w14:paraId="408D910D">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6823BB3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2</w:t>
                  </w:r>
                </w:p>
              </w:tc>
              <w:tc>
                <w:tcPr>
                  <w:tcW w:w="597" w:type="pct"/>
                  <w:noWrap w:val="0"/>
                  <w:vAlign w:val="center"/>
                </w:tcPr>
                <w:p w14:paraId="4F7E7D52">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25" w:type="pct"/>
                  <w:noWrap w:val="0"/>
                  <w:vAlign w:val="center"/>
                </w:tcPr>
                <w:p w14:paraId="3501E060">
                  <w:pPr>
                    <w:keepNext w:val="0"/>
                    <w:keepLines w:val="0"/>
                    <w:pageBreakBefore w:val="0"/>
                    <w:widowControl w:val="0"/>
                    <w:kinsoku/>
                    <w:wordWrap w:val="0"/>
                    <w:overflowPunct/>
                    <w:topLinePunct w:val="0"/>
                    <w:autoSpaceDE w:val="0"/>
                    <w:autoSpaceDN w:val="0"/>
                    <w:bidi w:val="0"/>
                    <w:snapToGrid/>
                    <w:spacing w:line="360" w:lineRule="exact"/>
                    <w:ind w:left="0" w:firstLine="102" w:firstLineChars="49"/>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A5F6EE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r>
            <w:tr w14:paraId="37754BB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59D1E7AB">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6</w:t>
                  </w:r>
                </w:p>
              </w:tc>
              <w:tc>
                <w:tcPr>
                  <w:tcW w:w="1111" w:type="pct"/>
                  <w:shd w:val="clear" w:color="auto" w:fill="auto"/>
                  <w:noWrap w:val="0"/>
                  <w:vAlign w:val="center"/>
                </w:tcPr>
                <w:p w14:paraId="634CEFF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轴芯</w:t>
                  </w:r>
                  <w:r>
                    <w:rPr>
                      <w:rFonts w:hint="eastAsia" w:ascii="Times New Roman" w:hAnsi="Times New Roman" w:eastAsia="宋体" w:cs="Times New Roman"/>
                      <w:color w:val="auto"/>
                      <w:w w:val="100"/>
                      <w:sz w:val="21"/>
                      <w:szCs w:val="21"/>
                      <w:lang w:val="en-US" w:eastAsia="zh-CN"/>
                    </w:rPr>
                    <w:t>清洗</w:t>
                  </w:r>
                  <w:r>
                    <w:rPr>
                      <w:rFonts w:hint="default" w:ascii="Times New Roman" w:hAnsi="Times New Roman" w:eastAsia="宋体" w:cs="Times New Roman"/>
                      <w:color w:val="auto"/>
                      <w:w w:val="100"/>
                      <w:sz w:val="21"/>
                      <w:szCs w:val="21"/>
                      <w:lang w:val="en-US" w:eastAsia="zh-CN"/>
                    </w:rPr>
                    <w:t>机</w:t>
                  </w:r>
                </w:p>
              </w:tc>
              <w:tc>
                <w:tcPr>
                  <w:tcW w:w="914" w:type="pct"/>
                  <w:shd w:val="clear" w:color="auto" w:fill="auto"/>
                  <w:noWrap w:val="0"/>
                  <w:vAlign w:val="center"/>
                </w:tcPr>
                <w:p w14:paraId="24FDD85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HQXR2803</w:t>
                  </w:r>
                </w:p>
              </w:tc>
              <w:tc>
                <w:tcPr>
                  <w:tcW w:w="659" w:type="pct"/>
                  <w:shd w:val="clear" w:color="auto" w:fill="auto"/>
                  <w:noWrap w:val="0"/>
                  <w:vAlign w:val="center"/>
                </w:tcPr>
                <w:p w14:paraId="2F82382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3</w:t>
                  </w:r>
                </w:p>
              </w:tc>
              <w:tc>
                <w:tcPr>
                  <w:tcW w:w="597" w:type="pct"/>
                  <w:shd w:val="clear" w:color="auto" w:fill="auto"/>
                  <w:noWrap w:val="0"/>
                  <w:vAlign w:val="center"/>
                </w:tcPr>
                <w:p w14:paraId="10E8DBE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2689BFE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2</w:t>
                  </w:r>
                </w:p>
              </w:tc>
              <w:tc>
                <w:tcPr>
                  <w:tcW w:w="640" w:type="pct"/>
                  <w:shd w:val="clear" w:color="auto" w:fill="auto"/>
                  <w:noWrap w:val="0"/>
                  <w:vAlign w:val="center"/>
                </w:tcPr>
                <w:p w14:paraId="47B9C44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1</w:t>
                  </w:r>
                </w:p>
              </w:tc>
            </w:tr>
            <w:tr w14:paraId="55B5240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7B8C9D50">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7</w:t>
                  </w:r>
                </w:p>
              </w:tc>
              <w:tc>
                <w:tcPr>
                  <w:tcW w:w="1111" w:type="pct"/>
                  <w:shd w:val="clear" w:color="auto" w:fill="auto"/>
                  <w:noWrap w:val="0"/>
                  <w:vAlign w:val="center"/>
                </w:tcPr>
                <w:p w14:paraId="3B06D02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轴芯涂胶机</w:t>
                  </w:r>
                </w:p>
              </w:tc>
              <w:tc>
                <w:tcPr>
                  <w:tcW w:w="914" w:type="pct"/>
                  <w:shd w:val="clear" w:color="auto" w:fill="auto"/>
                  <w:noWrap w:val="0"/>
                  <w:vAlign w:val="center"/>
                </w:tcPr>
                <w:p w14:paraId="6CD447D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57C155F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3</w:t>
                  </w:r>
                </w:p>
              </w:tc>
              <w:tc>
                <w:tcPr>
                  <w:tcW w:w="597" w:type="pct"/>
                  <w:shd w:val="clear" w:color="auto" w:fill="auto"/>
                  <w:noWrap w:val="0"/>
                  <w:vAlign w:val="center"/>
                </w:tcPr>
                <w:p w14:paraId="08D8B6A8">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019B38C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c>
                <w:tcPr>
                  <w:tcW w:w="640" w:type="pct"/>
                  <w:shd w:val="clear" w:color="auto" w:fill="auto"/>
                  <w:noWrap w:val="0"/>
                  <w:vAlign w:val="center"/>
                </w:tcPr>
                <w:p w14:paraId="4D3E0A3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r>
            <w:tr w14:paraId="12F2F2F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73665DFC">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8</w:t>
                  </w:r>
                </w:p>
              </w:tc>
              <w:tc>
                <w:tcPr>
                  <w:tcW w:w="1111" w:type="pct"/>
                  <w:shd w:val="clear" w:color="auto" w:fill="auto"/>
                  <w:noWrap w:val="0"/>
                  <w:vAlign w:val="center"/>
                </w:tcPr>
                <w:p w14:paraId="7819BCE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挤出机</w:t>
                  </w:r>
                </w:p>
              </w:tc>
              <w:tc>
                <w:tcPr>
                  <w:tcW w:w="914" w:type="pct"/>
                  <w:shd w:val="clear" w:color="auto" w:fill="auto"/>
                  <w:noWrap w:val="0"/>
                  <w:vAlign w:val="center"/>
                </w:tcPr>
                <w:p w14:paraId="572D281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LCD-90</w:t>
                  </w:r>
                </w:p>
              </w:tc>
              <w:tc>
                <w:tcPr>
                  <w:tcW w:w="659" w:type="pct"/>
                  <w:shd w:val="clear" w:color="auto" w:fill="auto"/>
                  <w:noWrap w:val="0"/>
                  <w:vAlign w:val="center"/>
                </w:tcPr>
                <w:p w14:paraId="4DC684A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5</w:t>
                  </w:r>
                </w:p>
              </w:tc>
              <w:tc>
                <w:tcPr>
                  <w:tcW w:w="597" w:type="pct"/>
                  <w:shd w:val="clear" w:color="auto" w:fill="auto"/>
                  <w:noWrap w:val="0"/>
                  <w:vAlign w:val="center"/>
                </w:tcPr>
                <w:p w14:paraId="783CB83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c>
                <w:tcPr>
                  <w:tcW w:w="625" w:type="pct"/>
                  <w:shd w:val="clear" w:color="auto" w:fill="auto"/>
                  <w:noWrap w:val="0"/>
                  <w:vAlign w:val="center"/>
                </w:tcPr>
                <w:p w14:paraId="6F6C08C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0</w:t>
                  </w:r>
                </w:p>
              </w:tc>
              <w:tc>
                <w:tcPr>
                  <w:tcW w:w="640" w:type="pct"/>
                  <w:shd w:val="clear" w:color="auto" w:fill="auto"/>
                  <w:noWrap w:val="0"/>
                  <w:vAlign w:val="center"/>
                </w:tcPr>
                <w:p w14:paraId="531C925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r>
            <w:tr w14:paraId="1315AF4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2F9BA03A">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9</w:t>
                  </w:r>
                </w:p>
              </w:tc>
              <w:tc>
                <w:tcPr>
                  <w:tcW w:w="1111" w:type="pct"/>
                  <w:shd w:val="clear" w:color="auto" w:fill="auto"/>
                  <w:noWrap w:val="0"/>
                  <w:vAlign w:val="center"/>
                </w:tcPr>
                <w:p w14:paraId="3F30802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硫化</w:t>
                  </w:r>
                  <w:r>
                    <w:rPr>
                      <w:color w:val="auto"/>
                      <w:szCs w:val="21"/>
                    </w:rPr>
                    <w:t>罐</w:t>
                  </w:r>
                </w:p>
              </w:tc>
              <w:tc>
                <w:tcPr>
                  <w:tcW w:w="914" w:type="pct"/>
                  <w:shd w:val="clear" w:color="auto" w:fill="auto"/>
                  <w:noWrap w:val="0"/>
                  <w:vAlign w:val="center"/>
                </w:tcPr>
                <w:p w14:paraId="2E77B9D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30DA7F8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3B24D21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c>
                <w:tcPr>
                  <w:tcW w:w="625" w:type="pct"/>
                  <w:shd w:val="clear" w:color="auto" w:fill="auto"/>
                  <w:noWrap w:val="0"/>
                  <w:vAlign w:val="center"/>
                </w:tcPr>
                <w:p w14:paraId="6ED2ECE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0</w:t>
                  </w:r>
                </w:p>
              </w:tc>
              <w:tc>
                <w:tcPr>
                  <w:tcW w:w="640" w:type="pct"/>
                  <w:shd w:val="clear" w:color="auto" w:fill="auto"/>
                  <w:noWrap w:val="0"/>
                  <w:vAlign w:val="center"/>
                </w:tcPr>
                <w:p w14:paraId="666D0EB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r>
            <w:tr w14:paraId="3AF337B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47D4A4D0">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bidi="ar-SA"/>
                    </w:rPr>
                    <w:t>10</w:t>
                  </w:r>
                </w:p>
              </w:tc>
              <w:tc>
                <w:tcPr>
                  <w:tcW w:w="1111" w:type="pct"/>
                  <w:shd w:val="clear" w:color="auto" w:fill="auto"/>
                  <w:noWrap w:val="0"/>
                  <w:vAlign w:val="center"/>
                </w:tcPr>
                <w:p w14:paraId="6A26A10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蒸缸</w:t>
                  </w:r>
                  <w:r>
                    <w:rPr>
                      <w:rFonts w:hint="eastAsia" w:cs="Times New Roman"/>
                      <w:color w:val="auto"/>
                      <w:w w:val="100"/>
                      <w:sz w:val="21"/>
                      <w:szCs w:val="21"/>
                      <w:highlight w:val="none"/>
                      <w:lang w:val="en-US" w:eastAsia="zh-CN"/>
                    </w:rPr>
                    <w:t>（</w:t>
                  </w:r>
                  <w:r>
                    <w:rPr>
                      <w:rFonts w:hint="default" w:ascii="Times New Roman" w:hAnsi="Times New Roman" w:eastAsia="宋体" w:cs="Times New Roman"/>
                      <w:color w:val="auto"/>
                      <w:w w:val="100"/>
                      <w:sz w:val="21"/>
                      <w:szCs w:val="21"/>
                      <w:highlight w:val="none"/>
                      <w:lang w:val="en-US" w:eastAsia="zh-CN"/>
                    </w:rPr>
                    <w:t>加热罐</w:t>
                  </w:r>
                  <w:r>
                    <w:rPr>
                      <w:rFonts w:hint="eastAsia" w:cs="Times New Roman"/>
                      <w:color w:val="auto"/>
                      <w:w w:val="100"/>
                      <w:sz w:val="21"/>
                      <w:szCs w:val="21"/>
                      <w:highlight w:val="none"/>
                      <w:lang w:val="en-US" w:eastAsia="zh-CN"/>
                    </w:rPr>
                    <w:t>）</w:t>
                  </w:r>
                </w:p>
              </w:tc>
              <w:tc>
                <w:tcPr>
                  <w:tcW w:w="914" w:type="pct"/>
                  <w:shd w:val="clear" w:color="auto" w:fill="auto"/>
                  <w:noWrap w:val="0"/>
                  <w:vAlign w:val="center"/>
                </w:tcPr>
                <w:p w14:paraId="7244E35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w:t>
                  </w:r>
                </w:p>
              </w:tc>
              <w:tc>
                <w:tcPr>
                  <w:tcW w:w="659" w:type="pct"/>
                  <w:shd w:val="clear" w:color="auto" w:fill="auto"/>
                  <w:noWrap w:val="0"/>
                  <w:vAlign w:val="center"/>
                </w:tcPr>
                <w:p w14:paraId="7B9E2A2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2</w:t>
                  </w:r>
                </w:p>
              </w:tc>
              <w:tc>
                <w:tcPr>
                  <w:tcW w:w="597" w:type="pct"/>
                  <w:shd w:val="clear" w:color="auto" w:fill="auto"/>
                  <w:noWrap w:val="0"/>
                  <w:vAlign w:val="center"/>
                </w:tcPr>
                <w:p w14:paraId="579E51D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bidi="ar-SA"/>
                    </w:rPr>
                    <w:t>0</w:t>
                  </w:r>
                </w:p>
              </w:tc>
              <w:tc>
                <w:tcPr>
                  <w:tcW w:w="625" w:type="pct"/>
                  <w:shd w:val="clear" w:color="auto" w:fill="auto"/>
                  <w:noWrap w:val="0"/>
                  <w:vAlign w:val="center"/>
                </w:tcPr>
                <w:p w14:paraId="1E63FE8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bidi="ar-SA"/>
                    </w:rPr>
                    <w:t>2</w:t>
                  </w:r>
                </w:p>
              </w:tc>
              <w:tc>
                <w:tcPr>
                  <w:tcW w:w="640" w:type="pct"/>
                  <w:shd w:val="clear" w:color="auto" w:fill="auto"/>
                  <w:noWrap w:val="0"/>
                  <w:vAlign w:val="center"/>
                </w:tcPr>
                <w:p w14:paraId="3BD373F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bidi="ar-SA"/>
                    </w:rPr>
                    <w:t>0</w:t>
                  </w:r>
                </w:p>
              </w:tc>
            </w:tr>
            <w:tr w14:paraId="1212853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1D81B9AD">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11</w:t>
                  </w:r>
                </w:p>
              </w:tc>
              <w:tc>
                <w:tcPr>
                  <w:tcW w:w="1111" w:type="pct"/>
                  <w:shd w:val="clear" w:color="auto" w:fill="auto"/>
                  <w:noWrap w:val="0"/>
                  <w:vAlign w:val="center"/>
                </w:tcPr>
                <w:p w14:paraId="635E39C8">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导热油炉</w:t>
                  </w:r>
                </w:p>
              </w:tc>
              <w:tc>
                <w:tcPr>
                  <w:tcW w:w="914" w:type="pct"/>
                  <w:shd w:val="clear" w:color="auto" w:fill="auto"/>
                  <w:noWrap w:val="0"/>
                  <w:vAlign w:val="center"/>
                </w:tcPr>
                <w:p w14:paraId="14576BA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1595BB8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5562033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c>
                <w:tcPr>
                  <w:tcW w:w="625" w:type="pct"/>
                  <w:shd w:val="clear" w:color="auto" w:fill="auto"/>
                  <w:noWrap w:val="0"/>
                  <w:vAlign w:val="center"/>
                </w:tcPr>
                <w:p w14:paraId="7092C27A">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31BB4FD8">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r>
            <w:tr w14:paraId="4BCC402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78C0FE59">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12</w:t>
                  </w:r>
                </w:p>
              </w:tc>
              <w:tc>
                <w:tcPr>
                  <w:tcW w:w="1111" w:type="pct"/>
                  <w:shd w:val="clear" w:color="auto" w:fill="auto"/>
                  <w:noWrap w:val="0"/>
                  <w:vAlign w:val="center"/>
                </w:tcPr>
                <w:p w14:paraId="094B406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恒温烘箱</w:t>
                  </w:r>
                </w:p>
              </w:tc>
              <w:tc>
                <w:tcPr>
                  <w:tcW w:w="914" w:type="pct"/>
                  <w:shd w:val="clear" w:color="auto" w:fill="auto"/>
                  <w:noWrap w:val="0"/>
                  <w:vAlign w:val="center"/>
                </w:tcPr>
                <w:p w14:paraId="5F867E6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090176F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16</w:t>
                  </w:r>
                </w:p>
              </w:tc>
              <w:tc>
                <w:tcPr>
                  <w:tcW w:w="597" w:type="pct"/>
                  <w:shd w:val="clear" w:color="auto" w:fill="auto"/>
                  <w:noWrap w:val="0"/>
                  <w:vAlign w:val="center"/>
                </w:tcPr>
                <w:p w14:paraId="5A63340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690F8B4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c>
                <w:tcPr>
                  <w:tcW w:w="640" w:type="pct"/>
                  <w:shd w:val="clear" w:color="auto" w:fill="auto"/>
                  <w:noWrap w:val="0"/>
                  <w:vAlign w:val="center"/>
                </w:tcPr>
                <w:p w14:paraId="0192F09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10</w:t>
                  </w:r>
                </w:p>
              </w:tc>
            </w:tr>
            <w:tr w14:paraId="3661FFC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64ED092E">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13</w:t>
                  </w:r>
                </w:p>
              </w:tc>
              <w:tc>
                <w:tcPr>
                  <w:tcW w:w="1111" w:type="pct"/>
                  <w:shd w:val="clear" w:color="auto" w:fill="auto"/>
                  <w:noWrap w:val="0"/>
                  <w:vAlign w:val="center"/>
                </w:tcPr>
                <w:p w14:paraId="4ACF531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穿管机</w:t>
                  </w:r>
                </w:p>
              </w:tc>
              <w:tc>
                <w:tcPr>
                  <w:tcW w:w="914" w:type="pct"/>
                  <w:shd w:val="clear" w:color="auto" w:fill="auto"/>
                  <w:noWrap w:val="0"/>
                  <w:vAlign w:val="center"/>
                </w:tcPr>
                <w:p w14:paraId="4403DC5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p>
              </w:tc>
              <w:tc>
                <w:tcPr>
                  <w:tcW w:w="659" w:type="pct"/>
                  <w:shd w:val="clear" w:color="auto" w:fill="auto"/>
                  <w:noWrap w:val="0"/>
                  <w:vAlign w:val="center"/>
                </w:tcPr>
                <w:p w14:paraId="5A2FF01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0930428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5</w:t>
                  </w:r>
                </w:p>
              </w:tc>
              <w:tc>
                <w:tcPr>
                  <w:tcW w:w="625" w:type="pct"/>
                  <w:shd w:val="clear" w:color="auto" w:fill="auto"/>
                  <w:noWrap w:val="0"/>
                  <w:vAlign w:val="center"/>
                </w:tcPr>
                <w:p w14:paraId="4466AB8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AA5335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5</w:t>
                  </w:r>
                </w:p>
              </w:tc>
            </w:tr>
            <w:tr w14:paraId="55C23A0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0FBA2224">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14</w:t>
                  </w:r>
                </w:p>
              </w:tc>
              <w:tc>
                <w:tcPr>
                  <w:tcW w:w="1111" w:type="pct"/>
                  <w:shd w:val="clear" w:color="auto" w:fill="auto"/>
                  <w:noWrap w:val="0"/>
                  <w:vAlign w:val="center"/>
                </w:tcPr>
                <w:p w14:paraId="04BA224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切拔机</w:t>
                  </w:r>
                </w:p>
              </w:tc>
              <w:tc>
                <w:tcPr>
                  <w:tcW w:w="914" w:type="pct"/>
                  <w:shd w:val="clear" w:color="auto" w:fill="auto"/>
                  <w:noWrap w:val="0"/>
                  <w:vAlign w:val="center"/>
                </w:tcPr>
                <w:p w14:paraId="29DE0DD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5015553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12</w:t>
                  </w:r>
                </w:p>
              </w:tc>
              <w:tc>
                <w:tcPr>
                  <w:tcW w:w="597" w:type="pct"/>
                  <w:shd w:val="clear" w:color="auto" w:fill="auto"/>
                  <w:noWrap w:val="0"/>
                  <w:vAlign w:val="center"/>
                </w:tcPr>
                <w:p w14:paraId="1E4B4F8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12F67AD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5C105BE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12</w:t>
                  </w:r>
                </w:p>
              </w:tc>
            </w:tr>
            <w:tr w14:paraId="31BC73D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34635E0E">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15</w:t>
                  </w:r>
                </w:p>
              </w:tc>
              <w:tc>
                <w:tcPr>
                  <w:tcW w:w="1111" w:type="pct"/>
                  <w:shd w:val="clear" w:color="auto" w:fill="auto"/>
                  <w:noWrap w:val="0"/>
                  <w:vAlign w:val="center"/>
                </w:tcPr>
                <w:p w14:paraId="71BD14C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研磨机</w:t>
                  </w:r>
                </w:p>
              </w:tc>
              <w:tc>
                <w:tcPr>
                  <w:tcW w:w="914" w:type="pct"/>
                  <w:shd w:val="clear" w:color="auto" w:fill="auto"/>
                  <w:noWrap w:val="0"/>
                  <w:vAlign w:val="center"/>
                </w:tcPr>
                <w:p w14:paraId="0605072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5DDE060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101</w:t>
                  </w:r>
                </w:p>
              </w:tc>
              <w:tc>
                <w:tcPr>
                  <w:tcW w:w="597" w:type="pct"/>
                  <w:shd w:val="clear" w:color="auto" w:fill="auto"/>
                  <w:noWrap w:val="0"/>
                  <w:vAlign w:val="center"/>
                </w:tcPr>
                <w:p w14:paraId="08AA35E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9</w:t>
                  </w:r>
                </w:p>
              </w:tc>
              <w:tc>
                <w:tcPr>
                  <w:tcW w:w="625" w:type="pct"/>
                  <w:shd w:val="clear" w:color="auto" w:fill="auto"/>
                  <w:noWrap w:val="0"/>
                  <w:vAlign w:val="center"/>
                </w:tcPr>
                <w:p w14:paraId="0E25556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9A15BE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110</w:t>
                  </w:r>
                </w:p>
              </w:tc>
            </w:tr>
            <w:tr w14:paraId="464B9A0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7D698A4F">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16</w:t>
                  </w:r>
                </w:p>
              </w:tc>
              <w:tc>
                <w:tcPr>
                  <w:tcW w:w="1111" w:type="pct"/>
                  <w:shd w:val="clear" w:color="auto" w:fill="auto"/>
                  <w:noWrap w:val="0"/>
                  <w:vAlign w:val="center"/>
                </w:tcPr>
                <w:p w14:paraId="3974539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水洗机</w:t>
                  </w:r>
                </w:p>
              </w:tc>
              <w:tc>
                <w:tcPr>
                  <w:tcW w:w="914" w:type="pct"/>
                  <w:shd w:val="clear" w:color="auto" w:fill="auto"/>
                  <w:noWrap w:val="0"/>
                  <w:vAlign w:val="center"/>
                </w:tcPr>
                <w:p w14:paraId="19A9918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5FF6D16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2</w:t>
                  </w:r>
                </w:p>
              </w:tc>
              <w:tc>
                <w:tcPr>
                  <w:tcW w:w="597" w:type="pct"/>
                  <w:shd w:val="clear" w:color="auto" w:fill="auto"/>
                  <w:noWrap w:val="0"/>
                  <w:vAlign w:val="center"/>
                </w:tcPr>
                <w:p w14:paraId="4AC861A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c>
                <w:tcPr>
                  <w:tcW w:w="625" w:type="pct"/>
                  <w:shd w:val="clear" w:color="auto" w:fill="auto"/>
                  <w:noWrap w:val="0"/>
                  <w:vAlign w:val="center"/>
                </w:tcPr>
                <w:p w14:paraId="2B4172D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FC281C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4</w:t>
                  </w:r>
                </w:p>
              </w:tc>
            </w:tr>
            <w:tr w14:paraId="162796D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287A636C">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17</w:t>
                  </w:r>
                </w:p>
              </w:tc>
              <w:tc>
                <w:tcPr>
                  <w:tcW w:w="1111" w:type="pct"/>
                  <w:shd w:val="clear" w:color="auto" w:fill="auto"/>
                  <w:noWrap w:val="0"/>
                  <w:vAlign w:val="center"/>
                </w:tcPr>
                <w:p w14:paraId="0851A75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UV照射机</w:t>
                  </w:r>
                </w:p>
              </w:tc>
              <w:tc>
                <w:tcPr>
                  <w:tcW w:w="914" w:type="pct"/>
                  <w:shd w:val="clear" w:color="auto" w:fill="auto"/>
                  <w:noWrap w:val="0"/>
                  <w:vAlign w:val="center"/>
                </w:tcPr>
                <w:p w14:paraId="671E9B2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5EAA7B8A">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7</w:t>
                  </w:r>
                </w:p>
              </w:tc>
              <w:tc>
                <w:tcPr>
                  <w:tcW w:w="597" w:type="pct"/>
                  <w:shd w:val="clear" w:color="auto" w:fill="auto"/>
                  <w:noWrap w:val="0"/>
                  <w:vAlign w:val="center"/>
                </w:tcPr>
                <w:p w14:paraId="01C50E5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4B3A804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c>
                <w:tcPr>
                  <w:tcW w:w="640" w:type="pct"/>
                  <w:shd w:val="clear" w:color="auto" w:fill="auto"/>
                  <w:noWrap w:val="0"/>
                  <w:vAlign w:val="center"/>
                </w:tcPr>
                <w:p w14:paraId="5D84E08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8</w:t>
                  </w:r>
                </w:p>
              </w:tc>
            </w:tr>
            <w:tr w14:paraId="3E2CF50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31D476B3">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18</w:t>
                  </w:r>
                </w:p>
              </w:tc>
              <w:tc>
                <w:tcPr>
                  <w:tcW w:w="1111" w:type="pct"/>
                  <w:shd w:val="clear" w:color="auto" w:fill="auto"/>
                  <w:noWrap w:val="0"/>
                  <w:vAlign w:val="center"/>
                </w:tcPr>
                <w:p w14:paraId="6EBEE1D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喷涂机</w:t>
                  </w:r>
                </w:p>
              </w:tc>
              <w:tc>
                <w:tcPr>
                  <w:tcW w:w="914" w:type="pct"/>
                  <w:shd w:val="clear" w:color="auto" w:fill="auto"/>
                  <w:noWrap w:val="0"/>
                  <w:vAlign w:val="center"/>
                </w:tcPr>
                <w:p w14:paraId="00F9FAB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404A65C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9</w:t>
                  </w:r>
                </w:p>
              </w:tc>
              <w:tc>
                <w:tcPr>
                  <w:tcW w:w="597" w:type="pct"/>
                  <w:shd w:val="clear" w:color="auto" w:fill="auto"/>
                  <w:noWrap w:val="0"/>
                  <w:vAlign w:val="center"/>
                </w:tcPr>
                <w:p w14:paraId="514D52C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25" w:type="pct"/>
                  <w:shd w:val="clear" w:color="auto" w:fill="auto"/>
                  <w:noWrap w:val="0"/>
                  <w:vAlign w:val="center"/>
                </w:tcPr>
                <w:p w14:paraId="620A9D7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11AF843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9</w:t>
                  </w:r>
                </w:p>
              </w:tc>
            </w:tr>
            <w:tr w14:paraId="554ACE8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4FECEED2">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19</w:t>
                  </w:r>
                </w:p>
              </w:tc>
              <w:tc>
                <w:tcPr>
                  <w:tcW w:w="1111" w:type="pct"/>
                  <w:shd w:val="clear" w:color="auto" w:fill="auto"/>
                  <w:noWrap w:val="0"/>
                  <w:vAlign w:val="center"/>
                </w:tcPr>
                <w:p w14:paraId="646C91CE">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叉车</w:t>
                  </w:r>
                </w:p>
              </w:tc>
              <w:tc>
                <w:tcPr>
                  <w:tcW w:w="914" w:type="pct"/>
                  <w:shd w:val="clear" w:color="auto" w:fill="auto"/>
                  <w:noWrap w:val="0"/>
                  <w:vAlign w:val="center"/>
                </w:tcPr>
                <w:p w14:paraId="41FC981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74E9E3B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58B53BB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c>
                <w:tcPr>
                  <w:tcW w:w="625" w:type="pct"/>
                  <w:shd w:val="clear" w:color="auto" w:fill="auto"/>
                  <w:noWrap w:val="0"/>
                  <w:vAlign w:val="center"/>
                </w:tcPr>
                <w:p w14:paraId="7252102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2236374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w:t>
                  </w:r>
                </w:p>
              </w:tc>
            </w:tr>
            <w:tr w14:paraId="1D21AA2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0A076284">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20</w:t>
                  </w:r>
                </w:p>
              </w:tc>
              <w:tc>
                <w:tcPr>
                  <w:tcW w:w="1111" w:type="pct"/>
                  <w:shd w:val="clear" w:color="auto" w:fill="auto"/>
                  <w:noWrap w:val="0"/>
                  <w:vAlign w:val="center"/>
                </w:tcPr>
                <w:p w14:paraId="7862D247">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空压机（储气罐）</w:t>
                  </w:r>
                </w:p>
              </w:tc>
              <w:tc>
                <w:tcPr>
                  <w:tcW w:w="914" w:type="pct"/>
                  <w:shd w:val="clear" w:color="auto" w:fill="auto"/>
                  <w:noWrap w:val="0"/>
                  <w:vAlign w:val="center"/>
                </w:tcPr>
                <w:p w14:paraId="3A6D6A0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54EB0AB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17BF112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c>
                <w:tcPr>
                  <w:tcW w:w="625" w:type="pct"/>
                  <w:shd w:val="clear" w:color="auto" w:fill="auto"/>
                  <w:noWrap w:val="0"/>
                  <w:vAlign w:val="center"/>
                </w:tcPr>
                <w:p w14:paraId="53499E0A">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1033AA2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6</w:t>
                  </w:r>
                </w:p>
              </w:tc>
            </w:tr>
            <w:tr w14:paraId="4071F41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3376369A">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21</w:t>
                  </w:r>
                </w:p>
              </w:tc>
              <w:tc>
                <w:tcPr>
                  <w:tcW w:w="1111" w:type="pct"/>
                  <w:shd w:val="clear" w:color="auto" w:fill="auto"/>
                  <w:noWrap w:val="0"/>
                  <w:vAlign w:val="center"/>
                </w:tcPr>
                <w:p w14:paraId="4E49F183">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环保设备</w:t>
                  </w:r>
                </w:p>
              </w:tc>
              <w:tc>
                <w:tcPr>
                  <w:tcW w:w="914" w:type="pct"/>
                  <w:shd w:val="clear" w:color="auto" w:fill="auto"/>
                  <w:noWrap w:val="0"/>
                  <w:vAlign w:val="center"/>
                </w:tcPr>
                <w:p w14:paraId="090D9EC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421FCD4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7048DA9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4</w:t>
                  </w:r>
                </w:p>
              </w:tc>
              <w:tc>
                <w:tcPr>
                  <w:tcW w:w="625" w:type="pct"/>
                  <w:shd w:val="clear" w:color="auto" w:fill="auto"/>
                  <w:noWrap w:val="0"/>
                  <w:vAlign w:val="center"/>
                </w:tcPr>
                <w:p w14:paraId="01C1BBD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4F478EE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4</w:t>
                  </w:r>
                </w:p>
              </w:tc>
            </w:tr>
            <w:tr w14:paraId="166E415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4E8E20E2">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22</w:t>
                  </w:r>
                </w:p>
              </w:tc>
              <w:tc>
                <w:tcPr>
                  <w:tcW w:w="1111" w:type="pct"/>
                  <w:shd w:val="clear" w:color="auto" w:fill="auto"/>
                  <w:noWrap w:val="0"/>
                  <w:vAlign w:val="center"/>
                </w:tcPr>
                <w:p w14:paraId="6D6018C8">
                  <w:pPr>
                    <w:wordWrap w:val="0"/>
                    <w:autoSpaceDE w:val="0"/>
                    <w:autoSpaceDN w:val="0"/>
                    <w:spacing w:line="360" w:lineRule="exact"/>
                    <w:ind w:firstLine="102" w:firstLineChars="49"/>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粉尘收集器</w:t>
                  </w:r>
                </w:p>
              </w:tc>
              <w:tc>
                <w:tcPr>
                  <w:tcW w:w="914" w:type="pct"/>
                  <w:shd w:val="clear" w:color="auto" w:fill="auto"/>
                  <w:noWrap w:val="0"/>
                  <w:vAlign w:val="center"/>
                </w:tcPr>
                <w:p w14:paraId="0C4611E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659" w:type="pct"/>
                  <w:shd w:val="clear" w:color="auto" w:fill="auto"/>
                  <w:noWrap w:val="0"/>
                  <w:vAlign w:val="center"/>
                </w:tcPr>
                <w:p w14:paraId="7265C6A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2339161A">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5</w:t>
                  </w:r>
                </w:p>
              </w:tc>
              <w:tc>
                <w:tcPr>
                  <w:tcW w:w="625" w:type="pct"/>
                  <w:shd w:val="clear" w:color="auto" w:fill="auto"/>
                  <w:noWrap w:val="0"/>
                  <w:vAlign w:val="center"/>
                </w:tcPr>
                <w:p w14:paraId="011DFEF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29A28D3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5</w:t>
                  </w:r>
                </w:p>
              </w:tc>
            </w:tr>
            <w:tr w14:paraId="05094C3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0C1BB300">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23</w:t>
                  </w:r>
                </w:p>
              </w:tc>
              <w:tc>
                <w:tcPr>
                  <w:tcW w:w="1111" w:type="pct"/>
                  <w:shd w:val="clear" w:color="auto" w:fill="auto"/>
                  <w:noWrap w:val="0"/>
                  <w:vAlign w:val="center"/>
                </w:tcPr>
                <w:p w14:paraId="6B5ED36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车床</w:t>
                  </w:r>
                </w:p>
              </w:tc>
              <w:tc>
                <w:tcPr>
                  <w:tcW w:w="914" w:type="pct"/>
                  <w:shd w:val="clear" w:color="auto" w:fill="auto"/>
                  <w:noWrap w:val="0"/>
                  <w:vAlign w:val="center"/>
                </w:tcPr>
                <w:p w14:paraId="64CAFDB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7D22A5C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2D62135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c>
                <w:tcPr>
                  <w:tcW w:w="625" w:type="pct"/>
                  <w:shd w:val="clear" w:color="auto" w:fill="auto"/>
                  <w:noWrap w:val="0"/>
                  <w:vAlign w:val="center"/>
                </w:tcPr>
                <w:p w14:paraId="6F1AB01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2FDD02C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w:t>
                  </w:r>
                </w:p>
              </w:tc>
            </w:tr>
            <w:tr w14:paraId="63AE9BA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32790326">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24</w:t>
                  </w:r>
                </w:p>
              </w:tc>
              <w:tc>
                <w:tcPr>
                  <w:tcW w:w="1111" w:type="pct"/>
                  <w:shd w:val="clear" w:color="auto" w:fill="auto"/>
                  <w:noWrap w:val="0"/>
                  <w:vAlign w:val="center"/>
                </w:tcPr>
                <w:p w14:paraId="42D1BE7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成型机</w:t>
                  </w:r>
                </w:p>
              </w:tc>
              <w:tc>
                <w:tcPr>
                  <w:tcW w:w="914" w:type="pct"/>
                  <w:shd w:val="clear" w:color="auto" w:fill="auto"/>
                  <w:noWrap w:val="0"/>
                  <w:vAlign w:val="center"/>
                </w:tcPr>
                <w:p w14:paraId="054D9D5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48D4F8B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eastAsia"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1EFD06A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5</w:t>
                  </w:r>
                </w:p>
              </w:tc>
              <w:tc>
                <w:tcPr>
                  <w:tcW w:w="625" w:type="pct"/>
                  <w:shd w:val="clear" w:color="auto" w:fill="auto"/>
                  <w:noWrap w:val="0"/>
                  <w:vAlign w:val="center"/>
                </w:tcPr>
                <w:p w14:paraId="1529D17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76A6FD7D">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5</w:t>
                  </w:r>
                </w:p>
              </w:tc>
            </w:tr>
            <w:tr w14:paraId="23440F8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shd w:val="clear" w:color="auto" w:fill="auto"/>
                  <w:noWrap w:val="0"/>
                  <w:vAlign w:val="center"/>
                </w:tcPr>
                <w:p w14:paraId="1DF887D9">
                  <w:pPr>
                    <w:keepNext w:val="0"/>
                    <w:keepLines w:val="0"/>
                    <w:pageBreakBefore w:val="0"/>
                    <w:widowControl w:val="0"/>
                    <w:kinsoku/>
                    <w:wordWrap w:val="0"/>
                    <w:overflowPunct/>
                    <w:topLinePunct w:val="0"/>
                    <w:autoSpaceDE w:val="0"/>
                    <w:autoSpaceDN w:val="0"/>
                    <w:bidi w:val="0"/>
                    <w:adjustRightInd/>
                    <w:snapToGrid/>
                    <w:spacing w:line="360" w:lineRule="exact"/>
                    <w:ind w:left="0" w:leftChars="0"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25</w:t>
                  </w:r>
                </w:p>
              </w:tc>
              <w:tc>
                <w:tcPr>
                  <w:tcW w:w="1111" w:type="pct"/>
                  <w:shd w:val="clear" w:color="auto" w:fill="auto"/>
                  <w:noWrap w:val="0"/>
                  <w:vAlign w:val="center"/>
                </w:tcPr>
                <w:p w14:paraId="7BF965B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cs="Times New Roman"/>
                      <w:color w:val="auto"/>
                      <w:w w:val="100"/>
                      <w:sz w:val="21"/>
                      <w:szCs w:val="21"/>
                      <w:lang w:val="en-US" w:eastAsia="zh-CN"/>
                    </w:rPr>
                    <w:t>磨边机</w:t>
                  </w:r>
                </w:p>
              </w:tc>
              <w:tc>
                <w:tcPr>
                  <w:tcW w:w="914" w:type="pct"/>
                  <w:shd w:val="clear" w:color="auto" w:fill="auto"/>
                  <w:noWrap w:val="0"/>
                  <w:vAlign w:val="center"/>
                </w:tcPr>
                <w:p w14:paraId="3546DDE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6FF86ACC">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eastAsia"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0F571776">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3</w:t>
                  </w:r>
                </w:p>
              </w:tc>
              <w:tc>
                <w:tcPr>
                  <w:tcW w:w="625" w:type="pct"/>
                  <w:shd w:val="clear" w:color="auto" w:fill="auto"/>
                  <w:noWrap w:val="0"/>
                  <w:vAlign w:val="center"/>
                </w:tcPr>
                <w:p w14:paraId="623FE99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eastAsia"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3DF357D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3</w:t>
                  </w:r>
                </w:p>
              </w:tc>
            </w:tr>
            <w:tr w14:paraId="256EDC2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451" w:type="pct"/>
                  <w:noWrap w:val="0"/>
                  <w:vAlign w:val="center"/>
                </w:tcPr>
                <w:p w14:paraId="3DD98240">
                  <w:pPr>
                    <w:keepNext w:val="0"/>
                    <w:keepLines w:val="0"/>
                    <w:pageBreakBefore w:val="0"/>
                    <w:widowControl w:val="0"/>
                    <w:kinsoku/>
                    <w:wordWrap w:val="0"/>
                    <w:overflowPunct/>
                    <w:topLinePunct w:val="0"/>
                    <w:autoSpaceDE w:val="0"/>
                    <w:autoSpaceDN w:val="0"/>
                    <w:bidi w:val="0"/>
                    <w:adjustRightInd/>
                    <w:snapToGrid/>
                    <w:spacing w:line="360" w:lineRule="exact"/>
                    <w:ind w:left="0" w:firstLine="0" w:firstLineChars="0"/>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26</w:t>
                  </w:r>
                </w:p>
              </w:tc>
              <w:tc>
                <w:tcPr>
                  <w:tcW w:w="1111" w:type="pct"/>
                  <w:shd w:val="clear" w:color="auto" w:fill="auto"/>
                  <w:noWrap w:val="0"/>
                  <w:vAlign w:val="center"/>
                </w:tcPr>
                <w:p w14:paraId="4322C20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eastAsia" w:cs="Times New Roman"/>
                      <w:color w:val="auto"/>
                      <w:w w:val="100"/>
                      <w:sz w:val="21"/>
                      <w:szCs w:val="21"/>
                      <w:lang w:val="en-US" w:eastAsia="zh-CN"/>
                    </w:rPr>
                  </w:pPr>
                  <w:r>
                    <w:rPr>
                      <w:rFonts w:hint="eastAsia" w:cs="Times New Roman"/>
                      <w:color w:val="auto"/>
                      <w:w w:val="100"/>
                      <w:sz w:val="21"/>
                      <w:szCs w:val="21"/>
                      <w:lang w:val="en-US" w:eastAsia="zh-CN"/>
                    </w:rPr>
                    <w:t>刻字机</w:t>
                  </w:r>
                </w:p>
              </w:tc>
              <w:tc>
                <w:tcPr>
                  <w:tcW w:w="914" w:type="pct"/>
                  <w:shd w:val="clear" w:color="auto" w:fill="auto"/>
                  <w:noWrap w:val="0"/>
                  <w:vAlign w:val="center"/>
                </w:tcPr>
                <w:p w14:paraId="247D9C9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659" w:type="pct"/>
                  <w:shd w:val="clear" w:color="auto" w:fill="auto"/>
                  <w:noWrap w:val="0"/>
                  <w:vAlign w:val="center"/>
                </w:tcPr>
                <w:p w14:paraId="18663D4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eastAsia"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w:t>
                  </w:r>
                </w:p>
              </w:tc>
              <w:tc>
                <w:tcPr>
                  <w:tcW w:w="597" w:type="pct"/>
                  <w:shd w:val="clear" w:color="auto" w:fill="auto"/>
                  <w:noWrap w:val="0"/>
                  <w:vAlign w:val="center"/>
                </w:tcPr>
                <w:p w14:paraId="1D3FB05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1</w:t>
                  </w:r>
                </w:p>
              </w:tc>
              <w:tc>
                <w:tcPr>
                  <w:tcW w:w="625" w:type="pct"/>
                  <w:shd w:val="clear" w:color="auto" w:fill="auto"/>
                  <w:noWrap w:val="0"/>
                  <w:vAlign w:val="center"/>
                </w:tcPr>
                <w:p w14:paraId="2B02903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640" w:type="pct"/>
                  <w:shd w:val="clear" w:color="auto" w:fill="auto"/>
                  <w:noWrap w:val="0"/>
                  <w:vAlign w:val="center"/>
                </w:tcPr>
                <w:p w14:paraId="19FD30C4">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1</w:t>
                  </w:r>
                </w:p>
              </w:tc>
            </w:tr>
          </w:tbl>
          <w:p w14:paraId="7C935B80">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6.</w:t>
            </w:r>
            <w:r>
              <w:rPr>
                <w:rFonts w:hint="default" w:ascii="Times New Roman" w:hAnsi="Times New Roman" w:eastAsia="宋体" w:cs="Times New Roman"/>
                <w:b/>
                <w:bCs/>
                <w:color w:val="auto"/>
                <w:sz w:val="22"/>
                <w:szCs w:val="22"/>
                <w:lang w:val="en-US" w:eastAsia="zh-CN"/>
              </w:rPr>
              <w:t>劳动定员</w:t>
            </w:r>
          </w:p>
          <w:p w14:paraId="1C874E50">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w w:val="100"/>
                <w:sz w:val="22"/>
                <w:szCs w:val="22"/>
              </w:rPr>
              <w:t>本项目员工人数为</w:t>
            </w:r>
            <w:r>
              <w:rPr>
                <w:rFonts w:hint="eastAsia" w:ascii="Times New Roman" w:hAnsi="Times New Roman" w:eastAsia="宋体" w:cs="Times New Roman"/>
                <w:color w:val="auto"/>
                <w:w w:val="100"/>
                <w:sz w:val="22"/>
                <w:szCs w:val="22"/>
                <w:lang w:val="en-US" w:eastAsia="zh-CN"/>
              </w:rPr>
              <w:t>1</w:t>
            </w:r>
            <w:r>
              <w:rPr>
                <w:rFonts w:hint="default" w:ascii="Times New Roman" w:hAnsi="Times New Roman" w:eastAsia="宋体" w:cs="Times New Roman"/>
                <w:color w:val="auto"/>
                <w:w w:val="100"/>
                <w:sz w:val="22"/>
                <w:szCs w:val="22"/>
                <w:lang w:val="en-US" w:eastAsia="zh-CN"/>
              </w:rPr>
              <w:t>00</w:t>
            </w:r>
            <w:r>
              <w:rPr>
                <w:rFonts w:hint="default" w:ascii="Times New Roman" w:hAnsi="Times New Roman" w:eastAsia="宋体" w:cs="Times New Roman"/>
                <w:color w:val="auto"/>
                <w:w w:val="100"/>
                <w:sz w:val="22"/>
                <w:szCs w:val="22"/>
              </w:rPr>
              <w:t>人，均为当地居民，不提供食宿，全年生产日约</w:t>
            </w:r>
            <w:r>
              <w:rPr>
                <w:rFonts w:hint="default" w:ascii="Times New Roman" w:hAnsi="Times New Roman" w:eastAsia="宋体" w:cs="Times New Roman"/>
                <w:color w:val="auto"/>
                <w:w w:val="100"/>
                <w:sz w:val="22"/>
                <w:szCs w:val="22"/>
                <w:lang w:val="en-US" w:eastAsia="zh-CN"/>
              </w:rPr>
              <w:t>300</w:t>
            </w:r>
            <w:r>
              <w:rPr>
                <w:rFonts w:hint="default" w:ascii="Times New Roman" w:hAnsi="Times New Roman" w:eastAsia="宋体" w:cs="Times New Roman"/>
                <w:color w:val="auto"/>
                <w:w w:val="100"/>
                <w:sz w:val="22"/>
                <w:szCs w:val="22"/>
              </w:rPr>
              <w:t>天，实行两班制，每班工作</w:t>
            </w:r>
            <w:r>
              <w:rPr>
                <w:rFonts w:hint="eastAsia" w:cs="Times New Roman"/>
                <w:color w:val="auto"/>
                <w:w w:val="100"/>
                <w:sz w:val="22"/>
                <w:szCs w:val="22"/>
                <w:lang w:val="en-US" w:eastAsia="zh-CN"/>
              </w:rPr>
              <w:t>12</w:t>
            </w:r>
            <w:r>
              <w:rPr>
                <w:rFonts w:hint="default" w:ascii="Times New Roman" w:hAnsi="Times New Roman" w:eastAsia="宋体" w:cs="Times New Roman"/>
                <w:color w:val="auto"/>
                <w:w w:val="100"/>
                <w:sz w:val="22"/>
                <w:szCs w:val="22"/>
              </w:rPr>
              <w:t>h，年生产时间约为</w:t>
            </w:r>
            <w:r>
              <w:rPr>
                <w:rFonts w:hint="eastAsia" w:cs="Times New Roman"/>
                <w:color w:val="auto"/>
                <w:w w:val="100"/>
                <w:sz w:val="22"/>
                <w:szCs w:val="22"/>
                <w:lang w:val="en-US" w:eastAsia="zh-CN"/>
              </w:rPr>
              <w:t>72</w:t>
            </w:r>
            <w:r>
              <w:rPr>
                <w:rFonts w:hint="default" w:ascii="Times New Roman" w:hAnsi="Times New Roman" w:eastAsia="宋体" w:cs="Times New Roman"/>
                <w:color w:val="auto"/>
                <w:w w:val="100"/>
                <w:sz w:val="22"/>
                <w:szCs w:val="22"/>
                <w:lang w:val="en-US" w:eastAsia="zh-CN"/>
              </w:rPr>
              <w:t>0</w:t>
            </w:r>
            <w:r>
              <w:rPr>
                <w:rFonts w:hint="default" w:ascii="Times New Roman" w:hAnsi="Times New Roman" w:eastAsia="宋体" w:cs="Times New Roman"/>
                <w:color w:val="auto"/>
                <w:w w:val="100"/>
                <w:sz w:val="22"/>
                <w:szCs w:val="22"/>
              </w:rPr>
              <w:t>0h。</w:t>
            </w:r>
          </w:p>
          <w:p w14:paraId="486B801F">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ascii="Times New Roman" w:hAnsi="Times New Roman" w:eastAsia="宋体" w:cs="Times New Roman"/>
                <w:color w:val="auto"/>
                <w:sz w:val="22"/>
                <w:szCs w:val="22"/>
                <w:lang w:val="en-US" w:eastAsia="zh-CN"/>
              </w:rPr>
              <w:t>技改</w:t>
            </w:r>
            <w:r>
              <w:rPr>
                <w:rFonts w:hint="default" w:ascii="Times New Roman" w:hAnsi="Times New Roman" w:eastAsia="宋体" w:cs="Times New Roman"/>
                <w:color w:val="auto"/>
                <w:sz w:val="22"/>
                <w:szCs w:val="22"/>
                <w:lang w:val="en-US" w:eastAsia="zh-CN"/>
              </w:rPr>
              <w:t>后不新增劳动定员。</w:t>
            </w:r>
          </w:p>
          <w:p w14:paraId="68F85F4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7.</w:t>
            </w:r>
            <w:r>
              <w:rPr>
                <w:rFonts w:hint="default" w:ascii="Times New Roman" w:hAnsi="Times New Roman" w:eastAsia="宋体" w:cs="Times New Roman"/>
                <w:b/>
                <w:bCs/>
                <w:color w:val="auto"/>
                <w:sz w:val="22"/>
                <w:szCs w:val="22"/>
                <w:lang w:val="en-US" w:eastAsia="zh-CN"/>
              </w:rPr>
              <w:t>水平衡分析</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15"/>
            </w:tblGrid>
            <w:tr w14:paraId="544DF7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20" w:type="dxa"/>
                  <w:tcBorders>
                    <w:tl2br w:val="nil"/>
                    <w:tr2bl w:val="nil"/>
                  </w:tcBorders>
                </w:tcPr>
                <w:p w14:paraId="49F465B3">
                  <w:pPr>
                    <w:pStyle w:val="34"/>
                    <w:pageBreakBefore w:val="0"/>
                    <w:kinsoku/>
                    <w:overflowPunct/>
                    <w:topLinePunct w:val="0"/>
                    <w:bidi w:val="0"/>
                    <w:spacing w:line="500" w:lineRule="exact"/>
                    <w:jc w:val="center"/>
                    <w:outlineLvl w:val="9"/>
                    <w:rPr>
                      <w:rFonts w:hint="default" w:ascii="Times New Roman" w:hAnsi="Times New Roman" w:eastAsia="宋体" w:cs="Times New Roman"/>
                      <w:b/>
                      <w:bCs/>
                      <w:color w:val="auto"/>
                      <w:sz w:val="22"/>
                      <w:szCs w:val="22"/>
                      <w:vertAlign w:val="baseline"/>
                      <w:lang w:val="en-US" w:eastAsia="zh-CN"/>
                    </w:rPr>
                  </w:pPr>
                  <w:r>
                    <w:rPr>
                      <w:rFonts w:hint="default" w:ascii="Times New Roman" w:hAnsi="Times New Roman" w:eastAsia="宋体" w:cs="Times New Roman"/>
                      <w:b/>
                      <w:bCs/>
                      <w:color w:val="auto"/>
                      <w:sz w:val="22"/>
                      <w:szCs w:val="22"/>
                      <w:vertAlign w:val="baseline"/>
                      <w:lang w:val="en-US" w:eastAsia="zh-CN"/>
                    </w:rPr>
                    <w:t>图2-1  项目水平衡图  （单位：m</w:t>
                  </w:r>
                  <w:r>
                    <w:rPr>
                      <w:rFonts w:hint="default" w:ascii="Times New Roman" w:hAnsi="Times New Roman" w:eastAsia="宋体" w:cs="Times New Roman"/>
                      <w:b/>
                      <w:bCs/>
                      <w:color w:val="auto"/>
                      <w:sz w:val="22"/>
                      <w:szCs w:val="22"/>
                      <w:vertAlign w:val="superscript"/>
                      <w:lang w:val="en-US" w:eastAsia="zh-CN"/>
                    </w:rPr>
                    <w:t>3</w:t>
                  </w:r>
                  <w:r>
                    <w:rPr>
                      <w:rFonts w:hint="default" w:ascii="Times New Roman" w:hAnsi="Times New Roman" w:eastAsia="宋体" w:cs="Times New Roman"/>
                      <w:b/>
                      <w:bCs/>
                      <w:color w:val="auto"/>
                      <w:sz w:val="22"/>
                      <w:szCs w:val="22"/>
                      <w:vertAlign w:val="baseline"/>
                      <w:lang w:val="en-US" w:eastAsia="zh-CN"/>
                    </w:rPr>
                    <w:t>/a）</w:t>
                  </w:r>
                  <w:r>
                    <w:rPr>
                      <w:rFonts w:hint="default" w:ascii="Times New Roman" w:hAnsi="Times New Roman" w:eastAsia="宋体" w:cs="Times New Roman"/>
                      <w:b/>
                      <w:bCs/>
                      <w:color w:val="auto"/>
                      <w:sz w:val="22"/>
                      <w:szCs w:val="22"/>
                      <w:vertAlign w:val="baseline"/>
                      <w:lang w:val="en-US" w:eastAsia="zh-CN"/>
                    </w:rPr>
                    <w:pict>
                      <v:shape id="_x0000_s1055" o:spid="_x0000_s1055" o:spt="75" type="#_x0000_t75" style="position:absolute;left:0pt;margin-left:-5.4pt;margin-top:3.4pt;height:373.6pt;width:428.4pt;mso-wrap-distance-bottom:0pt;mso-wrap-distance-top:0pt;z-index:251662336;mso-width-relative:page;mso-height-relative:page;" o:ole="t" filled="f" o:preferrelative="t" stroked="f" coordsize="21600,21600">
                        <v:path/>
                        <v:fill on="f" focussize="0,0"/>
                        <v:stroke on="f"/>
                        <v:imagedata r:id="rId11" cropleft="8792f" croptop="617f" cropright="12972f" cropbottom="-1042f" o:title=""/>
                        <o:lock v:ext="edit" aspectratio="t"/>
                        <w10:wrap type="topAndBottom"/>
                      </v:shape>
                      <o:OLEObject Type="Embed" ProgID="Word.Document.8" ShapeID="_x0000_s1055" DrawAspect="Content" ObjectID="_1468075725" r:id="rId10">
                        <o:LockedField>false</o:LockedField>
                      </o:OLEObject>
                    </w:pict>
                  </w:r>
                </w:p>
              </w:tc>
            </w:tr>
          </w:tbl>
          <w:p w14:paraId="0E54AEDC">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left"/>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8.</w:t>
            </w:r>
            <w:r>
              <w:rPr>
                <w:rFonts w:hint="default" w:ascii="Times New Roman" w:hAnsi="Times New Roman" w:eastAsia="宋体" w:cs="Times New Roman"/>
                <w:b/>
                <w:bCs/>
                <w:color w:val="auto"/>
                <w:sz w:val="22"/>
                <w:szCs w:val="22"/>
                <w:lang w:val="en-US" w:eastAsia="zh-CN"/>
              </w:rPr>
              <w:t>项目周边情况及平面布置</w:t>
            </w:r>
          </w:p>
          <w:p w14:paraId="33C8DC84">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textAlignment w:val="auto"/>
              <w:outlineLvl w:val="9"/>
              <w:rPr>
                <w:rFonts w:hint="default" w:ascii="Times New Roman" w:hAnsi="Times New Roman" w:eastAsia="宋体" w:cs="Times New Roman"/>
                <w:color w:val="auto"/>
                <w:w w:val="100"/>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地理位置：本项目位于江苏省淮安市淮阴区徐溜镇工业集中区，地理位置见附图</w:t>
            </w:r>
            <w:r>
              <w:rPr>
                <w:rFonts w:hint="eastAsia" w:cs="Times New Roman"/>
                <w:color w:val="auto"/>
                <w:w w:val="100"/>
                <w:kern w:val="2"/>
                <w:sz w:val="22"/>
                <w:szCs w:val="22"/>
                <w:lang w:val="en-US" w:eastAsia="zh-CN" w:bidi="ar-SA"/>
              </w:rPr>
              <w:t>3</w:t>
            </w:r>
            <w:r>
              <w:rPr>
                <w:rFonts w:hint="default" w:ascii="Times New Roman" w:hAnsi="Times New Roman" w:eastAsia="宋体" w:cs="Times New Roman"/>
                <w:color w:val="auto"/>
                <w:w w:val="100"/>
                <w:kern w:val="2"/>
                <w:sz w:val="22"/>
                <w:szCs w:val="22"/>
                <w:lang w:val="en-US" w:eastAsia="zh-CN" w:bidi="ar-SA"/>
              </w:rPr>
              <w:t>。</w:t>
            </w:r>
          </w:p>
          <w:p w14:paraId="768E58FE">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w w:val="100"/>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周边关系：本项目在淮安市淮阴区徐溜镇工业集中区建设厂房，在现有土地内进行改扩建，不涉及新增用地。项目北侧为江苏众汇电气、东侧为205国道、南侧</w:t>
            </w:r>
            <w:r>
              <w:rPr>
                <w:rFonts w:hint="eastAsia" w:cs="Times New Roman"/>
                <w:color w:val="auto"/>
                <w:w w:val="100"/>
                <w:kern w:val="2"/>
                <w:sz w:val="22"/>
                <w:szCs w:val="22"/>
                <w:lang w:val="en-US" w:eastAsia="zh-CN" w:bidi="ar-SA"/>
              </w:rPr>
              <w:t>72</w:t>
            </w:r>
            <w:r>
              <w:rPr>
                <w:rFonts w:hint="default" w:ascii="Times New Roman" w:hAnsi="Times New Roman" w:eastAsia="宋体" w:cs="Times New Roman"/>
                <w:color w:val="auto"/>
                <w:w w:val="100"/>
                <w:kern w:val="2"/>
                <w:sz w:val="22"/>
                <w:szCs w:val="22"/>
                <w:lang w:val="en-US" w:eastAsia="zh-CN" w:bidi="ar-SA"/>
              </w:rPr>
              <w:t>m处有徐溜安集居民、西侧为东格铝业。项目周边</w:t>
            </w:r>
            <w:r>
              <w:rPr>
                <w:rFonts w:hint="eastAsia" w:cs="Times New Roman"/>
                <w:color w:val="auto"/>
                <w:w w:val="100"/>
                <w:kern w:val="2"/>
                <w:sz w:val="22"/>
                <w:szCs w:val="22"/>
                <w:lang w:val="en-US" w:eastAsia="zh-CN" w:bidi="ar-SA"/>
              </w:rPr>
              <w:t>5</w:t>
            </w:r>
            <w:r>
              <w:rPr>
                <w:rFonts w:hint="default" w:ascii="Times New Roman" w:hAnsi="Times New Roman" w:eastAsia="宋体" w:cs="Times New Roman"/>
                <w:color w:val="auto"/>
                <w:w w:val="100"/>
                <w:kern w:val="2"/>
                <w:sz w:val="22"/>
                <w:szCs w:val="22"/>
                <w:lang w:val="en-US" w:eastAsia="zh-CN" w:bidi="ar-SA"/>
              </w:rPr>
              <w:t>00米环境现状见</w:t>
            </w:r>
            <w:r>
              <w:rPr>
                <w:rFonts w:hint="eastAsia" w:cs="Times New Roman"/>
                <w:color w:val="auto"/>
                <w:w w:val="100"/>
                <w:kern w:val="2"/>
                <w:sz w:val="22"/>
                <w:szCs w:val="22"/>
                <w:lang w:val="en-US" w:eastAsia="zh-CN" w:bidi="ar-SA"/>
              </w:rPr>
              <w:t>附</w:t>
            </w:r>
            <w:r>
              <w:rPr>
                <w:rFonts w:hint="default" w:ascii="Times New Roman" w:hAnsi="Times New Roman" w:eastAsia="宋体" w:cs="Times New Roman"/>
                <w:color w:val="auto"/>
                <w:w w:val="100"/>
                <w:kern w:val="2"/>
                <w:sz w:val="22"/>
                <w:szCs w:val="22"/>
                <w:lang w:val="en-US" w:eastAsia="zh-CN" w:bidi="ar-SA"/>
              </w:rPr>
              <w:t>图</w:t>
            </w:r>
            <w:r>
              <w:rPr>
                <w:rFonts w:hint="eastAsia" w:cs="Times New Roman"/>
                <w:color w:val="auto"/>
                <w:w w:val="100"/>
                <w:kern w:val="2"/>
                <w:sz w:val="22"/>
                <w:szCs w:val="22"/>
                <w:lang w:val="en-US" w:eastAsia="zh-CN" w:bidi="ar-SA"/>
              </w:rPr>
              <w:t>4</w:t>
            </w:r>
            <w:r>
              <w:rPr>
                <w:rFonts w:hint="default" w:ascii="Times New Roman" w:hAnsi="Times New Roman" w:eastAsia="宋体" w:cs="Times New Roman"/>
                <w:color w:val="auto"/>
                <w:w w:val="100"/>
                <w:kern w:val="2"/>
                <w:sz w:val="22"/>
                <w:szCs w:val="22"/>
                <w:lang w:val="en-US" w:eastAsia="zh-CN" w:bidi="ar-SA"/>
              </w:rPr>
              <w:t>。</w:t>
            </w:r>
          </w:p>
          <w:p w14:paraId="5A0E5F9B">
            <w:pPr>
              <w:keepNext w:val="0"/>
              <w:keepLines w:val="0"/>
              <w:pageBreakBefore w:val="0"/>
              <w:widowControl w:val="0"/>
              <w:kinsoku/>
              <w:wordWrap/>
              <w:overflowPunct/>
              <w:topLinePunct w:val="0"/>
              <w:autoSpaceDE/>
              <w:autoSpaceDN/>
              <w:bidi w:val="0"/>
              <w:adjustRightInd/>
              <w:snapToGrid/>
              <w:spacing w:line="500" w:lineRule="exact"/>
              <w:ind w:left="0" w:leftChars="0" w:firstLine="440" w:firstLineChars="200"/>
              <w:jc w:val="left"/>
              <w:textAlignment w:val="auto"/>
              <w:outlineLvl w:val="9"/>
              <w:rPr>
                <w:rFonts w:hint="default" w:ascii="Times New Roman" w:hAnsi="Times New Roman" w:eastAsia="宋体" w:cs="Times New Roman"/>
                <w:color w:val="auto"/>
                <w:w w:val="100"/>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本项目在淮安市淮阴区徐溜镇工业集中区建设厂房，项目总占地面积28亩，建筑面积大约10668m</w:t>
            </w:r>
            <w:r>
              <w:rPr>
                <w:rFonts w:hint="default" w:ascii="Times New Roman" w:hAnsi="Times New Roman" w:eastAsia="宋体" w:cs="Times New Roman"/>
                <w:color w:val="auto"/>
                <w:w w:val="100"/>
                <w:kern w:val="2"/>
                <w:sz w:val="22"/>
                <w:szCs w:val="22"/>
                <w:vertAlign w:val="superscript"/>
                <w:lang w:val="en-US" w:eastAsia="zh-CN" w:bidi="ar-SA"/>
              </w:rPr>
              <w:t>2</w:t>
            </w:r>
            <w:r>
              <w:rPr>
                <w:rFonts w:hint="default" w:ascii="Times New Roman" w:hAnsi="Times New Roman" w:eastAsia="宋体" w:cs="Times New Roman"/>
                <w:color w:val="auto"/>
                <w:w w:val="100"/>
                <w:kern w:val="2"/>
                <w:sz w:val="22"/>
                <w:szCs w:val="22"/>
                <w:lang w:val="en-US" w:eastAsia="zh-CN" w:bidi="ar-SA"/>
              </w:rPr>
              <w:t>。厂区平面布置详见附图</w:t>
            </w:r>
            <w:r>
              <w:rPr>
                <w:rFonts w:hint="eastAsia" w:cs="Times New Roman"/>
                <w:color w:val="auto"/>
                <w:w w:val="100"/>
                <w:kern w:val="2"/>
                <w:sz w:val="22"/>
                <w:szCs w:val="22"/>
                <w:lang w:val="en-US" w:eastAsia="zh-CN" w:bidi="ar-SA"/>
              </w:rPr>
              <w:t>5</w:t>
            </w:r>
            <w:r>
              <w:rPr>
                <w:rFonts w:hint="default" w:ascii="Times New Roman" w:hAnsi="Times New Roman" w:eastAsia="宋体" w:cs="Times New Roman"/>
                <w:color w:val="auto"/>
                <w:w w:val="100"/>
                <w:kern w:val="2"/>
                <w:sz w:val="22"/>
                <w:szCs w:val="22"/>
                <w:lang w:val="en-US" w:eastAsia="zh-CN" w:bidi="ar-SA"/>
              </w:rPr>
              <w:t>。</w:t>
            </w:r>
          </w:p>
          <w:p w14:paraId="3501B45F">
            <w:pPr>
              <w:keepNext w:val="0"/>
              <w:keepLines w:val="0"/>
              <w:pageBreakBefore w:val="0"/>
              <w:widowControl w:val="0"/>
              <w:numPr>
                <w:ilvl w:val="0"/>
                <w:numId w:val="4"/>
              </w:numPr>
              <w:kinsoku/>
              <w:wordWrap/>
              <w:overflowPunct/>
              <w:topLinePunct w:val="0"/>
              <w:autoSpaceDE/>
              <w:autoSpaceDN/>
              <w:bidi w:val="0"/>
              <w:adjustRightInd/>
              <w:snapToGrid/>
              <w:spacing w:line="500" w:lineRule="exact"/>
              <w:ind w:left="0" w:firstLine="442" w:firstLineChars="200"/>
              <w:jc w:val="left"/>
              <w:textAlignment w:val="auto"/>
              <w:outlineLvl w:val="9"/>
              <w:rPr>
                <w:rFonts w:hint="eastAsia" w:ascii="Times New Roman" w:hAnsi="Times New Roman" w:eastAsia="宋体" w:cs="Times New Roman"/>
                <w:b/>
                <w:bCs/>
                <w:color w:val="auto"/>
                <w:sz w:val="22"/>
                <w:szCs w:val="22"/>
                <w:lang w:val="en-US" w:eastAsia="zh-CN"/>
              </w:rPr>
            </w:pPr>
            <w:r>
              <w:rPr>
                <w:rFonts w:hint="eastAsia" w:ascii="Times New Roman" w:hAnsi="Times New Roman" w:eastAsia="宋体" w:cs="Times New Roman"/>
                <w:b/>
                <w:bCs/>
                <w:color w:val="auto"/>
                <w:sz w:val="22"/>
                <w:szCs w:val="22"/>
                <w:lang w:val="en-US" w:eastAsia="zh-CN"/>
              </w:rPr>
              <w:t>环保设施及投资</w:t>
            </w:r>
          </w:p>
          <w:p w14:paraId="621DC372">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textAlignment w:val="auto"/>
              <w:rPr>
                <w:rFonts w:hint="default" w:ascii="Times New Roman" w:hAnsi="Times New Roman" w:eastAsia="宋体" w:cs="Times New Roman"/>
                <w:b w:val="0"/>
                <w:bCs w:val="0"/>
                <w:color w:val="auto"/>
                <w:kern w:val="2"/>
                <w:sz w:val="22"/>
                <w:szCs w:val="22"/>
                <w:lang w:val="en-US" w:eastAsia="zh-CN" w:bidi="ar-SA"/>
              </w:rPr>
            </w:pPr>
            <w:r>
              <w:rPr>
                <w:rFonts w:hint="default" w:ascii="Times New Roman" w:hAnsi="Times New Roman" w:eastAsia="宋体" w:cs="Times New Roman"/>
                <w:b w:val="0"/>
                <w:bCs w:val="0"/>
                <w:color w:val="auto"/>
                <w:kern w:val="2"/>
                <w:sz w:val="22"/>
                <w:szCs w:val="22"/>
                <w:lang w:val="en-US" w:eastAsia="zh-CN" w:bidi="ar-SA"/>
              </w:rPr>
              <w:t>本项目总投资</w:t>
            </w:r>
            <w:r>
              <w:rPr>
                <w:rFonts w:hint="eastAsia" w:ascii="Times New Roman" w:hAnsi="Times New Roman" w:eastAsia="宋体" w:cs="Times New Roman"/>
                <w:b w:val="0"/>
                <w:bCs w:val="0"/>
                <w:color w:val="auto"/>
                <w:kern w:val="2"/>
                <w:sz w:val="22"/>
                <w:szCs w:val="22"/>
                <w:lang w:val="en-US" w:eastAsia="zh-CN" w:bidi="ar-SA"/>
              </w:rPr>
              <w:t>45</w:t>
            </w:r>
            <w:r>
              <w:rPr>
                <w:rFonts w:hint="eastAsia" w:ascii="Times New Roman" w:hAnsi="Times New Roman" w:cs="Times New Roman"/>
                <w:b w:val="0"/>
                <w:bCs w:val="0"/>
                <w:color w:val="auto"/>
                <w:kern w:val="2"/>
                <w:sz w:val="22"/>
                <w:szCs w:val="22"/>
                <w:lang w:val="en-US" w:eastAsia="zh-CN" w:bidi="ar-SA"/>
              </w:rPr>
              <w:t>00</w:t>
            </w:r>
            <w:r>
              <w:rPr>
                <w:rFonts w:hint="default" w:ascii="Times New Roman" w:hAnsi="Times New Roman" w:eastAsia="宋体" w:cs="Times New Roman"/>
                <w:b w:val="0"/>
                <w:bCs w:val="0"/>
                <w:color w:val="auto"/>
                <w:kern w:val="2"/>
                <w:sz w:val="22"/>
                <w:szCs w:val="22"/>
                <w:lang w:val="en-US" w:eastAsia="zh-CN" w:bidi="ar-SA"/>
              </w:rPr>
              <w:t>万元，其中环保投资</w:t>
            </w:r>
            <w:r>
              <w:rPr>
                <w:rFonts w:hint="eastAsia" w:ascii="Times New Roman" w:hAnsi="Times New Roman" w:eastAsia="宋体" w:cs="Times New Roman"/>
                <w:b w:val="0"/>
                <w:bCs w:val="0"/>
                <w:color w:val="auto"/>
                <w:kern w:val="2"/>
                <w:sz w:val="22"/>
                <w:szCs w:val="22"/>
                <w:lang w:val="en-US" w:eastAsia="zh-CN" w:bidi="ar-SA"/>
              </w:rPr>
              <w:t>160</w:t>
            </w:r>
            <w:r>
              <w:rPr>
                <w:rFonts w:hint="default" w:ascii="Times New Roman" w:hAnsi="Times New Roman" w:eastAsia="宋体" w:cs="Times New Roman"/>
                <w:b w:val="0"/>
                <w:bCs w:val="0"/>
                <w:color w:val="auto"/>
                <w:kern w:val="2"/>
                <w:sz w:val="22"/>
                <w:szCs w:val="22"/>
                <w:lang w:val="en-US" w:eastAsia="zh-CN" w:bidi="ar-SA"/>
              </w:rPr>
              <w:t>万元，占总投资额</w:t>
            </w:r>
            <w:r>
              <w:rPr>
                <w:rFonts w:hint="eastAsia" w:ascii="Times New Roman" w:hAnsi="Times New Roman" w:eastAsia="宋体" w:cs="Times New Roman"/>
                <w:b w:val="0"/>
                <w:bCs w:val="0"/>
                <w:color w:val="auto"/>
                <w:kern w:val="2"/>
                <w:sz w:val="22"/>
                <w:szCs w:val="22"/>
                <w:lang w:val="en-US" w:eastAsia="zh-CN" w:bidi="ar-SA"/>
              </w:rPr>
              <w:t>3.56</w:t>
            </w:r>
            <w:r>
              <w:rPr>
                <w:rFonts w:hint="default" w:ascii="Times New Roman" w:hAnsi="Times New Roman" w:eastAsia="宋体" w:cs="Times New Roman"/>
                <w:b w:val="0"/>
                <w:bCs w:val="0"/>
                <w:color w:val="auto"/>
                <w:kern w:val="2"/>
                <w:sz w:val="22"/>
                <w:szCs w:val="22"/>
                <w:lang w:val="en-US" w:eastAsia="zh-CN" w:bidi="ar-SA"/>
              </w:rPr>
              <w:t>%</w:t>
            </w:r>
            <w:r>
              <w:rPr>
                <w:rFonts w:hint="eastAsia" w:ascii="Times New Roman" w:hAnsi="Times New Roman" w:cs="Times New Roman"/>
                <w:b w:val="0"/>
                <w:bCs w:val="0"/>
                <w:color w:val="auto"/>
                <w:kern w:val="2"/>
                <w:sz w:val="22"/>
                <w:szCs w:val="22"/>
                <w:lang w:val="en-US" w:eastAsia="zh-CN" w:bidi="ar-SA"/>
              </w:rPr>
              <w:t>，</w:t>
            </w:r>
            <w:r>
              <w:rPr>
                <w:rFonts w:hint="default" w:ascii="Times New Roman" w:hAnsi="Times New Roman" w:eastAsia="宋体" w:cs="Times New Roman"/>
                <w:b w:val="0"/>
                <w:bCs w:val="0"/>
                <w:color w:val="auto"/>
                <w:kern w:val="2"/>
                <w:sz w:val="22"/>
                <w:szCs w:val="22"/>
                <w:lang w:val="en-US" w:eastAsia="zh-CN" w:bidi="ar-SA"/>
              </w:rPr>
              <w:t>环保设施投资情况见</w:t>
            </w:r>
            <w:r>
              <w:rPr>
                <w:rFonts w:hint="eastAsia" w:ascii="Times New Roman" w:hAnsi="Times New Roman" w:eastAsia="宋体" w:cs="Times New Roman"/>
                <w:b w:val="0"/>
                <w:bCs w:val="0"/>
                <w:color w:val="auto"/>
                <w:kern w:val="2"/>
                <w:sz w:val="22"/>
                <w:szCs w:val="22"/>
                <w:lang w:val="en-US" w:eastAsia="zh-CN" w:bidi="ar-SA"/>
              </w:rPr>
              <w:t>下</w:t>
            </w:r>
            <w:r>
              <w:rPr>
                <w:rFonts w:hint="default" w:ascii="Times New Roman" w:hAnsi="Times New Roman" w:eastAsia="宋体" w:cs="Times New Roman"/>
                <w:b w:val="0"/>
                <w:bCs w:val="0"/>
                <w:color w:val="auto"/>
                <w:kern w:val="2"/>
                <w:sz w:val="22"/>
                <w:szCs w:val="22"/>
                <w:lang w:val="en-US" w:eastAsia="zh-CN" w:bidi="ar-SA"/>
              </w:rPr>
              <w:t>表。</w:t>
            </w:r>
          </w:p>
          <w:p w14:paraId="6F5B53BB">
            <w:pPr>
              <w:pStyle w:val="20"/>
              <w:keepNext w:val="0"/>
              <w:keepLines w:val="0"/>
              <w:pageBreakBefore w:val="0"/>
              <w:widowControl w:val="0"/>
              <w:numPr>
                <w:ilvl w:val="0"/>
                <w:numId w:val="0"/>
              </w:numPr>
              <w:kinsoku/>
              <w:wordWrap/>
              <w:overflowPunct/>
              <w:topLinePunct w:val="0"/>
              <w:autoSpaceDE/>
              <w:autoSpaceDN/>
              <w:bidi w:val="0"/>
              <w:adjustRightInd/>
              <w:snapToGrid/>
              <w:spacing w:line="500" w:lineRule="exact"/>
              <w:jc w:val="center"/>
              <w:textAlignment w:val="auto"/>
              <w:rPr>
                <w:rFonts w:hint="eastAsia" w:ascii="Times New Roman" w:hAnsi="Times New Roman" w:eastAsia="宋体" w:cs="Times New Roman"/>
                <w:b/>
                <w:bCs/>
                <w:color w:val="auto"/>
                <w:kern w:val="0"/>
                <w:sz w:val="22"/>
                <w:szCs w:val="22"/>
                <w:vertAlign w:val="baseline"/>
                <w:lang w:val="en-US" w:eastAsia="zh-CN" w:bidi="ar-SA"/>
              </w:rPr>
            </w:pPr>
            <w:r>
              <w:rPr>
                <w:rFonts w:hint="eastAsia" w:ascii="Times New Roman" w:hAnsi="Times New Roman" w:eastAsia="宋体" w:cs="Times New Roman"/>
                <w:b/>
                <w:bCs/>
                <w:color w:val="auto"/>
                <w:kern w:val="0"/>
                <w:sz w:val="22"/>
                <w:szCs w:val="22"/>
                <w:vertAlign w:val="baseline"/>
                <w:lang w:val="en-US" w:eastAsia="zh-CN" w:bidi="ar-SA"/>
              </w:rPr>
              <w:t>表2-7  环保设施及投资一览表</w:t>
            </w:r>
          </w:p>
          <w:tbl>
            <w:tblPr>
              <w:tblStyle w:val="43"/>
              <w:tblW w:w="9015" w:type="dxa"/>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0" w:type="dxa"/>
                <w:bottom w:w="0" w:type="dxa"/>
                <w:right w:w="0" w:type="dxa"/>
              </w:tblCellMar>
            </w:tblPr>
            <w:tblGrid>
              <w:gridCol w:w="3964"/>
              <w:gridCol w:w="1924"/>
              <w:gridCol w:w="1338"/>
              <w:gridCol w:w="1789"/>
            </w:tblGrid>
            <w:tr w14:paraId="3084AEA5">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tcPr>
                <w:p w14:paraId="6CE02783">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b/>
                      <w:color w:val="auto"/>
                      <w:sz w:val="21"/>
                    </w:rPr>
                  </w:pPr>
                  <w:r>
                    <w:rPr>
                      <w:b/>
                      <w:color w:val="auto"/>
                      <w:sz w:val="21"/>
                    </w:rPr>
                    <w:t>设施名称</w:t>
                  </w:r>
                </w:p>
              </w:tc>
              <w:tc>
                <w:tcPr>
                  <w:tcW w:w="1067" w:type="pct"/>
                  <w:tcBorders>
                    <w:tl2br w:val="nil"/>
                    <w:tr2bl w:val="nil"/>
                  </w:tcBorders>
                </w:tcPr>
                <w:p w14:paraId="15C30375">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b/>
                      <w:color w:val="auto"/>
                      <w:sz w:val="21"/>
                    </w:rPr>
                  </w:pPr>
                  <w:r>
                    <w:rPr>
                      <w:b/>
                      <w:color w:val="auto"/>
                      <w:sz w:val="21"/>
                    </w:rPr>
                    <w:t>用途</w:t>
                  </w:r>
                </w:p>
              </w:tc>
              <w:tc>
                <w:tcPr>
                  <w:tcW w:w="742" w:type="pct"/>
                  <w:tcBorders>
                    <w:tl2br w:val="nil"/>
                    <w:tr2bl w:val="nil"/>
                  </w:tcBorders>
                </w:tcPr>
                <w:p w14:paraId="3BD6DCB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b/>
                      <w:color w:val="auto"/>
                      <w:sz w:val="21"/>
                    </w:rPr>
                  </w:pPr>
                  <w:r>
                    <w:rPr>
                      <w:b/>
                      <w:color w:val="auto"/>
                      <w:sz w:val="21"/>
                    </w:rPr>
                    <w:t>投资（万元）</w:t>
                  </w:r>
                </w:p>
              </w:tc>
              <w:tc>
                <w:tcPr>
                  <w:tcW w:w="992" w:type="pct"/>
                  <w:tcBorders>
                    <w:tl2br w:val="nil"/>
                    <w:tr2bl w:val="nil"/>
                  </w:tcBorders>
                </w:tcPr>
                <w:p w14:paraId="4FDBE489">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b/>
                      <w:color w:val="auto"/>
                      <w:sz w:val="21"/>
                    </w:rPr>
                  </w:pPr>
                  <w:r>
                    <w:rPr>
                      <w:b/>
                      <w:color w:val="auto"/>
                      <w:sz w:val="21"/>
                    </w:rPr>
                    <w:t>备注</w:t>
                  </w:r>
                </w:p>
              </w:tc>
            </w:tr>
            <w:tr w14:paraId="35AD9DBE">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vAlign w:val="center"/>
                </w:tcPr>
                <w:p w14:paraId="292A4B3E">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lang w:val="en-US" w:eastAsia="zh-CN"/>
                    </w:rPr>
                  </w:pPr>
                  <w:r>
                    <w:rPr>
                      <w:rFonts w:hint="default" w:ascii="Times New Roman" w:hAnsi="Times New Roman" w:eastAsia="宋体" w:cs="Times New Roman"/>
                      <w:color w:val="auto"/>
                      <w:sz w:val="21"/>
                      <w:lang w:val="en-US" w:eastAsia="zh-CN"/>
                    </w:rPr>
                    <w:t>1套“</w:t>
                  </w:r>
                  <w:r>
                    <w:rPr>
                      <w:rFonts w:hint="default" w:ascii="Times New Roman" w:hAnsi="Times New Roman" w:eastAsia="宋体" w:cs="Times New Roman"/>
                      <w:color w:val="auto"/>
                      <w:w w:val="100"/>
                      <w:kern w:val="2"/>
                      <w:sz w:val="21"/>
                      <w:szCs w:val="21"/>
                      <w:lang w:val="en-US" w:eastAsia="zh-CN"/>
                    </w:rPr>
                    <w:t>布袋除尘器+二级活性炭吸附装置</w:t>
                  </w:r>
                  <w:r>
                    <w:rPr>
                      <w:rFonts w:hint="default" w:ascii="Times New Roman" w:hAnsi="Times New Roman" w:eastAsia="宋体" w:cs="Times New Roman"/>
                      <w:color w:val="auto"/>
                      <w:sz w:val="21"/>
                      <w:lang w:val="en-US" w:eastAsia="zh-CN"/>
                    </w:rPr>
                    <w:t>”</w:t>
                  </w:r>
                </w:p>
              </w:tc>
              <w:tc>
                <w:tcPr>
                  <w:tcW w:w="1067" w:type="pct"/>
                  <w:vMerge w:val="restart"/>
                  <w:tcBorders>
                    <w:tl2br w:val="nil"/>
                    <w:tr2bl w:val="nil"/>
                  </w:tcBorders>
                  <w:vAlign w:val="center"/>
                </w:tcPr>
                <w:p w14:paraId="5324978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r>
                    <w:rPr>
                      <w:rFonts w:hint="default" w:ascii="Times New Roman" w:hAnsi="Times New Roman" w:eastAsia="宋体" w:cs="Times New Roman"/>
                      <w:color w:val="auto"/>
                      <w:sz w:val="21"/>
                    </w:rPr>
                    <w:t>处理废气</w:t>
                  </w:r>
                </w:p>
              </w:tc>
              <w:tc>
                <w:tcPr>
                  <w:tcW w:w="742" w:type="pct"/>
                  <w:vMerge w:val="restart"/>
                  <w:tcBorders>
                    <w:tl2br w:val="nil"/>
                    <w:tr2bl w:val="nil"/>
                  </w:tcBorders>
                  <w:vAlign w:val="center"/>
                </w:tcPr>
                <w:p w14:paraId="63E96B11">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eastAsia="宋体"/>
                      <w:color w:val="auto"/>
                      <w:sz w:val="21"/>
                      <w:lang w:val="en-US" w:eastAsia="zh-CN"/>
                    </w:rPr>
                  </w:pPr>
                  <w:r>
                    <w:rPr>
                      <w:rFonts w:hint="eastAsia" w:ascii="Times New Roman"/>
                      <w:color w:val="auto"/>
                      <w:sz w:val="21"/>
                      <w:lang w:val="en-US" w:eastAsia="zh-CN"/>
                    </w:rPr>
                    <w:t>120</w:t>
                  </w:r>
                </w:p>
              </w:tc>
              <w:tc>
                <w:tcPr>
                  <w:tcW w:w="992" w:type="pct"/>
                  <w:tcBorders>
                    <w:tl2br w:val="nil"/>
                    <w:tr2bl w:val="nil"/>
                  </w:tcBorders>
                  <w:vAlign w:val="center"/>
                </w:tcPr>
                <w:p w14:paraId="426E1556">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w w:val="99"/>
                      <w:sz w:val="21"/>
                      <w:lang w:eastAsia="zh-CN"/>
                    </w:rPr>
                  </w:pPr>
                  <w:r>
                    <w:rPr>
                      <w:rFonts w:hint="eastAsia" w:ascii="Times New Roman"/>
                      <w:color w:val="auto"/>
                      <w:w w:val="99"/>
                      <w:sz w:val="21"/>
                      <w:lang w:eastAsia="zh-CN"/>
                    </w:rPr>
                    <w:t>现有</w:t>
                  </w:r>
                </w:p>
              </w:tc>
            </w:tr>
            <w:tr w14:paraId="574F234F">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vAlign w:val="center"/>
                </w:tcPr>
                <w:p w14:paraId="1E722F5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lang w:val="en-US" w:eastAsia="zh-CN"/>
                    </w:rPr>
                  </w:pPr>
                  <w:r>
                    <w:rPr>
                      <w:rFonts w:hint="default" w:ascii="Times New Roman" w:hAnsi="Times New Roman" w:eastAsia="宋体" w:cs="Times New Roman"/>
                      <w:color w:val="auto"/>
                      <w:sz w:val="21"/>
                      <w:lang w:val="en-US" w:eastAsia="zh-CN"/>
                    </w:rPr>
                    <w:t>1套“</w:t>
                  </w:r>
                  <w:r>
                    <w:rPr>
                      <w:rFonts w:hint="default" w:ascii="Times New Roman" w:hAnsi="Times New Roman" w:eastAsia="宋体" w:cs="Times New Roman"/>
                      <w:color w:val="auto"/>
                      <w:w w:val="100"/>
                      <w:kern w:val="2"/>
                      <w:sz w:val="21"/>
                      <w:szCs w:val="21"/>
                      <w:lang w:val="en-US" w:eastAsia="zh-CN"/>
                    </w:rPr>
                    <w:t>水喷淋+二级活性炭吸附装置</w:t>
                  </w:r>
                  <w:r>
                    <w:rPr>
                      <w:rFonts w:hint="default" w:ascii="Times New Roman" w:hAnsi="Times New Roman" w:eastAsia="宋体" w:cs="Times New Roman"/>
                      <w:color w:val="auto"/>
                      <w:sz w:val="21"/>
                      <w:lang w:val="en-US" w:eastAsia="zh-CN"/>
                    </w:rPr>
                    <w:t>”</w:t>
                  </w:r>
                </w:p>
              </w:tc>
              <w:tc>
                <w:tcPr>
                  <w:tcW w:w="1067" w:type="pct"/>
                  <w:vMerge w:val="continue"/>
                  <w:tcBorders>
                    <w:tl2br w:val="nil"/>
                    <w:tr2bl w:val="nil"/>
                  </w:tcBorders>
                  <w:vAlign w:val="center"/>
                </w:tcPr>
                <w:p w14:paraId="4B424C8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p>
              </w:tc>
              <w:tc>
                <w:tcPr>
                  <w:tcW w:w="742" w:type="pct"/>
                  <w:vMerge w:val="continue"/>
                  <w:tcBorders>
                    <w:tl2br w:val="nil"/>
                    <w:tr2bl w:val="nil"/>
                  </w:tcBorders>
                  <w:vAlign w:val="center"/>
                </w:tcPr>
                <w:p w14:paraId="08E0ED4C">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sz w:val="21"/>
                    </w:rPr>
                  </w:pPr>
                </w:p>
              </w:tc>
              <w:tc>
                <w:tcPr>
                  <w:tcW w:w="992" w:type="pct"/>
                  <w:tcBorders>
                    <w:tl2br w:val="nil"/>
                    <w:tr2bl w:val="nil"/>
                  </w:tcBorders>
                  <w:vAlign w:val="center"/>
                </w:tcPr>
                <w:p w14:paraId="322D3EF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w w:val="99"/>
                      <w:sz w:val="21"/>
                    </w:rPr>
                  </w:pPr>
                  <w:r>
                    <w:rPr>
                      <w:rFonts w:hint="eastAsia" w:ascii="Times New Roman"/>
                      <w:color w:val="auto"/>
                      <w:w w:val="99"/>
                      <w:sz w:val="21"/>
                      <w:lang w:eastAsia="zh-CN"/>
                    </w:rPr>
                    <w:t>现有</w:t>
                  </w:r>
                </w:p>
              </w:tc>
            </w:tr>
            <w:tr w14:paraId="25446E66">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vAlign w:val="center"/>
                </w:tcPr>
                <w:p w14:paraId="71B4135A">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lang w:val="en-US" w:eastAsia="zh-CN"/>
                    </w:rPr>
                  </w:pPr>
                  <w:r>
                    <w:rPr>
                      <w:rFonts w:hint="default" w:ascii="Times New Roman" w:hAnsi="Times New Roman" w:eastAsia="宋体" w:cs="Times New Roman"/>
                      <w:color w:val="auto"/>
                      <w:sz w:val="21"/>
                      <w:lang w:val="en-US" w:eastAsia="zh-CN"/>
                    </w:rPr>
                    <w:t>1套“</w:t>
                  </w:r>
                  <w:r>
                    <w:rPr>
                      <w:rFonts w:hint="default" w:ascii="Times New Roman" w:hAnsi="Times New Roman" w:eastAsia="宋体" w:cs="Times New Roman"/>
                      <w:color w:val="auto"/>
                      <w:w w:val="100"/>
                      <w:kern w:val="2"/>
                      <w:sz w:val="21"/>
                      <w:szCs w:val="21"/>
                      <w:lang w:val="en-US" w:eastAsia="zh-CN"/>
                    </w:rPr>
                    <w:t>水喷淋+活性炭吸附脱附+RCO装置</w:t>
                  </w:r>
                  <w:r>
                    <w:rPr>
                      <w:rFonts w:hint="default" w:ascii="Times New Roman" w:hAnsi="Times New Roman" w:eastAsia="宋体" w:cs="Times New Roman"/>
                      <w:color w:val="auto"/>
                      <w:sz w:val="21"/>
                      <w:lang w:val="en-US" w:eastAsia="zh-CN"/>
                    </w:rPr>
                    <w:t>”</w:t>
                  </w:r>
                </w:p>
              </w:tc>
              <w:tc>
                <w:tcPr>
                  <w:tcW w:w="1067" w:type="pct"/>
                  <w:vMerge w:val="continue"/>
                  <w:tcBorders>
                    <w:tl2br w:val="nil"/>
                    <w:tr2bl w:val="nil"/>
                  </w:tcBorders>
                  <w:vAlign w:val="center"/>
                </w:tcPr>
                <w:p w14:paraId="26584928">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p>
              </w:tc>
              <w:tc>
                <w:tcPr>
                  <w:tcW w:w="742" w:type="pct"/>
                  <w:vMerge w:val="continue"/>
                  <w:tcBorders>
                    <w:tl2br w:val="nil"/>
                    <w:tr2bl w:val="nil"/>
                  </w:tcBorders>
                  <w:vAlign w:val="center"/>
                </w:tcPr>
                <w:p w14:paraId="243FF55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sz w:val="21"/>
                    </w:rPr>
                  </w:pPr>
                </w:p>
              </w:tc>
              <w:tc>
                <w:tcPr>
                  <w:tcW w:w="992" w:type="pct"/>
                  <w:tcBorders>
                    <w:tl2br w:val="nil"/>
                    <w:tr2bl w:val="nil"/>
                  </w:tcBorders>
                  <w:vAlign w:val="center"/>
                </w:tcPr>
                <w:p w14:paraId="747BC21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w w:val="99"/>
                      <w:sz w:val="21"/>
                    </w:rPr>
                  </w:pPr>
                  <w:r>
                    <w:rPr>
                      <w:rFonts w:hint="eastAsia" w:ascii="Times New Roman"/>
                      <w:color w:val="auto"/>
                      <w:w w:val="99"/>
                      <w:sz w:val="21"/>
                      <w:lang w:eastAsia="zh-CN"/>
                    </w:rPr>
                    <w:t>现有</w:t>
                  </w:r>
                </w:p>
              </w:tc>
            </w:tr>
            <w:tr w14:paraId="29F55122">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vAlign w:val="center"/>
                </w:tcPr>
                <w:p w14:paraId="166CE164">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r>
                    <w:rPr>
                      <w:rFonts w:hint="default" w:ascii="Times New Roman" w:hAnsi="Times New Roman" w:eastAsia="宋体" w:cs="Times New Roman"/>
                      <w:color w:val="auto"/>
                      <w:sz w:val="21"/>
                      <w:lang w:val="en-US" w:eastAsia="zh-CN"/>
                    </w:rPr>
                    <w:t>1套“</w:t>
                  </w:r>
                  <w:r>
                    <w:rPr>
                      <w:rFonts w:hint="default" w:ascii="Times New Roman" w:hAnsi="Times New Roman" w:eastAsia="宋体" w:cs="Times New Roman"/>
                      <w:color w:val="auto"/>
                      <w:w w:val="100"/>
                      <w:kern w:val="2"/>
                      <w:sz w:val="21"/>
                      <w:szCs w:val="21"/>
                      <w:lang w:val="en-US" w:eastAsia="zh-CN"/>
                    </w:rPr>
                    <w:t>布袋除尘器/</w:t>
                  </w:r>
                  <w:r>
                    <w:rPr>
                      <w:rFonts w:hint="default" w:ascii="Times New Roman" w:hAnsi="Times New Roman" w:eastAsia="宋体" w:cs="Times New Roman"/>
                      <w:color w:val="auto"/>
                      <w:sz w:val="21"/>
                      <w:lang w:val="en-US" w:eastAsia="zh-CN"/>
                    </w:rPr>
                    <w:t>二</w:t>
                  </w:r>
                  <w:r>
                    <w:rPr>
                      <w:rFonts w:hint="default" w:ascii="Times New Roman" w:hAnsi="Times New Roman" w:eastAsia="宋体" w:cs="Times New Roman"/>
                      <w:color w:val="auto"/>
                      <w:sz w:val="21"/>
                    </w:rPr>
                    <w:t>级活性炭吸附装置</w:t>
                  </w:r>
                  <w:r>
                    <w:rPr>
                      <w:rFonts w:hint="default" w:ascii="Times New Roman" w:hAnsi="Times New Roman" w:eastAsia="宋体" w:cs="Times New Roman"/>
                      <w:color w:val="auto"/>
                      <w:sz w:val="21"/>
                      <w:lang w:val="en-US" w:eastAsia="zh-CN"/>
                    </w:rPr>
                    <w:t>”</w:t>
                  </w:r>
                </w:p>
              </w:tc>
              <w:tc>
                <w:tcPr>
                  <w:tcW w:w="1067" w:type="pct"/>
                  <w:vMerge w:val="continue"/>
                  <w:tcBorders>
                    <w:tl2br w:val="nil"/>
                    <w:tr2bl w:val="nil"/>
                  </w:tcBorders>
                  <w:vAlign w:val="center"/>
                </w:tcPr>
                <w:p w14:paraId="61848C9C">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p>
              </w:tc>
              <w:tc>
                <w:tcPr>
                  <w:tcW w:w="742" w:type="pct"/>
                  <w:vMerge w:val="continue"/>
                  <w:tcBorders>
                    <w:tl2br w:val="nil"/>
                    <w:tr2bl w:val="nil"/>
                  </w:tcBorders>
                  <w:vAlign w:val="center"/>
                </w:tcPr>
                <w:p w14:paraId="1078B8A8">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sz w:val="21"/>
                    </w:rPr>
                  </w:pPr>
                </w:p>
              </w:tc>
              <w:tc>
                <w:tcPr>
                  <w:tcW w:w="992" w:type="pct"/>
                  <w:tcBorders>
                    <w:tl2br w:val="nil"/>
                    <w:tr2bl w:val="nil"/>
                  </w:tcBorders>
                  <w:vAlign w:val="center"/>
                </w:tcPr>
                <w:p w14:paraId="247D4547">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1"/>
                      <w:lang w:eastAsia="zh-CN"/>
                    </w:rPr>
                  </w:pPr>
                  <w:r>
                    <w:rPr>
                      <w:rFonts w:hint="eastAsia" w:ascii="Times New Roman"/>
                      <w:color w:val="auto"/>
                      <w:sz w:val="21"/>
                      <w:lang w:eastAsia="zh-CN"/>
                    </w:rPr>
                    <w:t>新建</w:t>
                  </w:r>
                </w:p>
              </w:tc>
            </w:tr>
            <w:tr w14:paraId="37F0C7EB">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vAlign w:val="center"/>
                </w:tcPr>
                <w:p w14:paraId="31A4F028">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lang w:val="en-US" w:eastAsia="zh-CN"/>
                    </w:rPr>
                  </w:pPr>
                  <w:r>
                    <w:rPr>
                      <w:rFonts w:hint="default" w:ascii="Times New Roman" w:hAnsi="Times New Roman" w:eastAsia="宋体" w:cs="Times New Roman"/>
                      <w:color w:val="auto"/>
                      <w:sz w:val="21"/>
                      <w:lang w:val="en-US" w:eastAsia="zh-CN"/>
                    </w:rPr>
                    <w:t>5套“</w:t>
                  </w:r>
                  <w:r>
                    <w:rPr>
                      <w:rFonts w:hint="default" w:ascii="Times New Roman" w:hAnsi="Times New Roman" w:eastAsia="宋体" w:cs="Times New Roman"/>
                      <w:color w:val="auto"/>
                      <w:w w:val="100"/>
                      <w:kern w:val="2"/>
                      <w:sz w:val="21"/>
                      <w:szCs w:val="21"/>
                      <w:lang w:val="en-US" w:eastAsia="zh-CN"/>
                    </w:rPr>
                    <w:t>布袋除尘器</w:t>
                  </w:r>
                  <w:r>
                    <w:rPr>
                      <w:rFonts w:hint="default" w:ascii="Times New Roman" w:hAnsi="Times New Roman" w:eastAsia="宋体" w:cs="Times New Roman"/>
                      <w:color w:val="auto"/>
                      <w:sz w:val="21"/>
                    </w:rPr>
                    <w:t>装置</w:t>
                  </w:r>
                  <w:r>
                    <w:rPr>
                      <w:rFonts w:hint="default" w:ascii="Times New Roman" w:hAnsi="Times New Roman" w:eastAsia="宋体" w:cs="Times New Roman"/>
                      <w:color w:val="auto"/>
                      <w:sz w:val="21"/>
                      <w:lang w:val="en-US" w:eastAsia="zh-CN"/>
                    </w:rPr>
                    <w:t>”</w:t>
                  </w:r>
                </w:p>
              </w:tc>
              <w:tc>
                <w:tcPr>
                  <w:tcW w:w="1067" w:type="pct"/>
                  <w:vMerge w:val="continue"/>
                  <w:tcBorders>
                    <w:tl2br w:val="nil"/>
                    <w:tr2bl w:val="nil"/>
                  </w:tcBorders>
                  <w:vAlign w:val="center"/>
                </w:tcPr>
                <w:p w14:paraId="0B75DBE9">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hAnsi="Times New Roman" w:eastAsia="宋体" w:cs="Times New Roman"/>
                      <w:color w:val="auto"/>
                      <w:sz w:val="21"/>
                    </w:rPr>
                  </w:pPr>
                </w:p>
              </w:tc>
              <w:tc>
                <w:tcPr>
                  <w:tcW w:w="742" w:type="pct"/>
                  <w:vMerge w:val="continue"/>
                  <w:tcBorders>
                    <w:tl2br w:val="nil"/>
                    <w:tr2bl w:val="nil"/>
                  </w:tcBorders>
                  <w:vAlign w:val="center"/>
                </w:tcPr>
                <w:p w14:paraId="2C78F664">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sz w:val="21"/>
                    </w:rPr>
                  </w:pPr>
                </w:p>
              </w:tc>
              <w:tc>
                <w:tcPr>
                  <w:tcW w:w="992" w:type="pct"/>
                  <w:tcBorders>
                    <w:tl2br w:val="nil"/>
                    <w:tr2bl w:val="nil"/>
                  </w:tcBorders>
                  <w:vAlign w:val="center"/>
                </w:tcPr>
                <w:p w14:paraId="470C9756">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w w:val="99"/>
                      <w:sz w:val="21"/>
                    </w:rPr>
                  </w:pPr>
                  <w:r>
                    <w:rPr>
                      <w:rFonts w:hint="eastAsia" w:ascii="Times New Roman"/>
                      <w:color w:val="auto"/>
                      <w:w w:val="99"/>
                      <w:sz w:val="21"/>
                      <w:lang w:eastAsia="zh-CN"/>
                    </w:rPr>
                    <w:t>现有</w:t>
                  </w:r>
                </w:p>
              </w:tc>
            </w:tr>
            <w:tr w14:paraId="34DB121B">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vAlign w:val="center"/>
                </w:tcPr>
                <w:p w14:paraId="719142C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eastAsia="宋体"/>
                      <w:color w:val="auto"/>
                      <w:sz w:val="21"/>
                      <w:lang w:eastAsia="zh-CN"/>
                    </w:rPr>
                  </w:pPr>
                  <w:r>
                    <w:rPr>
                      <w:rFonts w:hint="default" w:ascii="Times New Roman" w:hAnsi="Times New Roman" w:eastAsia="宋体" w:cs="Times New Roman"/>
                      <w:color w:val="auto"/>
                      <w:w w:val="100"/>
                      <w:sz w:val="21"/>
                      <w:szCs w:val="21"/>
                      <w:highlight w:val="none"/>
                    </w:rPr>
                    <w:t>按照</w:t>
                  </w:r>
                  <w:r>
                    <w:rPr>
                      <w:rFonts w:hint="default" w:ascii="Times New Roman" w:hAnsi="Times New Roman" w:eastAsia="宋体" w:cs="Times New Roman"/>
                      <w:color w:val="auto"/>
                      <w:w w:val="100"/>
                      <w:sz w:val="21"/>
                      <w:szCs w:val="21"/>
                      <w:highlight w:val="none"/>
                      <w:lang w:val="en-US" w:eastAsia="zh-CN"/>
                    </w:rPr>
                    <w:t>”</w:t>
                  </w:r>
                  <w:r>
                    <w:rPr>
                      <w:rFonts w:hint="default" w:ascii="Times New Roman" w:hAnsi="Times New Roman" w:eastAsia="宋体" w:cs="Times New Roman"/>
                      <w:color w:val="auto"/>
                      <w:w w:val="100"/>
                      <w:sz w:val="21"/>
                      <w:szCs w:val="21"/>
                      <w:highlight w:val="none"/>
                    </w:rPr>
                    <w:t>雨污分流</w:t>
                  </w:r>
                  <w:r>
                    <w:rPr>
                      <w:rFonts w:hint="default" w:ascii="Times New Roman" w:hAnsi="Times New Roman" w:eastAsia="宋体" w:cs="Times New Roman"/>
                      <w:color w:val="auto"/>
                      <w:w w:val="100"/>
                      <w:sz w:val="21"/>
                      <w:szCs w:val="21"/>
                      <w:highlight w:val="none"/>
                      <w:lang w:val="en-US" w:eastAsia="zh-CN"/>
                    </w:rPr>
                    <w:t>”</w:t>
                  </w:r>
                  <w:r>
                    <w:rPr>
                      <w:rFonts w:hint="default" w:ascii="Times New Roman" w:hAnsi="Times New Roman" w:eastAsia="宋体" w:cs="Times New Roman"/>
                      <w:color w:val="auto"/>
                      <w:w w:val="100"/>
                      <w:sz w:val="21"/>
                      <w:szCs w:val="21"/>
                      <w:highlight w:val="none"/>
                    </w:rPr>
                    <w:t>原则建设排水管网</w:t>
                  </w:r>
                  <w:r>
                    <w:rPr>
                      <w:rFonts w:hint="eastAsia" w:ascii="Times New Roman" w:hAnsi="Times New Roman" w:eastAsia="宋体" w:cs="Times New Roman"/>
                      <w:color w:val="auto"/>
                      <w:w w:val="100"/>
                      <w:sz w:val="21"/>
                      <w:szCs w:val="21"/>
                      <w:highlight w:val="none"/>
                      <w:lang w:eastAsia="zh-CN"/>
                    </w:rPr>
                    <w:t>，</w:t>
                  </w:r>
                  <w:r>
                    <w:rPr>
                      <w:color w:val="auto"/>
                      <w:sz w:val="21"/>
                    </w:rPr>
                    <w:t>化粪池</w:t>
                  </w:r>
                </w:p>
              </w:tc>
              <w:tc>
                <w:tcPr>
                  <w:tcW w:w="1067" w:type="pct"/>
                  <w:tcBorders>
                    <w:tl2br w:val="nil"/>
                    <w:tr2bl w:val="nil"/>
                  </w:tcBorders>
                  <w:vAlign w:val="center"/>
                </w:tcPr>
                <w:p w14:paraId="5802CF69">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eastAsia="宋体"/>
                      <w:color w:val="auto"/>
                      <w:sz w:val="21"/>
                      <w:lang w:eastAsia="zh-CN"/>
                    </w:rPr>
                  </w:pPr>
                  <w:r>
                    <w:rPr>
                      <w:rFonts w:hint="default" w:ascii="Times New Roman" w:hAnsi="Times New Roman" w:eastAsia="宋体" w:cs="Times New Roman"/>
                      <w:color w:val="auto"/>
                      <w:w w:val="100"/>
                      <w:sz w:val="21"/>
                      <w:szCs w:val="21"/>
                      <w:highlight w:val="none"/>
                    </w:rPr>
                    <w:t>排水收集系统</w:t>
                  </w:r>
                </w:p>
              </w:tc>
              <w:tc>
                <w:tcPr>
                  <w:tcW w:w="742" w:type="pct"/>
                  <w:tcBorders>
                    <w:tl2br w:val="nil"/>
                    <w:tr2bl w:val="nil"/>
                  </w:tcBorders>
                  <w:vAlign w:val="center"/>
                </w:tcPr>
                <w:p w14:paraId="3125BFE6">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w w:val="99"/>
                      <w:sz w:val="21"/>
                      <w:lang w:val="en-US" w:eastAsia="zh-CN"/>
                    </w:rPr>
                  </w:pPr>
                  <w:r>
                    <w:rPr>
                      <w:rFonts w:hint="eastAsia" w:ascii="Times New Roman"/>
                      <w:color w:val="auto"/>
                      <w:w w:val="99"/>
                      <w:sz w:val="21"/>
                      <w:lang w:val="en-US" w:eastAsia="zh-CN"/>
                    </w:rPr>
                    <w:t>5</w:t>
                  </w:r>
                </w:p>
              </w:tc>
              <w:tc>
                <w:tcPr>
                  <w:tcW w:w="992" w:type="pct"/>
                  <w:tcBorders>
                    <w:tl2br w:val="nil"/>
                    <w:tr2bl w:val="nil"/>
                  </w:tcBorders>
                  <w:vAlign w:val="center"/>
                </w:tcPr>
                <w:p w14:paraId="15E2168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7FC7182E">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tcPr>
                <w:p w14:paraId="6612853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hAnsi="Times New Roman" w:eastAsia="宋体" w:cs="Times New Roman"/>
                      <w:color w:val="auto"/>
                      <w:w w:val="100"/>
                      <w:sz w:val="21"/>
                      <w:szCs w:val="21"/>
                      <w:lang w:val="en-US" w:eastAsia="zh-CN"/>
                    </w:rPr>
                    <w:t>循环冷却水，</w:t>
                  </w:r>
                  <w:r>
                    <w:rPr>
                      <w:rFonts w:hint="default" w:ascii="Times New Roman" w:hAnsi="Times New Roman" w:eastAsia="宋体" w:cs="Times New Roman"/>
                      <w:color w:val="auto"/>
                      <w:w w:val="100"/>
                      <w:sz w:val="21"/>
                      <w:szCs w:val="21"/>
                      <w:lang w:eastAsia="zh-CN"/>
                    </w:rPr>
                    <w:t>循环水池</w:t>
                  </w:r>
                  <w:r>
                    <w:rPr>
                      <w:rFonts w:hint="default" w:ascii="Times New Roman" w:hAnsi="Times New Roman" w:eastAsia="宋体" w:cs="Times New Roman"/>
                      <w:color w:val="auto"/>
                      <w:w w:val="100"/>
                      <w:sz w:val="21"/>
                      <w:szCs w:val="21"/>
                      <w:lang w:val="en-US" w:eastAsia="zh-CN"/>
                    </w:rPr>
                    <w:t>1座，</w:t>
                  </w:r>
                  <w:r>
                    <w:rPr>
                      <w:rFonts w:hint="default" w:ascii="Times New Roman" w:hAnsi="Times New Roman" w:eastAsia="宋体" w:cs="Times New Roman"/>
                      <w:color w:val="auto"/>
                      <w:w w:val="100"/>
                      <w:sz w:val="21"/>
                      <w:szCs w:val="21"/>
                      <w:lang w:eastAsia="zh-CN"/>
                    </w:rPr>
                    <w:t>尺寸：</w:t>
                  </w:r>
                  <w:r>
                    <w:rPr>
                      <w:rFonts w:hint="default" w:ascii="Times New Roman" w:hAnsi="Times New Roman" w:eastAsia="宋体" w:cs="Times New Roman"/>
                      <w:color w:val="auto"/>
                      <w:w w:val="100"/>
                      <w:sz w:val="21"/>
                      <w:szCs w:val="21"/>
                      <w:lang w:val="en-US" w:eastAsia="zh-CN"/>
                    </w:rPr>
                    <w:t>2.5m×1.7m×1.5m；</w:t>
                  </w:r>
                  <w:r>
                    <w:rPr>
                      <w:rFonts w:hint="default" w:ascii="Times New Roman" w:hAnsi="Times New Roman" w:eastAsia="宋体" w:cs="Times New Roman"/>
                      <w:color w:val="auto"/>
                      <w:w w:val="100"/>
                      <w:sz w:val="21"/>
                      <w:szCs w:val="21"/>
                      <w:lang w:eastAsia="zh-CN"/>
                    </w:rPr>
                    <w:t>循环冷却水塔，尺寸：Ф</w:t>
                  </w:r>
                  <w:r>
                    <w:rPr>
                      <w:rFonts w:hint="default" w:ascii="Times New Roman" w:hAnsi="Times New Roman" w:eastAsia="宋体" w:cs="Times New Roman"/>
                      <w:color w:val="auto"/>
                      <w:w w:val="100"/>
                      <w:sz w:val="21"/>
                      <w:szCs w:val="21"/>
                      <w:lang w:val="en-US" w:eastAsia="zh-CN"/>
                    </w:rPr>
                    <w:t>2.3m×0.2m</w:t>
                  </w:r>
                  <w:r>
                    <w:rPr>
                      <w:rFonts w:hint="eastAsia" w:ascii="Times New Roman" w:hAnsi="Times New Roman" w:eastAsia="宋体" w:cs="Times New Roman"/>
                      <w:color w:val="auto"/>
                      <w:w w:val="100"/>
                      <w:sz w:val="21"/>
                      <w:szCs w:val="21"/>
                      <w:lang w:val="en-US" w:eastAsia="zh-CN"/>
                    </w:rPr>
                    <w:t>，2套</w:t>
                  </w:r>
                </w:p>
              </w:tc>
              <w:tc>
                <w:tcPr>
                  <w:tcW w:w="1067" w:type="pct"/>
                  <w:tcBorders>
                    <w:tl2br w:val="nil"/>
                    <w:tr2bl w:val="nil"/>
                  </w:tcBorders>
                  <w:vAlign w:val="center"/>
                </w:tcPr>
                <w:p w14:paraId="591CF8EC">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hAnsi="Times New Roman" w:eastAsia="宋体" w:cs="Times New Roman"/>
                      <w:color w:val="auto"/>
                      <w:w w:val="100"/>
                      <w:sz w:val="21"/>
                      <w:szCs w:val="21"/>
                      <w:lang w:val="en-US" w:eastAsia="zh-CN"/>
                    </w:rPr>
                    <w:t>循环水</w:t>
                  </w:r>
                </w:p>
              </w:tc>
              <w:tc>
                <w:tcPr>
                  <w:tcW w:w="742" w:type="pct"/>
                  <w:tcBorders>
                    <w:tl2br w:val="nil"/>
                    <w:tr2bl w:val="nil"/>
                  </w:tcBorders>
                  <w:vAlign w:val="center"/>
                </w:tcPr>
                <w:p w14:paraId="29A8A2A4">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eastAsia="宋体"/>
                      <w:color w:val="auto"/>
                      <w:w w:val="99"/>
                      <w:sz w:val="21"/>
                      <w:lang w:val="en-US" w:eastAsia="zh-CN"/>
                    </w:rPr>
                  </w:pPr>
                  <w:r>
                    <w:rPr>
                      <w:rFonts w:hint="eastAsia" w:ascii="Times New Roman"/>
                      <w:color w:val="auto"/>
                      <w:w w:val="99"/>
                      <w:sz w:val="21"/>
                      <w:lang w:val="en-US" w:eastAsia="zh-CN"/>
                    </w:rPr>
                    <w:t>10</w:t>
                  </w:r>
                </w:p>
              </w:tc>
              <w:tc>
                <w:tcPr>
                  <w:tcW w:w="992" w:type="pct"/>
                  <w:tcBorders>
                    <w:tl2br w:val="nil"/>
                    <w:tr2bl w:val="nil"/>
                  </w:tcBorders>
                  <w:vAlign w:val="center"/>
                </w:tcPr>
                <w:p w14:paraId="0B95CFF5">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2B8E2CFD">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tcPr>
                <w:p w14:paraId="527D668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沉淀池</w:t>
                  </w:r>
                </w:p>
              </w:tc>
              <w:tc>
                <w:tcPr>
                  <w:tcW w:w="1067" w:type="pct"/>
                  <w:tcBorders>
                    <w:tl2br w:val="nil"/>
                    <w:tr2bl w:val="nil"/>
                  </w:tcBorders>
                  <w:vAlign w:val="center"/>
                </w:tcPr>
                <w:p w14:paraId="45C20638">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沉淀池</w:t>
                  </w:r>
                </w:p>
              </w:tc>
              <w:tc>
                <w:tcPr>
                  <w:tcW w:w="742" w:type="pct"/>
                  <w:tcBorders>
                    <w:tl2br w:val="nil"/>
                    <w:tr2bl w:val="nil"/>
                  </w:tcBorders>
                  <w:vAlign w:val="center"/>
                </w:tcPr>
                <w:p w14:paraId="68718492">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color w:val="auto"/>
                      <w:w w:val="99"/>
                      <w:sz w:val="21"/>
                      <w:lang w:val="en-US" w:eastAsia="zh-CN"/>
                    </w:rPr>
                  </w:pPr>
                  <w:r>
                    <w:rPr>
                      <w:rFonts w:hint="eastAsia" w:ascii="Times New Roman"/>
                      <w:color w:val="auto"/>
                      <w:w w:val="99"/>
                      <w:sz w:val="21"/>
                      <w:lang w:val="en-US" w:eastAsia="zh-CN"/>
                    </w:rPr>
                    <w:t>5</w:t>
                  </w:r>
                </w:p>
              </w:tc>
              <w:tc>
                <w:tcPr>
                  <w:tcW w:w="992" w:type="pct"/>
                  <w:tcBorders>
                    <w:tl2br w:val="nil"/>
                    <w:tr2bl w:val="nil"/>
                  </w:tcBorders>
                  <w:vAlign w:val="center"/>
                </w:tcPr>
                <w:p w14:paraId="6A58CFDF">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7B175BDC">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vAlign w:val="center"/>
                </w:tcPr>
                <w:p w14:paraId="5899201D">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default" w:ascii="Times New Roman" w:hAnsi="Times New Roman" w:eastAsia="宋体" w:cs="Times New Roman"/>
                      <w:b w:val="0"/>
                      <w:bCs/>
                      <w:color w:val="auto"/>
                      <w:sz w:val="21"/>
                      <w:szCs w:val="21"/>
                      <w:vertAlign w:val="baseline"/>
                      <w:lang w:val="en-US" w:eastAsia="zh-CN"/>
                    </w:rPr>
                    <w:t>选用低噪音设备</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消声减震</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利用建筑物隔声屏蔽</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加强操作管理和维护</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合理布局等</w:t>
                  </w:r>
                </w:p>
              </w:tc>
              <w:tc>
                <w:tcPr>
                  <w:tcW w:w="1067" w:type="pct"/>
                  <w:tcBorders>
                    <w:tl2br w:val="nil"/>
                    <w:tr2bl w:val="nil"/>
                  </w:tcBorders>
                  <w:vAlign w:val="center"/>
                </w:tcPr>
                <w:p w14:paraId="73E7527B">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eastAsia="宋体"/>
                      <w:color w:val="auto"/>
                      <w:sz w:val="21"/>
                      <w:lang w:eastAsia="zh-CN"/>
                    </w:rPr>
                  </w:pPr>
                  <w:r>
                    <w:rPr>
                      <w:rFonts w:hint="eastAsia"/>
                      <w:color w:val="auto"/>
                      <w:sz w:val="21"/>
                      <w:lang w:eastAsia="zh-CN"/>
                    </w:rPr>
                    <w:t>噪声治理</w:t>
                  </w:r>
                </w:p>
              </w:tc>
              <w:tc>
                <w:tcPr>
                  <w:tcW w:w="742" w:type="pct"/>
                  <w:tcBorders>
                    <w:tl2br w:val="nil"/>
                    <w:tr2bl w:val="nil"/>
                  </w:tcBorders>
                  <w:vAlign w:val="center"/>
                </w:tcPr>
                <w:p w14:paraId="4C0A5EE7">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w w:val="99"/>
                      <w:sz w:val="21"/>
                      <w:lang w:val="en-US" w:eastAsia="zh-CN"/>
                    </w:rPr>
                  </w:pPr>
                  <w:r>
                    <w:rPr>
                      <w:rFonts w:hint="eastAsia" w:ascii="Times New Roman"/>
                      <w:color w:val="auto"/>
                      <w:w w:val="99"/>
                      <w:sz w:val="21"/>
                      <w:lang w:val="en-US" w:eastAsia="zh-CN"/>
                    </w:rPr>
                    <w:t>5</w:t>
                  </w:r>
                </w:p>
              </w:tc>
              <w:tc>
                <w:tcPr>
                  <w:tcW w:w="992" w:type="pct"/>
                  <w:tcBorders>
                    <w:tl2br w:val="nil"/>
                    <w:tr2bl w:val="nil"/>
                  </w:tcBorders>
                  <w:vAlign w:val="center"/>
                </w:tcPr>
                <w:p w14:paraId="344D8A21">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3827AB2A">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4" w:hRule="atLeast"/>
                <w:jc w:val="center"/>
              </w:trPr>
              <w:tc>
                <w:tcPr>
                  <w:tcW w:w="2198" w:type="pct"/>
                  <w:tcBorders>
                    <w:tl2br w:val="nil"/>
                    <w:tr2bl w:val="nil"/>
                  </w:tcBorders>
                </w:tcPr>
                <w:p w14:paraId="10C68AB4">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危废暂存间</w:t>
                  </w:r>
                </w:p>
              </w:tc>
              <w:tc>
                <w:tcPr>
                  <w:tcW w:w="1067" w:type="pct"/>
                  <w:tcBorders>
                    <w:tl2br w:val="nil"/>
                    <w:tr2bl w:val="nil"/>
                  </w:tcBorders>
                </w:tcPr>
                <w:p w14:paraId="14C440C4">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暂存危险废物</w:t>
                  </w:r>
                </w:p>
              </w:tc>
              <w:tc>
                <w:tcPr>
                  <w:tcW w:w="742" w:type="pct"/>
                  <w:tcBorders>
                    <w:tl2br w:val="nil"/>
                    <w:tr2bl w:val="nil"/>
                  </w:tcBorders>
                </w:tcPr>
                <w:p w14:paraId="25F50F23">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1"/>
                      <w:lang w:eastAsia="zh-CN"/>
                    </w:rPr>
                  </w:pPr>
                  <w:r>
                    <w:rPr>
                      <w:rFonts w:hint="eastAsia" w:ascii="Times New Roman"/>
                      <w:color w:val="auto"/>
                      <w:w w:val="99"/>
                      <w:sz w:val="21"/>
                      <w:lang w:val="en-US" w:eastAsia="zh-CN"/>
                    </w:rPr>
                    <w:t>5</w:t>
                  </w:r>
                </w:p>
              </w:tc>
              <w:tc>
                <w:tcPr>
                  <w:tcW w:w="992" w:type="pct"/>
                  <w:tcBorders>
                    <w:tl2br w:val="nil"/>
                    <w:tr2bl w:val="nil"/>
                  </w:tcBorders>
                </w:tcPr>
                <w:p w14:paraId="5A288AB2">
                  <w:pPr>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0FC602C1">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tcPr>
                <w:p w14:paraId="3C4A942E">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一般固废存放区</w:t>
                  </w:r>
                </w:p>
              </w:tc>
              <w:tc>
                <w:tcPr>
                  <w:tcW w:w="1067" w:type="pct"/>
                  <w:tcBorders>
                    <w:tl2br w:val="nil"/>
                    <w:tr2bl w:val="nil"/>
                  </w:tcBorders>
                </w:tcPr>
                <w:p w14:paraId="0F167313">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存放一般固废</w:t>
                  </w:r>
                </w:p>
              </w:tc>
              <w:tc>
                <w:tcPr>
                  <w:tcW w:w="742" w:type="pct"/>
                  <w:tcBorders>
                    <w:tl2br w:val="nil"/>
                    <w:tr2bl w:val="nil"/>
                  </w:tcBorders>
                </w:tcPr>
                <w:p w14:paraId="3431BBEE">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1"/>
                      <w:lang w:eastAsia="zh-CN"/>
                    </w:rPr>
                  </w:pPr>
                  <w:r>
                    <w:rPr>
                      <w:rFonts w:hint="eastAsia" w:ascii="Times New Roman"/>
                      <w:color w:val="auto"/>
                      <w:w w:val="99"/>
                      <w:sz w:val="21"/>
                      <w:lang w:val="en-US" w:eastAsia="zh-CN"/>
                    </w:rPr>
                    <w:t>4</w:t>
                  </w:r>
                </w:p>
              </w:tc>
              <w:tc>
                <w:tcPr>
                  <w:tcW w:w="992" w:type="pct"/>
                  <w:tcBorders>
                    <w:tl2br w:val="nil"/>
                    <w:tr2bl w:val="nil"/>
                  </w:tcBorders>
                </w:tcPr>
                <w:p w14:paraId="021BF3FC">
                  <w:pPr>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rFonts w:hint="eastAsia" w:ascii="Times New Roman"/>
                      <w:color w:val="auto"/>
                      <w:w w:val="99"/>
                      <w:sz w:val="21"/>
                      <w:lang w:eastAsia="zh-CN"/>
                    </w:rPr>
                    <w:t>现有</w:t>
                  </w:r>
                </w:p>
              </w:tc>
            </w:tr>
            <w:tr w14:paraId="7CCF77CE">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tcPr>
                <w:p w14:paraId="76631866">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eastAsia="宋体"/>
                      <w:color w:val="auto"/>
                      <w:sz w:val="21"/>
                      <w:lang w:eastAsia="zh-CN"/>
                    </w:rPr>
                  </w:pPr>
                  <w:r>
                    <w:rPr>
                      <w:rFonts w:hint="eastAsia"/>
                      <w:color w:val="auto"/>
                      <w:sz w:val="21"/>
                      <w:lang w:eastAsia="zh-CN"/>
                    </w:rPr>
                    <w:t>危化品库</w:t>
                  </w:r>
                </w:p>
              </w:tc>
              <w:tc>
                <w:tcPr>
                  <w:tcW w:w="1067" w:type="pct"/>
                  <w:tcBorders>
                    <w:tl2br w:val="nil"/>
                    <w:tr2bl w:val="nil"/>
                  </w:tcBorders>
                </w:tcPr>
                <w:p w14:paraId="52592CF0">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基础减震、降噪</w:t>
                  </w:r>
                </w:p>
              </w:tc>
              <w:tc>
                <w:tcPr>
                  <w:tcW w:w="742" w:type="pct"/>
                  <w:tcBorders>
                    <w:tl2br w:val="nil"/>
                    <w:tr2bl w:val="nil"/>
                  </w:tcBorders>
                </w:tcPr>
                <w:p w14:paraId="1ED55540">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1"/>
                      <w:lang w:eastAsia="zh-CN"/>
                    </w:rPr>
                  </w:pPr>
                  <w:r>
                    <w:rPr>
                      <w:rFonts w:hint="eastAsia" w:ascii="Times New Roman"/>
                      <w:color w:val="auto"/>
                      <w:w w:val="99"/>
                      <w:sz w:val="21"/>
                      <w:lang w:val="en-US" w:eastAsia="zh-CN"/>
                    </w:rPr>
                    <w:t>6</w:t>
                  </w:r>
                </w:p>
              </w:tc>
              <w:tc>
                <w:tcPr>
                  <w:tcW w:w="992" w:type="pct"/>
                  <w:tcBorders>
                    <w:tl2br w:val="nil"/>
                    <w:tr2bl w:val="nil"/>
                  </w:tcBorders>
                </w:tcPr>
                <w:p w14:paraId="11CE121F">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ascii="Times New Roman"/>
                      <w:color w:val="auto"/>
                      <w:sz w:val="21"/>
                    </w:rPr>
                  </w:pPr>
                  <w:r>
                    <w:rPr>
                      <w:rFonts w:hint="eastAsia" w:ascii="Times New Roman"/>
                      <w:color w:val="auto"/>
                      <w:w w:val="99"/>
                      <w:sz w:val="21"/>
                      <w:lang w:eastAsia="zh-CN"/>
                    </w:rPr>
                    <w:t>现有</w:t>
                  </w:r>
                </w:p>
              </w:tc>
            </w:tr>
            <w:tr w14:paraId="5534C3DD">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453" w:hRule="atLeast"/>
                <w:jc w:val="center"/>
              </w:trPr>
              <w:tc>
                <w:tcPr>
                  <w:tcW w:w="2198" w:type="pct"/>
                  <w:tcBorders>
                    <w:tl2br w:val="nil"/>
                    <w:tr2bl w:val="nil"/>
                  </w:tcBorders>
                </w:tcPr>
                <w:p w14:paraId="6E773C2E">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color w:val="auto"/>
                      <w:sz w:val="21"/>
                    </w:rPr>
                  </w:pPr>
                  <w:r>
                    <w:rPr>
                      <w:color w:val="auto"/>
                      <w:sz w:val="21"/>
                    </w:rPr>
                    <w:t>合计</w:t>
                  </w:r>
                </w:p>
              </w:tc>
              <w:tc>
                <w:tcPr>
                  <w:tcW w:w="1067" w:type="pct"/>
                  <w:tcBorders>
                    <w:tl2br w:val="nil"/>
                    <w:tr2bl w:val="nil"/>
                  </w:tcBorders>
                </w:tcPr>
                <w:p w14:paraId="2FF68EAF">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2"/>
                      <w:lang w:val="en-US" w:eastAsia="zh-CN"/>
                    </w:rPr>
                  </w:pPr>
                  <w:r>
                    <w:rPr>
                      <w:rFonts w:hint="eastAsia" w:ascii="Times New Roman"/>
                      <w:color w:val="auto"/>
                      <w:sz w:val="22"/>
                      <w:lang w:val="en-US" w:eastAsia="zh-CN"/>
                    </w:rPr>
                    <w:t>/</w:t>
                  </w:r>
                </w:p>
              </w:tc>
              <w:tc>
                <w:tcPr>
                  <w:tcW w:w="742" w:type="pct"/>
                  <w:tcBorders>
                    <w:tl2br w:val="nil"/>
                    <w:tr2bl w:val="nil"/>
                  </w:tcBorders>
                </w:tcPr>
                <w:p w14:paraId="328FBFB7">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default" w:ascii="Times New Roman" w:eastAsia="宋体"/>
                      <w:color w:val="auto"/>
                      <w:sz w:val="21"/>
                      <w:lang w:val="en-US" w:eastAsia="zh-CN"/>
                    </w:rPr>
                  </w:pPr>
                  <w:r>
                    <w:rPr>
                      <w:rFonts w:hint="eastAsia" w:ascii="Times New Roman"/>
                      <w:color w:val="auto"/>
                      <w:sz w:val="21"/>
                      <w:lang w:val="en-US" w:eastAsia="zh-CN"/>
                    </w:rPr>
                    <w:t>160</w:t>
                  </w:r>
                </w:p>
              </w:tc>
              <w:tc>
                <w:tcPr>
                  <w:tcW w:w="992" w:type="pct"/>
                  <w:tcBorders>
                    <w:tl2br w:val="nil"/>
                    <w:tr2bl w:val="nil"/>
                  </w:tcBorders>
                </w:tcPr>
                <w:p w14:paraId="01B47393">
                  <w:pPr>
                    <w:pStyle w:val="68"/>
                    <w:keepNext w:val="0"/>
                    <w:keepLines w:val="0"/>
                    <w:pageBreakBefore w:val="0"/>
                    <w:widowControl w:val="0"/>
                    <w:kinsoku/>
                    <w:wordWrap/>
                    <w:overflowPunct/>
                    <w:topLinePunct w:val="0"/>
                    <w:autoSpaceDE/>
                    <w:autoSpaceDN/>
                    <w:bidi w:val="0"/>
                    <w:adjustRightInd/>
                    <w:snapToGrid/>
                    <w:spacing w:line="400" w:lineRule="exact"/>
                    <w:ind w:left="0" w:right="0"/>
                    <w:jc w:val="center"/>
                    <w:textAlignment w:val="auto"/>
                    <w:rPr>
                      <w:rFonts w:hint="eastAsia" w:ascii="Times New Roman" w:eastAsia="宋体"/>
                      <w:color w:val="auto"/>
                      <w:sz w:val="22"/>
                      <w:lang w:val="en-US" w:eastAsia="zh-CN"/>
                    </w:rPr>
                  </w:pPr>
                  <w:r>
                    <w:rPr>
                      <w:rFonts w:hint="eastAsia" w:ascii="Times New Roman"/>
                      <w:color w:val="auto"/>
                      <w:sz w:val="22"/>
                      <w:lang w:val="en-US" w:eastAsia="zh-CN"/>
                    </w:rPr>
                    <w:t>/</w:t>
                  </w:r>
                </w:p>
              </w:tc>
            </w:tr>
          </w:tbl>
          <w:p w14:paraId="1D0A956F">
            <w:pPr>
              <w:pStyle w:val="34"/>
              <w:keepNext w:val="0"/>
              <w:keepLines w:val="0"/>
              <w:pageBreakBefore w:val="0"/>
              <w:widowControl w:val="0"/>
              <w:numPr>
                <w:ilvl w:val="0"/>
                <w:numId w:val="0"/>
              </w:numPr>
              <w:kinsoku/>
              <w:wordWrap/>
              <w:overflowPunct/>
              <w:topLinePunct w:val="0"/>
              <w:autoSpaceDE w:val="0"/>
              <w:autoSpaceDN w:val="0"/>
              <w:bidi w:val="0"/>
              <w:adjustRightInd/>
              <w:snapToGrid/>
              <w:ind w:firstLine="480" w:firstLineChars="200"/>
              <w:textAlignment w:val="auto"/>
              <w:outlineLvl w:val="9"/>
              <w:rPr>
                <w:rFonts w:hint="default"/>
                <w:b w:val="0"/>
                <w:bCs/>
                <w:color w:val="auto"/>
                <w:lang w:val="en-US" w:eastAsia="zh-CN"/>
              </w:rPr>
            </w:pPr>
          </w:p>
        </w:tc>
      </w:tr>
      <w:tr w14:paraId="379FC4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944" w:hRule="atLeast"/>
          <w:jc w:val="center"/>
        </w:trPr>
        <w:tc>
          <w:tcPr>
            <w:tcW w:w="314" w:type="pct"/>
            <w:tcBorders>
              <w:tl2br w:val="nil"/>
              <w:tr2bl w:val="nil"/>
            </w:tcBorders>
            <w:noWrap w:val="0"/>
            <w:tcMar>
              <w:top w:w="0" w:type="dxa"/>
              <w:left w:w="28" w:type="dxa"/>
              <w:bottom w:w="0" w:type="dxa"/>
              <w:right w:w="28" w:type="dxa"/>
            </w:tcMar>
            <w:vAlign w:val="center"/>
          </w:tcPr>
          <w:p w14:paraId="282E0403">
            <w:pPr>
              <w:pStyle w:val="31"/>
              <w:keepNext w:val="0"/>
              <w:keepLines w:val="0"/>
              <w:pageBreakBefore w:val="0"/>
              <w:widowControl w:val="0"/>
              <w:kinsoku/>
              <w:wordWrap/>
              <w:overflowPunct/>
              <w:topLinePunct w:val="0"/>
              <w:bidi w:val="0"/>
              <w:adjustRightInd w:val="0"/>
              <w:snapToGrid w:val="0"/>
              <w:spacing w:before="0" w:beforeAutospacing="0" w:after="0" w:afterAutospacing="0" w:line="500" w:lineRule="exact"/>
              <w:ind w:left="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工艺流程和产排污环节</w:t>
            </w:r>
          </w:p>
        </w:tc>
        <w:tc>
          <w:tcPr>
            <w:tcW w:w="4685" w:type="pct"/>
            <w:tcBorders>
              <w:tl2br w:val="nil"/>
              <w:tr2bl w:val="nil"/>
            </w:tcBorders>
            <w:noWrap w:val="0"/>
            <w:tcMar>
              <w:top w:w="0" w:type="dxa"/>
              <w:left w:w="28" w:type="dxa"/>
              <w:bottom w:w="0" w:type="dxa"/>
              <w:right w:w="28" w:type="dxa"/>
            </w:tcMar>
            <w:vAlign w:val="top"/>
          </w:tcPr>
          <w:p w14:paraId="5702CDC7">
            <w:pPr>
              <w:keepNext w:val="0"/>
              <w:keepLines w:val="0"/>
              <w:pageBreakBefore w:val="0"/>
              <w:widowControl w:val="0"/>
              <w:kinsoku/>
              <w:wordWrap/>
              <w:overflowPunct/>
              <w:topLinePunct w:val="0"/>
              <w:autoSpaceDE/>
              <w:autoSpaceDN/>
              <w:bidi w:val="0"/>
              <w:adjustRightInd w:val="0"/>
              <w:snapToGrid w:val="0"/>
              <w:spacing w:line="500" w:lineRule="exact"/>
              <w:ind w:left="0" w:firstLine="442" w:firstLineChars="200"/>
              <w:jc w:val="both"/>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1.</w:t>
            </w:r>
            <w:r>
              <w:rPr>
                <w:rFonts w:hint="default" w:ascii="Times New Roman" w:hAnsi="Times New Roman" w:eastAsia="宋体" w:cs="Times New Roman"/>
                <w:b/>
                <w:bCs/>
                <w:color w:val="auto"/>
                <w:sz w:val="22"/>
                <w:szCs w:val="22"/>
                <w:lang w:val="en-US" w:eastAsia="zh-CN"/>
              </w:rPr>
              <w:t>施工期工艺流程及产污环节</w:t>
            </w:r>
          </w:p>
          <w:p w14:paraId="01139611">
            <w:pPr>
              <w:keepNext w:val="0"/>
              <w:keepLines w:val="0"/>
              <w:pageBreakBefore w:val="0"/>
              <w:widowControl w:val="0"/>
              <w:suppressLineNumbers w:val="0"/>
              <w:kinsoku/>
              <w:wordWrap/>
              <w:overflowPunct/>
              <w:topLinePunct w:val="0"/>
              <w:autoSpaceDE/>
              <w:autoSpaceDN/>
              <w:bidi w:val="0"/>
              <w:adjustRightInd/>
              <w:snapToGrid/>
              <w:spacing w:line="500" w:lineRule="exact"/>
              <w:ind w:left="0" w:firstLine="440" w:firstLineChars="200"/>
              <w:jc w:val="left"/>
              <w:textAlignment w:val="auto"/>
              <w:outlineLvl w:val="9"/>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w w:val="100"/>
                <w:sz w:val="22"/>
                <w:szCs w:val="22"/>
              </w:rPr>
              <w:t>本</w:t>
            </w:r>
            <w:r>
              <w:rPr>
                <w:rFonts w:hint="default" w:ascii="Times New Roman" w:hAnsi="Times New Roman" w:eastAsia="宋体" w:cs="Times New Roman"/>
                <w:color w:val="auto"/>
                <w:w w:val="100"/>
                <w:sz w:val="22"/>
                <w:szCs w:val="22"/>
                <w:lang w:eastAsia="zh-CN"/>
              </w:rPr>
              <w:t>技改</w:t>
            </w:r>
            <w:r>
              <w:rPr>
                <w:rFonts w:hint="default" w:ascii="Times New Roman" w:hAnsi="Times New Roman" w:eastAsia="宋体" w:cs="Times New Roman"/>
                <w:color w:val="auto"/>
                <w:w w:val="100"/>
                <w:sz w:val="22"/>
                <w:szCs w:val="22"/>
              </w:rPr>
              <w:t>项目</w:t>
            </w:r>
            <w:r>
              <w:rPr>
                <w:rFonts w:hint="default" w:ascii="Times New Roman" w:hAnsi="Times New Roman" w:eastAsia="宋体" w:cs="Times New Roman"/>
                <w:color w:val="auto"/>
                <w:w w:val="100"/>
                <w:sz w:val="22"/>
                <w:szCs w:val="22"/>
                <w:lang w:eastAsia="zh-CN"/>
              </w:rPr>
              <w:t>利用现有已建</w:t>
            </w:r>
            <w:r>
              <w:rPr>
                <w:rFonts w:hint="default" w:ascii="Times New Roman" w:hAnsi="Times New Roman" w:eastAsia="宋体" w:cs="Times New Roman"/>
                <w:bCs/>
                <w:color w:val="auto"/>
                <w:w w:val="100"/>
                <w:sz w:val="22"/>
                <w:szCs w:val="22"/>
              </w:rPr>
              <w:t>厂房从事生产，仅对机械设备进行安装，故</w:t>
            </w:r>
            <w:r>
              <w:rPr>
                <w:rFonts w:hint="default" w:ascii="Times New Roman" w:hAnsi="Times New Roman" w:eastAsia="宋体" w:cs="Times New Roman"/>
                <w:color w:val="auto"/>
                <w:w w:val="100"/>
                <w:sz w:val="22"/>
                <w:szCs w:val="22"/>
              </w:rPr>
              <w:t>本项目施工期对环境的影响</w:t>
            </w:r>
            <w:r>
              <w:rPr>
                <w:rFonts w:hint="default" w:ascii="Times New Roman" w:hAnsi="Times New Roman" w:eastAsia="宋体" w:cs="Times New Roman"/>
                <w:color w:val="auto"/>
                <w:w w:val="100"/>
                <w:sz w:val="22"/>
                <w:szCs w:val="22"/>
                <w:lang w:eastAsia="zh-CN"/>
              </w:rPr>
              <w:t>很小</w:t>
            </w:r>
            <w:r>
              <w:rPr>
                <w:rFonts w:hint="default" w:ascii="Times New Roman" w:hAnsi="Times New Roman" w:eastAsia="宋体" w:cs="Times New Roman"/>
                <w:color w:val="auto"/>
                <w:w w:val="100"/>
                <w:sz w:val="22"/>
                <w:szCs w:val="22"/>
              </w:rPr>
              <w:t>。</w:t>
            </w:r>
          </w:p>
          <w:p w14:paraId="0F52C0F6">
            <w:pPr>
              <w:keepNext w:val="0"/>
              <w:keepLines w:val="0"/>
              <w:pageBreakBefore w:val="0"/>
              <w:widowControl w:val="0"/>
              <w:kinsoku/>
              <w:wordWrap/>
              <w:overflowPunct/>
              <w:topLinePunct w:val="0"/>
              <w:autoSpaceDE/>
              <w:autoSpaceDN/>
              <w:bidi w:val="0"/>
              <w:adjustRightInd w:val="0"/>
              <w:snapToGrid w:val="0"/>
              <w:spacing w:line="500" w:lineRule="exact"/>
              <w:ind w:left="0" w:firstLine="442" w:firstLineChars="200"/>
              <w:jc w:val="both"/>
              <w:textAlignment w:val="auto"/>
              <w:outlineLvl w:val="9"/>
              <w:rPr>
                <w:rFonts w:hint="default" w:ascii="Times New Roman" w:hAnsi="Times New Roman" w:eastAsia="宋体" w:cs="Times New Roman"/>
                <w:b/>
                <w:bCs/>
                <w:color w:val="auto"/>
                <w:sz w:val="22"/>
                <w:szCs w:val="22"/>
                <w:lang w:val="en-US" w:eastAsia="zh-CN"/>
              </w:rPr>
            </w:pPr>
            <w:r>
              <w:rPr>
                <w:rFonts w:hint="eastAsia" w:cs="Times New Roman"/>
                <w:b/>
                <w:bCs/>
                <w:color w:val="auto"/>
                <w:sz w:val="22"/>
                <w:szCs w:val="22"/>
                <w:lang w:val="en-US" w:eastAsia="zh-CN"/>
              </w:rPr>
              <w:t>2.</w:t>
            </w:r>
            <w:r>
              <w:rPr>
                <w:rFonts w:hint="default" w:ascii="Times New Roman" w:hAnsi="Times New Roman" w:eastAsia="宋体" w:cs="Times New Roman"/>
                <w:b/>
                <w:bCs/>
                <w:color w:val="auto"/>
                <w:sz w:val="22"/>
                <w:szCs w:val="22"/>
                <w:lang w:val="en-US" w:eastAsia="zh-CN"/>
              </w:rPr>
              <w:t>运营期工艺流程及产污环节</w:t>
            </w:r>
          </w:p>
          <w:p w14:paraId="2982634A">
            <w:pPr>
              <w:keepNext w:val="0"/>
              <w:keepLines w:val="0"/>
              <w:pageBreakBefore w:val="0"/>
              <w:widowControl w:val="0"/>
              <w:suppressLineNumbers w:val="0"/>
              <w:kinsoku/>
              <w:wordWrap/>
              <w:overflowPunct/>
              <w:topLinePunct w:val="0"/>
              <w:autoSpaceDE/>
              <w:autoSpaceDN/>
              <w:bidi w:val="0"/>
              <w:adjustRightInd/>
              <w:snapToGrid/>
              <w:spacing w:line="500" w:lineRule="exact"/>
              <w:ind w:left="0" w:firstLine="440" w:firstLineChars="200"/>
              <w:jc w:val="left"/>
              <w:textAlignment w:val="auto"/>
              <w:outlineLvl w:val="9"/>
              <w:rPr>
                <w:rFonts w:hint="default" w:ascii="Times New Roman" w:hAnsi="Times New Roman" w:eastAsia="宋体" w:cs="Times New Roman"/>
                <w:color w:val="auto"/>
                <w:w w:val="100"/>
                <w:sz w:val="22"/>
                <w:szCs w:val="22"/>
                <w:lang w:eastAsia="zh-CN"/>
              </w:rPr>
            </w:pPr>
            <w:r>
              <w:rPr>
                <w:rFonts w:hint="default" w:ascii="Times New Roman" w:hAnsi="Times New Roman" w:eastAsia="宋体" w:cs="Times New Roman"/>
                <w:color w:val="auto"/>
                <w:w w:val="100"/>
                <w:sz w:val="22"/>
                <w:szCs w:val="22"/>
                <w:lang w:eastAsia="zh-CN"/>
              </w:rPr>
              <w:t>技改项目主要从事</w:t>
            </w:r>
            <w:r>
              <w:rPr>
                <w:rFonts w:hint="default" w:ascii="Times New Roman" w:hAnsi="Times New Roman" w:eastAsia="宋体" w:cs="Times New Roman"/>
                <w:color w:val="auto"/>
                <w:w w:val="100"/>
                <w:sz w:val="22"/>
                <w:szCs w:val="22"/>
                <w:lang w:val="en-US" w:eastAsia="zh-CN"/>
              </w:rPr>
              <w:t>高分子半导电胶辊生产</w:t>
            </w:r>
            <w:r>
              <w:rPr>
                <w:rFonts w:hint="default" w:ascii="Times New Roman" w:hAnsi="Times New Roman" w:eastAsia="宋体" w:cs="Times New Roman"/>
                <w:color w:val="auto"/>
                <w:w w:val="100"/>
                <w:sz w:val="22"/>
                <w:szCs w:val="22"/>
                <w:lang w:eastAsia="zh-CN"/>
              </w:rPr>
              <w:t>，预计20</w:t>
            </w:r>
            <w:r>
              <w:rPr>
                <w:rFonts w:hint="default" w:ascii="Times New Roman" w:hAnsi="Times New Roman" w:eastAsia="宋体" w:cs="Times New Roman"/>
                <w:color w:val="auto"/>
                <w:w w:val="100"/>
                <w:sz w:val="22"/>
                <w:szCs w:val="22"/>
                <w:lang w:val="en-US" w:eastAsia="zh-CN"/>
              </w:rPr>
              <w:t>2</w:t>
            </w:r>
            <w:r>
              <w:rPr>
                <w:rFonts w:hint="eastAsia" w:cs="Times New Roman"/>
                <w:color w:val="auto"/>
                <w:w w:val="100"/>
                <w:sz w:val="22"/>
                <w:szCs w:val="22"/>
                <w:lang w:val="en-US" w:eastAsia="zh-CN"/>
              </w:rPr>
              <w:t>5</w:t>
            </w:r>
            <w:r>
              <w:rPr>
                <w:rFonts w:hint="default" w:ascii="Times New Roman" w:hAnsi="Times New Roman" w:eastAsia="宋体" w:cs="Times New Roman"/>
                <w:color w:val="auto"/>
                <w:w w:val="100"/>
                <w:sz w:val="22"/>
                <w:szCs w:val="22"/>
                <w:lang w:eastAsia="zh-CN"/>
              </w:rPr>
              <w:t>年投产，</w:t>
            </w:r>
            <w:r>
              <w:rPr>
                <w:rFonts w:hint="default" w:ascii="Times New Roman" w:hAnsi="Times New Roman" w:eastAsia="宋体" w:cs="Times New Roman"/>
                <w:color w:val="auto"/>
                <w:w w:val="100"/>
                <w:sz w:val="22"/>
                <w:szCs w:val="22"/>
                <w:lang w:val="en-US" w:eastAsia="zh-CN"/>
              </w:rPr>
              <w:t>投产后形成</w:t>
            </w:r>
            <w:r>
              <w:rPr>
                <w:rFonts w:hint="eastAsia" w:ascii="Times New Roman" w:hAnsi="Times New Roman" w:eastAsia="宋体" w:cs="Times New Roman"/>
                <w:color w:val="auto"/>
                <w:w w:val="100"/>
                <w:sz w:val="22"/>
                <w:szCs w:val="22"/>
                <w:lang w:val="en-US" w:eastAsia="zh-CN"/>
              </w:rPr>
              <w:t>年产100万条高分子纳米增强型橡胶条、</w:t>
            </w:r>
            <w:r>
              <w:rPr>
                <w:rFonts w:hint="default" w:ascii="Times New Roman" w:hAnsi="Times New Roman" w:eastAsia="宋体" w:cs="Times New Roman"/>
                <w:color w:val="auto"/>
                <w:w w:val="100"/>
                <w:sz w:val="22"/>
                <w:szCs w:val="22"/>
                <w:lang w:val="en-US" w:eastAsia="zh-CN"/>
              </w:rPr>
              <w:t>年产1800万支高分子半导电胶辊的生产能力</w:t>
            </w:r>
            <w:r>
              <w:rPr>
                <w:rFonts w:hint="default" w:ascii="Times New Roman" w:hAnsi="Times New Roman" w:eastAsia="宋体" w:cs="Times New Roman"/>
                <w:color w:val="auto"/>
                <w:w w:val="100"/>
                <w:sz w:val="22"/>
                <w:szCs w:val="22"/>
                <w:lang w:eastAsia="zh-CN"/>
              </w:rPr>
              <w:t>。</w:t>
            </w:r>
          </w:p>
          <w:p w14:paraId="6ADB81BB">
            <w:pPr>
              <w:pStyle w:val="34"/>
              <w:keepNext w:val="0"/>
              <w:keepLines w:val="0"/>
              <w:pageBreakBefore w:val="0"/>
              <w:widowControl w:val="0"/>
              <w:kinsoku/>
              <w:wordWrap/>
              <w:overflowPunct/>
              <w:topLinePunct w:val="0"/>
              <w:autoSpaceDE w:val="0"/>
              <w:autoSpaceDN w:val="0"/>
              <w:bidi w:val="0"/>
              <w:adjustRightInd/>
              <w:snapToGrid/>
              <w:ind w:firstLine="442" w:firstLineChars="200"/>
              <w:textAlignment w:val="auto"/>
              <w:outlineLvl w:val="9"/>
              <w:rPr>
                <w:rFonts w:hint="default"/>
                <w:color w:val="auto"/>
                <w:lang w:eastAsia="zh-CN"/>
              </w:rPr>
            </w:pPr>
            <w:r>
              <w:rPr>
                <w:rFonts w:hint="default" w:ascii="Times New Roman" w:hAnsi="Times New Roman" w:eastAsia="宋体" w:cs="Times New Roman"/>
                <w:b/>
                <w:bCs/>
                <w:color w:val="auto"/>
                <w:w w:val="100"/>
                <w:sz w:val="22"/>
                <w:szCs w:val="22"/>
              </w:rPr>
              <w:t>⑴</w:t>
            </w:r>
            <w:r>
              <w:rPr>
                <w:rFonts w:hint="eastAsia" w:ascii="Times New Roman" w:hAnsi="Times New Roman" w:eastAsia="宋体" w:cs="Times New Roman"/>
                <w:color w:val="auto"/>
                <w:w w:val="100"/>
                <w:sz w:val="22"/>
                <w:szCs w:val="22"/>
                <w:lang w:val="en-US" w:eastAsia="zh-CN"/>
              </w:rPr>
              <w:t>高分子纳米增强型橡胶条</w:t>
            </w:r>
            <w:r>
              <w:rPr>
                <w:rFonts w:hint="eastAsia" w:ascii="Times New Roman" w:cs="Times New Roman"/>
                <w:color w:val="auto"/>
                <w:w w:val="100"/>
                <w:sz w:val="22"/>
                <w:szCs w:val="22"/>
                <w:lang w:val="en-US" w:eastAsia="zh-CN"/>
              </w:rPr>
              <w:t>生产工艺及产排污环节</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15"/>
            </w:tblGrid>
            <w:tr w14:paraId="5DE207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20" w:type="dxa"/>
                  <w:tcBorders>
                    <w:tl2br w:val="nil"/>
                    <w:tr2bl w:val="nil"/>
                  </w:tcBorders>
                </w:tcPr>
                <w:p w14:paraId="2E17B0D4">
                  <w:pPr>
                    <w:keepNext w:val="0"/>
                    <w:keepLines w:val="0"/>
                    <w:pageBreakBefore w:val="0"/>
                    <w:widowControl w:val="0"/>
                    <w:suppressLineNumbers w:val="0"/>
                    <w:kinsoku/>
                    <w:wordWrap/>
                    <w:overflowPunct/>
                    <w:topLinePunct w:val="0"/>
                    <w:autoSpaceDE/>
                    <w:autoSpaceDN/>
                    <w:bidi w:val="0"/>
                    <w:adjustRightInd/>
                    <w:snapToGrid/>
                    <w:spacing w:line="500" w:lineRule="exact"/>
                    <w:jc w:val="center"/>
                    <w:textAlignment w:val="auto"/>
                    <w:outlineLvl w:val="9"/>
                    <w:rPr>
                      <w:rFonts w:hint="default" w:ascii="Times New Roman" w:hAnsi="Times New Roman" w:eastAsia="宋体" w:cs="Times New Roman"/>
                      <w:color w:val="auto"/>
                      <w:w w:val="100"/>
                      <w:sz w:val="22"/>
                      <w:szCs w:val="22"/>
                      <w:vertAlign w:val="baseline"/>
                      <w:lang w:val="en-US" w:eastAsia="zh-CN"/>
                    </w:rPr>
                  </w:pPr>
                  <w:r>
                    <w:rPr>
                      <w:rFonts w:hint="default" w:ascii="Times New Roman" w:hAnsi="Times New Roman" w:eastAsia="宋体" w:cs="Times New Roman"/>
                      <w:b/>
                      <w:bCs/>
                      <w:color w:val="auto"/>
                    </w:rPr>
                    <w:pict>
                      <v:shape id="_x0000_s1063" o:spid="_x0000_s1063" o:spt="75" type="#_x0000_t75" style="position:absolute;left:0pt;margin-left:6.5pt;margin-top:2.2pt;height:217pt;width:429.3pt;mso-wrap-distance-bottom:0pt;mso-wrap-distance-top:0pt;z-index:251668480;mso-width-relative:page;mso-height-relative:page;" o:ole="t" filled="f" o:preferrelative="t" stroked="f" coordsize="21600,21600">
                        <v:path/>
                        <v:fill on="f" focussize="0,0"/>
                        <v:stroke on="f"/>
                        <v:imagedata r:id="rId13" cropleft="7393f" cropright="14303f" cropbottom="29180f" o:title=""/>
                        <o:lock v:ext="edit" aspectratio="t"/>
                        <w10:wrap type="topAndBottom"/>
                      </v:shape>
                      <o:OLEObject Type="Embed" ProgID="Word.Document.12" ShapeID="_x0000_s1063" DrawAspect="Content" ObjectID="_1468075726" r:id="rId12">
                        <o:LockedField>false</o:LockedField>
                      </o:OLEObject>
                    </w:pict>
                  </w:r>
                  <w:r>
                    <w:rPr>
                      <w:rFonts w:hint="default" w:ascii="Times New Roman" w:hAnsi="Times New Roman" w:eastAsia="宋体" w:cs="Times New Roman"/>
                      <w:b/>
                      <w:bCs/>
                      <w:color w:val="auto"/>
                      <w:w w:val="100"/>
                      <w:sz w:val="22"/>
                      <w:szCs w:val="22"/>
                      <w:vertAlign w:val="baseline"/>
                      <w:lang w:eastAsia="zh-CN"/>
                    </w:rPr>
                    <w:t>图</w:t>
                  </w:r>
                  <w:r>
                    <w:rPr>
                      <w:rFonts w:hint="default" w:ascii="Times New Roman" w:hAnsi="Times New Roman" w:eastAsia="宋体" w:cs="Times New Roman"/>
                      <w:b/>
                      <w:bCs/>
                      <w:color w:val="auto"/>
                      <w:w w:val="100"/>
                      <w:sz w:val="22"/>
                      <w:szCs w:val="22"/>
                      <w:vertAlign w:val="baseline"/>
                      <w:lang w:val="en-US" w:eastAsia="zh-CN"/>
                    </w:rPr>
                    <w:t>2-2  橡胶条生产工艺流程及产污环节图</w:t>
                  </w:r>
                </w:p>
              </w:tc>
            </w:tr>
          </w:tbl>
          <w:p w14:paraId="68F44328">
            <w:pPr>
              <w:pStyle w:val="73"/>
              <w:keepNext w:val="0"/>
              <w:keepLines w:val="0"/>
              <w:pageBreakBefore w:val="0"/>
              <w:widowControl w:val="0"/>
              <w:numPr>
                <w:ilvl w:val="0"/>
                <w:numId w:val="0"/>
              </w:numPr>
              <w:tabs>
                <w:tab w:val="left" w:pos="779"/>
              </w:tabs>
              <w:kinsoku/>
              <w:wordWrap/>
              <w:overflowPunct/>
              <w:topLinePunct w:val="0"/>
              <w:autoSpaceDE/>
              <w:autoSpaceDN/>
              <w:bidi w:val="0"/>
              <w:adjustRightInd/>
              <w:snapToGrid/>
              <w:spacing w:line="500" w:lineRule="exact"/>
              <w:ind w:right="0" w:rightChars="0"/>
              <w:jc w:val="left"/>
              <w:textAlignment w:val="auto"/>
              <w:outlineLvl w:val="9"/>
              <w:rPr>
                <w:rFonts w:hint="default" w:ascii="Times New Roman" w:hAnsi="Times New Roman" w:eastAsia="宋体" w:cs="Times New Roman"/>
                <w:b/>
                <w:color w:val="auto"/>
                <w:w w:val="100"/>
                <w:sz w:val="22"/>
                <w:szCs w:val="22"/>
              </w:rPr>
            </w:pPr>
            <w:r>
              <w:rPr>
                <w:rFonts w:hint="default" w:ascii="Times New Roman" w:hAnsi="Times New Roman" w:eastAsia="宋体" w:cs="Times New Roman"/>
                <w:b/>
                <w:color w:val="auto"/>
                <w:sz w:val="22"/>
                <w:szCs w:val="22"/>
              </w:rPr>
              <w:t>工艺流程及产污环节</w:t>
            </w:r>
            <w:r>
              <w:rPr>
                <w:rFonts w:hint="default" w:ascii="Times New Roman" w:hAnsi="Times New Roman" w:eastAsia="宋体" w:cs="Times New Roman"/>
                <w:b/>
                <w:color w:val="auto"/>
                <w:w w:val="100"/>
                <w:sz w:val="22"/>
                <w:szCs w:val="22"/>
              </w:rPr>
              <w:t>说明：</w:t>
            </w:r>
          </w:p>
          <w:p w14:paraId="21E3BB97">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5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3"/>
                <w:w w:val="100"/>
                <w:sz w:val="22"/>
                <w:szCs w:val="22"/>
                <w:lang w:eastAsia="zh-CN"/>
              </w:rPr>
              <w:t>技改</w:t>
            </w:r>
            <w:r>
              <w:rPr>
                <w:rFonts w:hint="default" w:ascii="Times New Roman" w:hAnsi="Times New Roman" w:eastAsia="宋体" w:cs="Times New Roman"/>
                <w:color w:val="auto"/>
                <w:spacing w:val="3"/>
                <w:w w:val="100"/>
                <w:sz w:val="22"/>
                <w:szCs w:val="22"/>
              </w:rPr>
              <w:t>项目预计年产</w:t>
            </w:r>
            <w:r>
              <w:rPr>
                <w:rFonts w:hint="eastAsia" w:cs="Times New Roman"/>
                <w:b w:val="0"/>
                <w:bCs w:val="0"/>
                <w:color w:val="auto"/>
                <w:sz w:val="22"/>
                <w:szCs w:val="22"/>
                <w:lang w:val="en-US" w:eastAsia="zh-CN"/>
              </w:rPr>
              <w:t>高分子纳米增强型橡胶条</w:t>
            </w:r>
            <w:r>
              <w:rPr>
                <w:rFonts w:hint="eastAsia" w:ascii="Times New Roman" w:hAnsi="Times New Roman" w:eastAsia="宋体" w:cs="Times New Roman"/>
                <w:color w:val="auto"/>
                <w:w w:val="100"/>
                <w:sz w:val="22"/>
                <w:szCs w:val="22"/>
                <w:lang w:val="en-US" w:eastAsia="zh-CN"/>
              </w:rPr>
              <w:t>1</w:t>
            </w:r>
            <w:r>
              <w:rPr>
                <w:rFonts w:hint="default" w:ascii="Times New Roman" w:hAnsi="Times New Roman" w:eastAsia="宋体" w:cs="Times New Roman"/>
                <w:color w:val="auto"/>
                <w:spacing w:val="3"/>
                <w:w w:val="100"/>
                <w:sz w:val="22"/>
                <w:szCs w:val="22"/>
                <w:lang w:val="en-US" w:eastAsia="zh-CN"/>
              </w:rPr>
              <w:t>00</w:t>
            </w:r>
            <w:r>
              <w:rPr>
                <w:rFonts w:hint="default" w:ascii="Times New Roman" w:hAnsi="Times New Roman" w:eastAsia="宋体" w:cs="Times New Roman"/>
                <w:color w:val="auto"/>
                <w:w w:val="100"/>
                <w:sz w:val="22"/>
                <w:szCs w:val="22"/>
              </w:rPr>
              <w:t>万</w:t>
            </w:r>
            <w:r>
              <w:rPr>
                <w:rFonts w:hint="eastAsia" w:ascii="Times New Roman" w:hAnsi="Times New Roman" w:eastAsia="宋体" w:cs="Times New Roman"/>
                <w:color w:val="auto"/>
                <w:w w:val="100"/>
                <w:sz w:val="22"/>
                <w:szCs w:val="22"/>
                <w:lang w:eastAsia="zh-CN"/>
              </w:rPr>
              <w:t>条</w:t>
            </w:r>
            <w:r>
              <w:rPr>
                <w:rFonts w:hint="default" w:ascii="Times New Roman" w:hAnsi="Times New Roman" w:eastAsia="宋体" w:cs="Times New Roman"/>
                <w:color w:val="auto"/>
                <w:w w:val="100"/>
                <w:sz w:val="22"/>
                <w:szCs w:val="22"/>
              </w:rPr>
              <w:t>，具体工艺说明如下：</w:t>
            </w:r>
          </w:p>
          <w:p w14:paraId="07DE2F46">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imes New Roman" w:hAnsi="Times New Roman" w:eastAsia="宋体" w:cs="Times New Roman"/>
                <w:b/>
                <w:bCs/>
                <w:color w:val="auto"/>
                <w:w w:val="100"/>
                <w:sz w:val="22"/>
                <w:szCs w:val="22"/>
                <w:lang w:val="en-US" w:eastAsia="zh-CN"/>
              </w:rPr>
            </w:pPr>
            <w:r>
              <w:rPr>
                <w:rFonts w:hint="eastAsia" w:ascii="仿宋" w:hAnsi="仿宋" w:eastAsia="仿宋" w:cs="仿宋"/>
                <w:b/>
                <w:bCs/>
                <w:color w:val="auto"/>
                <w:w w:val="100"/>
                <w:sz w:val="22"/>
                <w:szCs w:val="22"/>
              </w:rPr>
              <w:t>①</w:t>
            </w:r>
            <w:r>
              <w:rPr>
                <w:rFonts w:hint="eastAsia" w:ascii="仿宋" w:hAnsi="仿宋" w:eastAsia="仿宋" w:cs="仿宋"/>
                <w:b/>
                <w:bCs/>
                <w:color w:val="auto"/>
                <w:w w:val="100"/>
                <w:sz w:val="22"/>
                <w:szCs w:val="22"/>
                <w:lang w:eastAsia="zh-CN"/>
              </w:rPr>
              <w:t>配</w:t>
            </w:r>
            <w:r>
              <w:rPr>
                <w:rFonts w:hint="eastAsia" w:ascii="Times New Roman" w:hAnsi="Times New Roman" w:cs="Times New Roman"/>
                <w:b/>
                <w:bCs/>
                <w:color w:val="auto"/>
                <w:w w:val="100"/>
                <w:sz w:val="22"/>
                <w:szCs w:val="22"/>
                <w:lang w:eastAsia="zh-CN"/>
              </w:rPr>
              <w:t>料</w:t>
            </w:r>
          </w:p>
          <w:p w14:paraId="488AFCF7">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b w:val="0"/>
                <w:bCs w:val="0"/>
                <w:color w:val="auto"/>
                <w:w w:val="100"/>
                <w:sz w:val="22"/>
                <w:szCs w:val="22"/>
              </w:rPr>
            </w:pPr>
            <w:r>
              <w:rPr>
                <w:rFonts w:hint="default" w:ascii="Times New Roman" w:hAnsi="Times New Roman" w:eastAsia="宋体" w:cs="Times New Roman"/>
                <w:color w:val="auto"/>
                <w:w w:val="100"/>
                <w:sz w:val="22"/>
                <w:szCs w:val="22"/>
              </w:rPr>
              <w:t>根据产品的原料配方人工称取一定量的原辅料，其中固体原辅料装在塑料袋内称量，液体辅料装在塑料桶内称量，称量好的原辅料全部打包送至生产区</w:t>
            </w:r>
            <w:r>
              <w:rPr>
                <w:rFonts w:hint="eastAsia" w:cs="Times New Roman"/>
                <w:color w:val="auto"/>
                <w:w w:val="100"/>
                <w:sz w:val="22"/>
                <w:szCs w:val="22"/>
                <w:lang w:val="en-US" w:eastAsia="zh-CN"/>
              </w:rPr>
              <w:t>进行生产</w:t>
            </w:r>
            <w:r>
              <w:rPr>
                <w:rFonts w:hint="default" w:ascii="Times New Roman" w:hAnsi="Times New Roman" w:eastAsia="宋体" w:cs="Times New Roman"/>
                <w:color w:val="auto"/>
                <w:w w:val="100"/>
                <w:sz w:val="22"/>
                <w:szCs w:val="22"/>
              </w:rPr>
              <w:t>。</w:t>
            </w:r>
            <w:r>
              <w:rPr>
                <w:rFonts w:hint="eastAsia" w:cs="Times New Roman"/>
                <w:color w:val="auto"/>
                <w:w w:val="100"/>
                <w:sz w:val="22"/>
                <w:szCs w:val="22"/>
                <w:lang w:val="en-US" w:eastAsia="zh-CN"/>
              </w:rPr>
              <w:t>该过程中</w:t>
            </w:r>
            <w:r>
              <w:rPr>
                <w:rFonts w:hint="default" w:ascii="Times New Roman" w:hAnsi="Times New Roman" w:eastAsia="宋体" w:cs="Times New Roman"/>
                <w:color w:val="auto"/>
                <w:w w:val="100"/>
                <w:sz w:val="22"/>
                <w:szCs w:val="22"/>
              </w:rPr>
              <w:t>产生粉尘</w:t>
            </w:r>
            <w:r>
              <w:rPr>
                <w:rFonts w:hint="eastAsia" w:cs="Times New Roman"/>
                <w:color w:val="auto"/>
                <w:w w:val="100"/>
                <w:sz w:val="22"/>
                <w:szCs w:val="22"/>
                <w:lang w:val="en-US" w:eastAsia="zh-CN"/>
              </w:rPr>
              <w:t>G1-1</w:t>
            </w:r>
            <w:r>
              <w:rPr>
                <w:rFonts w:hint="default" w:ascii="Times New Roman" w:hAnsi="Times New Roman" w:eastAsia="宋体" w:cs="Times New Roman"/>
                <w:color w:val="auto"/>
                <w:w w:val="100"/>
                <w:sz w:val="22"/>
                <w:szCs w:val="22"/>
              </w:rPr>
              <w:t>。</w:t>
            </w:r>
          </w:p>
          <w:p w14:paraId="76E09863">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imes New Roman" w:hAnsi="Times New Roman" w:eastAsia="宋体" w:cs="Times New Roman"/>
                <w:b/>
                <w:bCs/>
                <w:color w:val="auto"/>
                <w:w w:val="100"/>
                <w:sz w:val="22"/>
                <w:szCs w:val="22"/>
                <w:lang w:val="en-US" w:eastAsia="zh-CN"/>
              </w:rPr>
            </w:pPr>
            <w:r>
              <w:rPr>
                <w:rFonts w:hint="eastAsia" w:ascii="仿宋" w:hAnsi="仿宋" w:eastAsia="仿宋" w:cs="仿宋"/>
                <w:b/>
                <w:bCs/>
                <w:color w:val="auto"/>
                <w:w w:val="100"/>
                <w:sz w:val="22"/>
                <w:szCs w:val="22"/>
              </w:rPr>
              <w:t>②</w:t>
            </w:r>
            <w:r>
              <w:rPr>
                <w:rFonts w:hint="eastAsia" w:ascii="Times New Roman" w:hAnsi="Times New Roman" w:cs="Times New Roman"/>
                <w:b/>
                <w:bCs/>
                <w:color w:val="auto"/>
                <w:w w:val="100"/>
                <w:sz w:val="22"/>
                <w:szCs w:val="22"/>
                <w:lang w:eastAsia="zh-CN"/>
              </w:rPr>
              <w:t>密炼</w:t>
            </w:r>
          </w:p>
          <w:p w14:paraId="0BC4C345">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both"/>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将配制好的原辅料</w:t>
            </w:r>
            <w:r>
              <w:rPr>
                <w:rFonts w:hint="eastAsia" w:cs="Times New Roman"/>
                <w:color w:val="auto"/>
                <w:w w:val="100"/>
                <w:sz w:val="22"/>
                <w:szCs w:val="22"/>
                <w:lang w:eastAsia="zh-CN"/>
              </w:rPr>
              <w:t>放入密炼机进行密炼</w:t>
            </w:r>
            <w:r>
              <w:rPr>
                <w:rFonts w:hint="default" w:ascii="Times New Roman" w:hAnsi="Times New Roman" w:eastAsia="宋体" w:cs="Times New Roman"/>
                <w:color w:val="auto"/>
                <w:w w:val="100"/>
                <w:sz w:val="22"/>
                <w:szCs w:val="22"/>
              </w:rPr>
              <w:t>，该工序不同时段温度控制不一样，大概温度控制在100-140℃之间。密炼过程中产生密炼废气</w:t>
            </w:r>
            <w:r>
              <w:rPr>
                <w:rFonts w:hint="eastAsia" w:cs="Times New Roman"/>
                <w:color w:val="auto"/>
                <w:w w:val="100"/>
                <w:sz w:val="22"/>
                <w:szCs w:val="22"/>
                <w:lang w:val="en-US" w:eastAsia="zh-CN"/>
              </w:rPr>
              <w:t>G1-2</w:t>
            </w:r>
            <w:r>
              <w:rPr>
                <w:rFonts w:hint="default" w:ascii="Times New Roman" w:hAnsi="Times New Roman" w:eastAsia="宋体" w:cs="Times New Roman"/>
                <w:color w:val="auto"/>
                <w:w w:val="100"/>
                <w:sz w:val="22"/>
                <w:szCs w:val="22"/>
              </w:rPr>
              <w:t>和生产噪声N。密炼机螺杆与混合槽采用夹套通水进行间接冷却</w:t>
            </w:r>
            <w:r>
              <w:rPr>
                <w:rFonts w:hint="eastAsia" w:cs="Times New Roman"/>
                <w:color w:val="auto"/>
                <w:w w:val="100"/>
                <w:sz w:val="22"/>
                <w:szCs w:val="22"/>
                <w:lang w:eastAsia="zh-CN"/>
              </w:rPr>
              <w:t>，</w:t>
            </w:r>
            <w:r>
              <w:rPr>
                <w:rFonts w:hint="eastAsia" w:cs="Times New Roman"/>
                <w:color w:val="auto"/>
                <w:w w:val="100"/>
                <w:sz w:val="22"/>
                <w:szCs w:val="22"/>
                <w:lang w:val="en-US" w:eastAsia="zh-CN"/>
              </w:rPr>
              <w:t>冷却水W1-1循环使用不排放</w:t>
            </w:r>
            <w:r>
              <w:rPr>
                <w:rFonts w:hint="default" w:ascii="Times New Roman" w:hAnsi="Times New Roman" w:eastAsia="宋体" w:cs="Times New Roman"/>
                <w:color w:val="auto"/>
                <w:w w:val="100"/>
                <w:sz w:val="22"/>
                <w:szCs w:val="22"/>
              </w:rPr>
              <w:t>。</w:t>
            </w:r>
          </w:p>
          <w:p w14:paraId="71952272">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为了适应不同的条件、获得各种不同的性能，降低后期硫化过程污染物的产生和排放量，</w:t>
            </w:r>
            <w:r>
              <w:rPr>
                <w:rFonts w:hint="eastAsia" w:cs="Times New Roman"/>
                <w:color w:val="auto"/>
                <w:w w:val="100"/>
                <w:sz w:val="22"/>
                <w:szCs w:val="22"/>
                <w:lang w:eastAsia="zh-CN"/>
              </w:rPr>
              <w:t>密</w:t>
            </w:r>
            <w:r>
              <w:rPr>
                <w:rFonts w:hint="default" w:ascii="Times New Roman" w:hAnsi="Times New Roman" w:eastAsia="宋体" w:cs="Times New Roman"/>
                <w:color w:val="auto"/>
                <w:w w:val="100"/>
                <w:sz w:val="22"/>
                <w:szCs w:val="22"/>
              </w:rPr>
              <w:t>炼就是将胶料与助剂在密炼机中通过机械拌和作用混合，</w:t>
            </w:r>
            <w:r>
              <w:rPr>
                <w:rFonts w:hint="eastAsia" w:cs="Times New Roman"/>
                <w:color w:val="auto"/>
                <w:w w:val="100"/>
                <w:sz w:val="22"/>
                <w:szCs w:val="22"/>
                <w:lang w:val="en-US" w:eastAsia="zh-CN"/>
              </w:rPr>
              <w:t>使</w:t>
            </w:r>
            <w:r>
              <w:rPr>
                <w:rFonts w:hint="default" w:ascii="Times New Roman" w:hAnsi="Times New Roman" w:eastAsia="宋体" w:cs="Times New Roman"/>
                <w:color w:val="auto"/>
                <w:w w:val="100"/>
                <w:sz w:val="22"/>
                <w:szCs w:val="22"/>
              </w:rPr>
              <w:t>助剂均匀地分散在胶料中的一种过程。</w:t>
            </w:r>
            <w:r>
              <w:rPr>
                <w:rFonts w:hint="eastAsia" w:cs="Times New Roman"/>
                <w:color w:val="auto"/>
                <w:w w:val="100"/>
                <w:sz w:val="22"/>
                <w:szCs w:val="22"/>
                <w:lang w:eastAsia="zh-CN"/>
              </w:rPr>
              <w:t>密</w:t>
            </w:r>
            <w:r>
              <w:rPr>
                <w:rFonts w:hint="default" w:ascii="Times New Roman" w:hAnsi="Times New Roman" w:eastAsia="宋体" w:cs="Times New Roman"/>
                <w:color w:val="auto"/>
                <w:w w:val="100"/>
                <w:sz w:val="22"/>
                <w:szCs w:val="22"/>
              </w:rPr>
              <w:t>炼是橡胶制品生产过程中一道重要的工序，如果混合不均匀，就不能在后期的硫化过程中充分发挥橡胶和助剂的作用，影响产品的使用性能。密炼是一种物理过程，因其温度</w:t>
            </w:r>
            <w:r>
              <w:rPr>
                <w:rFonts w:hint="eastAsia" w:cs="Times New Roman"/>
                <w:color w:val="auto"/>
                <w:w w:val="100"/>
                <w:sz w:val="22"/>
                <w:szCs w:val="22"/>
                <w:lang w:eastAsia="zh-CN"/>
              </w:rPr>
              <w:t>较</w:t>
            </w:r>
            <w:r>
              <w:rPr>
                <w:rFonts w:hint="default" w:ascii="Times New Roman" w:hAnsi="Times New Roman" w:eastAsia="宋体" w:cs="Times New Roman"/>
                <w:color w:val="auto"/>
                <w:w w:val="100"/>
                <w:sz w:val="22"/>
                <w:szCs w:val="22"/>
              </w:rPr>
              <w:t>低，不至于使橡胶发生化学变化。</w:t>
            </w:r>
          </w:p>
          <w:p w14:paraId="18996327">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heme="minorEastAsia" w:hAnsiTheme="minorEastAsia" w:eastAsiaTheme="minorEastAsia" w:cstheme="minorEastAsia"/>
                <w:b/>
                <w:bCs/>
                <w:color w:val="auto"/>
                <w:w w:val="100"/>
                <w:sz w:val="22"/>
                <w:szCs w:val="22"/>
              </w:rPr>
            </w:pPr>
            <w:r>
              <w:rPr>
                <w:rFonts w:hint="eastAsia" w:asciiTheme="minorEastAsia" w:hAnsiTheme="minorEastAsia" w:eastAsiaTheme="minorEastAsia" w:cstheme="minorEastAsia"/>
                <w:b/>
                <w:bCs/>
                <w:color w:val="auto"/>
                <w:w w:val="100"/>
                <w:sz w:val="22"/>
                <w:szCs w:val="22"/>
              </w:rPr>
              <w:t>③过滤</w:t>
            </w:r>
          </w:p>
          <w:p w14:paraId="68BEB134">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eastAsia" w:asciiTheme="minorEastAsia" w:hAnsiTheme="minorEastAsia" w:eastAsiaTheme="minorEastAsia" w:cstheme="minorEastAsia"/>
                <w:color w:val="auto"/>
                <w:w w:val="100"/>
                <w:sz w:val="22"/>
                <w:szCs w:val="22"/>
              </w:rPr>
            </w:pPr>
            <w:r>
              <w:rPr>
                <w:rFonts w:hint="eastAsia" w:asciiTheme="minorEastAsia" w:hAnsiTheme="minorEastAsia" w:eastAsiaTheme="minorEastAsia" w:cstheme="minorEastAsia"/>
                <w:color w:val="auto"/>
                <w:w w:val="100"/>
                <w:sz w:val="22"/>
                <w:szCs w:val="22"/>
              </w:rPr>
              <w:t>将</w:t>
            </w:r>
            <w:r>
              <w:rPr>
                <w:rFonts w:hint="eastAsia" w:asciiTheme="minorEastAsia" w:hAnsiTheme="minorEastAsia" w:eastAsiaTheme="minorEastAsia" w:cstheme="minorEastAsia"/>
                <w:color w:val="auto"/>
                <w:w w:val="100"/>
                <w:sz w:val="22"/>
                <w:szCs w:val="22"/>
                <w:lang w:eastAsia="zh-CN"/>
              </w:rPr>
              <w:t>密炼后的</w:t>
            </w:r>
            <w:r>
              <w:rPr>
                <w:rFonts w:hint="eastAsia" w:asciiTheme="minorEastAsia" w:hAnsiTheme="minorEastAsia" w:eastAsiaTheme="minorEastAsia" w:cstheme="minorEastAsia"/>
                <w:color w:val="auto"/>
                <w:w w:val="100"/>
                <w:sz w:val="22"/>
                <w:szCs w:val="22"/>
              </w:rPr>
              <w:t>橡胶放入过滤机中，通过螺杆挤压和利用过滤网将橡胶内的杂质过滤出来，过程中会产生固体废物</w:t>
            </w:r>
            <w:r>
              <w:rPr>
                <w:rFonts w:hint="default" w:ascii="Times New Roman" w:hAnsi="Times New Roman" w:cs="Times New Roman" w:eastAsiaTheme="minorEastAsia"/>
                <w:color w:val="auto"/>
                <w:sz w:val="22"/>
                <w:szCs w:val="24"/>
                <w:lang w:val="en-US" w:eastAsia="zh-CN"/>
              </w:rPr>
              <w:t>杂质S1-1</w:t>
            </w:r>
            <w:r>
              <w:rPr>
                <w:rFonts w:hint="eastAsia" w:asciiTheme="minorEastAsia" w:hAnsiTheme="minorEastAsia" w:eastAsiaTheme="minorEastAsia" w:cstheme="minorEastAsia"/>
                <w:color w:val="auto"/>
                <w:w w:val="100"/>
                <w:sz w:val="22"/>
                <w:szCs w:val="22"/>
              </w:rPr>
              <w:t>和生产噪声</w:t>
            </w:r>
            <w:r>
              <w:rPr>
                <w:rFonts w:hint="default" w:ascii="Times New Roman" w:hAnsi="Times New Roman" w:eastAsia="宋体" w:cs="Times New Roman"/>
                <w:color w:val="auto"/>
                <w:w w:val="100"/>
                <w:sz w:val="22"/>
                <w:szCs w:val="22"/>
              </w:rPr>
              <w:t>N</w:t>
            </w:r>
            <w:r>
              <w:rPr>
                <w:rFonts w:hint="eastAsia" w:asciiTheme="minorEastAsia" w:hAnsiTheme="minorEastAsia" w:eastAsiaTheme="minorEastAsia" w:cstheme="minorEastAsia"/>
                <w:color w:val="auto"/>
                <w:w w:val="100"/>
                <w:sz w:val="22"/>
                <w:szCs w:val="22"/>
              </w:rPr>
              <w:t>，</w:t>
            </w:r>
            <w:r>
              <w:rPr>
                <w:rFonts w:hint="eastAsia" w:asciiTheme="minorEastAsia" w:hAnsiTheme="minorEastAsia" w:eastAsiaTheme="minorEastAsia" w:cstheme="minorEastAsia"/>
                <w:color w:val="auto"/>
                <w:spacing w:val="-8"/>
                <w:w w:val="100"/>
                <w:sz w:val="22"/>
                <w:szCs w:val="22"/>
              </w:rPr>
              <w:t>过滤机螺杆与料槽采用夹套通水进行间接冷</w:t>
            </w:r>
            <w:r>
              <w:rPr>
                <w:rFonts w:hint="eastAsia" w:asciiTheme="minorEastAsia" w:hAnsiTheme="minorEastAsia" w:eastAsiaTheme="minorEastAsia" w:cstheme="minorEastAsia"/>
                <w:color w:val="auto"/>
                <w:spacing w:val="-3"/>
                <w:w w:val="100"/>
                <w:sz w:val="22"/>
                <w:szCs w:val="22"/>
              </w:rPr>
              <w:t>却，</w:t>
            </w:r>
            <w:r>
              <w:rPr>
                <w:rFonts w:hint="eastAsia" w:asciiTheme="minorEastAsia" w:hAnsiTheme="minorEastAsia" w:eastAsiaTheme="minorEastAsia" w:cstheme="minorEastAsia"/>
                <w:color w:val="auto"/>
                <w:spacing w:val="-3"/>
                <w:w w:val="100"/>
                <w:sz w:val="22"/>
                <w:szCs w:val="22"/>
                <w:lang w:eastAsia="zh-CN"/>
              </w:rPr>
              <w:t>冷却水</w:t>
            </w:r>
            <w:r>
              <w:rPr>
                <w:rFonts w:hint="eastAsia" w:cs="Times New Roman"/>
                <w:color w:val="auto"/>
                <w:w w:val="100"/>
                <w:sz w:val="22"/>
                <w:szCs w:val="22"/>
                <w:lang w:val="en-US" w:eastAsia="zh-CN"/>
              </w:rPr>
              <w:t>W1-1</w:t>
            </w:r>
            <w:r>
              <w:rPr>
                <w:rFonts w:hint="eastAsia" w:asciiTheme="minorEastAsia" w:hAnsiTheme="minorEastAsia" w:eastAsiaTheme="minorEastAsia" w:cstheme="minorEastAsia"/>
                <w:color w:val="auto"/>
                <w:spacing w:val="-3"/>
                <w:w w:val="100"/>
                <w:sz w:val="22"/>
                <w:szCs w:val="22"/>
                <w:lang w:eastAsia="zh-CN"/>
              </w:rPr>
              <w:t>通过水塔循环使用，不外排</w:t>
            </w:r>
            <w:r>
              <w:rPr>
                <w:rFonts w:hint="eastAsia" w:asciiTheme="minorEastAsia" w:hAnsiTheme="minorEastAsia" w:eastAsiaTheme="minorEastAsia" w:cstheme="minorEastAsia"/>
                <w:color w:val="auto"/>
                <w:w w:val="100"/>
                <w:sz w:val="22"/>
                <w:szCs w:val="22"/>
              </w:rPr>
              <w:t>。</w:t>
            </w:r>
          </w:p>
          <w:p w14:paraId="3AB92AE9">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b/>
                <w:bCs/>
                <w:color w:val="auto"/>
                <w:sz w:val="24"/>
                <w:lang w:val="zh-CN" w:bidi="zh-CN"/>
              </w:rPr>
            </w:pPr>
            <w:r>
              <w:rPr>
                <w:rFonts w:hint="eastAsia" w:ascii="仿宋" w:hAnsi="仿宋" w:eastAsia="仿宋" w:cs="仿宋"/>
                <w:b/>
                <w:bCs/>
                <w:color w:val="auto"/>
                <w:w w:val="100"/>
                <w:sz w:val="22"/>
                <w:szCs w:val="22"/>
              </w:rPr>
              <w:t>④</w:t>
            </w:r>
            <w:r>
              <w:rPr>
                <w:b/>
                <w:bCs/>
                <w:color w:val="auto"/>
                <w:sz w:val="22"/>
                <w:szCs w:val="22"/>
                <w:lang w:val="zh-CN" w:bidi="zh-CN"/>
              </w:rPr>
              <w:t>开炼</w:t>
            </w:r>
          </w:p>
          <w:p w14:paraId="7C419520">
            <w:pPr>
              <w:tabs>
                <w:tab w:val="left" w:pos="0"/>
              </w:tabs>
              <w:autoSpaceDE w:val="0"/>
              <w:autoSpaceDN w:val="0"/>
              <w:spacing w:line="500" w:lineRule="exact"/>
              <w:ind w:firstLine="440" w:firstLineChars="200"/>
              <w:jc w:val="left"/>
              <w:rPr>
                <w:color w:val="auto"/>
                <w:kern w:val="0"/>
                <w:sz w:val="24"/>
              </w:rPr>
            </w:pPr>
            <w:r>
              <w:rPr>
                <w:rFonts w:hint="default" w:ascii="Times New Roman" w:hAnsi="Times New Roman" w:eastAsia="宋体" w:cs="Times New Roman"/>
                <w:color w:val="auto"/>
                <w:w w:val="100"/>
                <w:kern w:val="0"/>
                <w:sz w:val="22"/>
                <w:szCs w:val="22"/>
                <w:lang w:val="en-US" w:eastAsia="zh-CN" w:bidi="ar-SA"/>
              </w:rPr>
              <w:t>过滤后的橡胶用小推车送至开炼机上。开炼机内设2个滚筒，通过滚筒的转动对橡胶进行不断的压延、糅合，使其中的各组分分散均匀。开炼机不加温，温度控制到90℃以下，整个过程按开炼次数管理，不发生化学反应。该过程中产生开炼废气</w:t>
            </w:r>
            <w:r>
              <w:rPr>
                <w:rFonts w:hint="eastAsia" w:cs="Times New Roman"/>
                <w:color w:val="auto"/>
                <w:w w:val="100"/>
                <w:sz w:val="22"/>
                <w:szCs w:val="22"/>
                <w:lang w:val="en-US" w:eastAsia="zh-CN"/>
              </w:rPr>
              <w:t>G1-2</w:t>
            </w:r>
            <w:r>
              <w:rPr>
                <w:rFonts w:hint="default" w:ascii="Times New Roman" w:hAnsi="Times New Roman" w:eastAsia="宋体" w:cs="Times New Roman"/>
                <w:color w:val="auto"/>
                <w:w w:val="100"/>
                <w:kern w:val="0"/>
                <w:sz w:val="22"/>
                <w:szCs w:val="22"/>
                <w:lang w:val="en-US" w:eastAsia="zh-CN" w:bidi="ar-SA"/>
              </w:rPr>
              <w:t>并伴随着生产噪声，开炼机滚筒使用夹套通水进行间接冷却，冷却水</w:t>
            </w:r>
            <w:r>
              <w:rPr>
                <w:rFonts w:hint="eastAsia" w:cs="Times New Roman"/>
                <w:color w:val="auto"/>
                <w:w w:val="100"/>
                <w:sz w:val="22"/>
                <w:szCs w:val="22"/>
                <w:lang w:val="en-US" w:eastAsia="zh-CN"/>
              </w:rPr>
              <w:t>W1-1</w:t>
            </w:r>
            <w:r>
              <w:rPr>
                <w:rFonts w:hint="default" w:ascii="Times New Roman" w:hAnsi="Times New Roman" w:eastAsia="宋体" w:cs="Times New Roman"/>
                <w:color w:val="auto"/>
                <w:w w:val="100"/>
                <w:kern w:val="0"/>
                <w:sz w:val="22"/>
                <w:szCs w:val="22"/>
                <w:lang w:val="en-US" w:eastAsia="zh-CN" w:bidi="ar-SA"/>
              </w:rPr>
              <w:t>通过冷却水池循环使用，不外排。</w:t>
            </w:r>
          </w:p>
          <w:p w14:paraId="4A15776E">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⑤</w:t>
            </w:r>
            <w:r>
              <w:rPr>
                <w:rFonts w:hint="default" w:ascii="Times New Roman" w:hAnsi="Times New Roman" w:eastAsia="宋体" w:cs="Times New Roman"/>
                <w:b/>
                <w:bCs/>
                <w:color w:val="auto"/>
                <w:w w:val="100"/>
                <w:sz w:val="22"/>
                <w:szCs w:val="22"/>
              </w:rPr>
              <w:t>挤出</w:t>
            </w:r>
          </w:p>
          <w:p w14:paraId="6A02C8DD">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b/>
                <w:bCs/>
                <w:color w:val="auto"/>
                <w:w w:val="100"/>
                <w:sz w:val="22"/>
                <w:szCs w:val="22"/>
              </w:rPr>
            </w:pPr>
            <w:r>
              <w:rPr>
                <w:rFonts w:hint="default" w:ascii="Times New Roman" w:hAnsi="Times New Roman" w:eastAsia="宋体" w:cs="Times New Roman"/>
                <w:color w:val="auto"/>
                <w:w w:val="100"/>
                <w:sz w:val="22"/>
                <w:szCs w:val="22"/>
              </w:rPr>
              <w:t>建设单位采用冷喂料挤出作业，通过挤出机的螺杆与口模将橡胶挤压</w:t>
            </w:r>
            <w:r>
              <w:rPr>
                <w:rFonts w:hint="eastAsia" w:cs="Times New Roman"/>
                <w:color w:val="auto"/>
                <w:w w:val="100"/>
                <w:sz w:val="22"/>
                <w:szCs w:val="22"/>
                <w:lang w:eastAsia="zh-CN"/>
              </w:rPr>
              <w:t>成橡胶条</w:t>
            </w:r>
            <w:r>
              <w:rPr>
                <w:rFonts w:hint="default" w:ascii="Times New Roman" w:hAnsi="Times New Roman" w:eastAsia="宋体" w:cs="Times New Roman"/>
                <w:color w:val="auto"/>
                <w:w w:val="100"/>
                <w:sz w:val="22"/>
                <w:szCs w:val="22"/>
              </w:rPr>
              <w:t>。</w:t>
            </w:r>
            <w:r>
              <w:rPr>
                <w:rFonts w:hint="default" w:ascii="Times New Roman" w:hAnsi="Times New Roman" w:eastAsia="宋体" w:cs="Times New Roman"/>
                <w:color w:val="auto"/>
                <w:spacing w:val="-2"/>
                <w:w w:val="100"/>
                <w:sz w:val="22"/>
                <w:szCs w:val="22"/>
              </w:rPr>
              <w:t>该工序是冷喂料挤出，不产生废气，</w:t>
            </w:r>
            <w:r>
              <w:rPr>
                <w:rFonts w:hint="default" w:ascii="Times New Roman" w:hAnsi="Times New Roman" w:eastAsia="宋体" w:cs="Times New Roman"/>
                <w:color w:val="auto"/>
                <w:w w:val="100"/>
                <w:sz w:val="22"/>
                <w:szCs w:val="22"/>
              </w:rPr>
              <w:t>挤出螺杆与混合槽采用夹套通水进行间接冷却，</w:t>
            </w:r>
            <w:r>
              <w:rPr>
                <w:rFonts w:hint="default" w:ascii="Times New Roman" w:hAnsi="Times New Roman" w:eastAsia="宋体" w:cs="Times New Roman"/>
                <w:color w:val="auto"/>
                <w:w w:val="100"/>
                <w:sz w:val="22"/>
                <w:szCs w:val="22"/>
                <w:lang w:eastAsia="zh-CN"/>
              </w:rPr>
              <w:t>设备</w:t>
            </w:r>
            <w:r>
              <w:rPr>
                <w:rFonts w:hint="default" w:ascii="Times New Roman" w:hAnsi="Times New Roman" w:eastAsia="宋体" w:cs="Times New Roman"/>
                <w:color w:val="auto"/>
                <w:spacing w:val="-3"/>
                <w:w w:val="100"/>
                <w:sz w:val="22"/>
                <w:szCs w:val="22"/>
                <w:lang w:eastAsia="zh-CN"/>
              </w:rPr>
              <w:t>冷却水</w:t>
            </w:r>
            <w:r>
              <w:rPr>
                <w:rFonts w:hint="eastAsia" w:cs="Times New Roman"/>
                <w:color w:val="auto"/>
                <w:w w:val="100"/>
                <w:sz w:val="22"/>
                <w:szCs w:val="22"/>
                <w:lang w:val="en-US" w:eastAsia="zh-CN"/>
              </w:rPr>
              <w:t>W1-1</w:t>
            </w:r>
            <w:r>
              <w:rPr>
                <w:rFonts w:hint="default" w:ascii="Times New Roman" w:hAnsi="Times New Roman" w:eastAsia="宋体" w:cs="Times New Roman"/>
                <w:color w:val="auto"/>
                <w:spacing w:val="-3"/>
                <w:w w:val="100"/>
                <w:sz w:val="22"/>
                <w:szCs w:val="22"/>
                <w:lang w:eastAsia="zh-CN"/>
              </w:rPr>
              <w:t>通过冷却水池循环使用，不外排</w:t>
            </w:r>
            <w:r>
              <w:rPr>
                <w:rFonts w:hint="default" w:ascii="Times New Roman" w:hAnsi="Times New Roman" w:eastAsia="宋体" w:cs="Times New Roman"/>
                <w:color w:val="auto"/>
                <w:w w:val="100"/>
                <w:sz w:val="22"/>
                <w:szCs w:val="22"/>
              </w:rPr>
              <w:t>。</w:t>
            </w:r>
            <w:r>
              <w:rPr>
                <w:rFonts w:hint="default" w:ascii="Times New Roman" w:hAnsi="Times New Roman" w:eastAsia="宋体" w:cs="Times New Roman"/>
                <w:color w:val="auto"/>
                <w:w w:val="100"/>
                <w:sz w:val="22"/>
                <w:szCs w:val="22"/>
                <w:lang w:eastAsia="zh-CN"/>
              </w:rPr>
              <w:t>设备运行过程中</w:t>
            </w:r>
            <w:r>
              <w:rPr>
                <w:rFonts w:hint="default" w:ascii="Times New Roman" w:hAnsi="Times New Roman" w:eastAsia="宋体" w:cs="Times New Roman"/>
                <w:color w:val="auto"/>
                <w:w w:val="100"/>
                <w:sz w:val="22"/>
                <w:szCs w:val="22"/>
              </w:rPr>
              <w:t>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74D24356">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rFonts w:hint="eastAsia" w:ascii="Times New Roman" w:hAnsi="Times New Roman" w:eastAsia="宋体" w:cs="Times New Roman"/>
                <w:color w:val="auto"/>
                <w:w w:val="100"/>
                <w:sz w:val="22"/>
                <w:szCs w:val="22"/>
                <w:lang w:eastAsia="zh-CN"/>
              </w:rPr>
            </w:pPr>
            <w:r>
              <w:rPr>
                <w:rFonts w:hint="eastAsia" w:ascii="仿宋" w:hAnsi="仿宋" w:eastAsia="仿宋" w:cs="仿宋"/>
                <w:b/>
                <w:bCs/>
                <w:color w:val="auto"/>
                <w:w w:val="100"/>
                <w:sz w:val="22"/>
                <w:szCs w:val="22"/>
              </w:rPr>
              <w:t>⑥</w:t>
            </w:r>
            <w:r>
              <w:rPr>
                <w:rFonts w:hint="default" w:ascii="Times New Roman" w:hAnsi="Times New Roman" w:eastAsia="宋体" w:cs="Times New Roman"/>
                <w:b/>
                <w:bCs/>
                <w:color w:val="auto"/>
                <w:w w:val="100"/>
                <w:sz w:val="22"/>
                <w:szCs w:val="22"/>
                <w:lang w:val="en-US" w:eastAsia="zh-CN"/>
              </w:rPr>
              <w:t>涂胶</w:t>
            </w:r>
            <w:r>
              <w:rPr>
                <w:rFonts w:hint="eastAsia" w:cs="Times New Roman"/>
                <w:b/>
                <w:bCs/>
                <w:color w:val="auto"/>
                <w:w w:val="100"/>
                <w:sz w:val="22"/>
                <w:szCs w:val="22"/>
                <w:lang w:val="en-US" w:eastAsia="zh-CN"/>
              </w:rPr>
              <w:t>、覆布</w:t>
            </w:r>
          </w:p>
          <w:p w14:paraId="5BC9B44F">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eastAsia" w:cs="Times New Roman"/>
                <w:color w:val="auto"/>
                <w:w w:val="100"/>
                <w:sz w:val="22"/>
                <w:szCs w:val="22"/>
                <w:lang w:eastAsia="zh-CN"/>
              </w:rPr>
              <w:t>将天然橡胶融入甲苯中制成胶水涂布在帆布条表面，然后将帆布条粘在橡胶条表面。此</w:t>
            </w:r>
            <w:r>
              <w:rPr>
                <w:rFonts w:hint="default" w:ascii="Times New Roman" w:hAnsi="Times New Roman" w:eastAsia="宋体" w:cs="Times New Roman"/>
                <w:color w:val="auto"/>
                <w:w w:val="100"/>
                <w:sz w:val="22"/>
                <w:szCs w:val="22"/>
              </w:rPr>
              <w:t>过程</w:t>
            </w:r>
            <w:r>
              <w:rPr>
                <w:rFonts w:hint="default" w:ascii="Times New Roman" w:hAnsi="Times New Roman" w:eastAsia="宋体" w:cs="Times New Roman"/>
                <w:color w:val="auto"/>
                <w:spacing w:val="-2"/>
                <w:w w:val="100"/>
                <w:sz w:val="22"/>
                <w:szCs w:val="22"/>
              </w:rPr>
              <w:t>会产生一定量的固体废</w:t>
            </w:r>
            <w:r>
              <w:rPr>
                <w:rFonts w:hint="eastAsia" w:cs="Times New Roman"/>
                <w:color w:val="auto"/>
                <w:spacing w:val="-2"/>
                <w:w w:val="100"/>
                <w:sz w:val="22"/>
                <w:szCs w:val="22"/>
                <w:lang w:eastAsia="zh-CN"/>
              </w:rPr>
              <w:t>胶水</w:t>
            </w:r>
            <w:r>
              <w:rPr>
                <w:rFonts w:hint="default" w:ascii="Times New Roman" w:hAnsi="Times New Roman" w:cs="Times New Roman" w:eastAsiaTheme="minorEastAsia"/>
                <w:color w:val="auto"/>
                <w:sz w:val="22"/>
                <w:szCs w:val="24"/>
                <w:lang w:val="en-US" w:eastAsia="zh-CN"/>
              </w:rPr>
              <w:t>S1-</w:t>
            </w:r>
            <w:r>
              <w:rPr>
                <w:rFonts w:hint="eastAsia" w:cs="Times New Roman" w:eastAsiaTheme="minorEastAsia"/>
                <w:color w:val="auto"/>
                <w:sz w:val="22"/>
                <w:szCs w:val="24"/>
                <w:lang w:val="en-US" w:eastAsia="zh-CN"/>
              </w:rPr>
              <w:t>2</w:t>
            </w:r>
            <w:r>
              <w:rPr>
                <w:rFonts w:hint="eastAsia" w:cs="Times New Roman"/>
                <w:color w:val="auto"/>
                <w:spacing w:val="-2"/>
                <w:w w:val="100"/>
                <w:sz w:val="22"/>
                <w:szCs w:val="22"/>
                <w:lang w:eastAsia="zh-CN"/>
              </w:rPr>
              <w:t>、废布</w:t>
            </w:r>
            <w:r>
              <w:rPr>
                <w:rFonts w:hint="eastAsia" w:cs="Times New Roman"/>
                <w:color w:val="auto"/>
                <w:spacing w:val="-2"/>
                <w:w w:val="100"/>
                <w:sz w:val="22"/>
                <w:szCs w:val="22"/>
                <w:lang w:val="en-US" w:eastAsia="zh-CN"/>
              </w:rPr>
              <w:t>料</w:t>
            </w:r>
            <w:r>
              <w:rPr>
                <w:rFonts w:hint="default" w:ascii="Times New Roman" w:hAnsi="Times New Roman" w:cs="Times New Roman" w:eastAsiaTheme="minorEastAsia"/>
                <w:color w:val="auto"/>
                <w:sz w:val="22"/>
                <w:szCs w:val="24"/>
                <w:lang w:val="en-US" w:eastAsia="zh-CN"/>
              </w:rPr>
              <w:t>S1-</w:t>
            </w:r>
            <w:r>
              <w:rPr>
                <w:rFonts w:hint="eastAsia" w:cs="Times New Roman" w:eastAsiaTheme="minorEastAsia"/>
                <w:color w:val="auto"/>
                <w:sz w:val="22"/>
                <w:szCs w:val="24"/>
                <w:lang w:val="en-US" w:eastAsia="zh-CN"/>
              </w:rPr>
              <w:t>3</w:t>
            </w:r>
            <w:r>
              <w:rPr>
                <w:rFonts w:hint="eastAsia" w:cs="Times New Roman"/>
                <w:color w:val="auto"/>
                <w:spacing w:val="-2"/>
                <w:w w:val="100"/>
                <w:sz w:val="22"/>
                <w:szCs w:val="22"/>
                <w:lang w:eastAsia="zh-CN"/>
              </w:rPr>
              <w:t>、</w:t>
            </w:r>
            <w:r>
              <w:rPr>
                <w:rFonts w:hint="default" w:ascii="Times New Roman" w:hAnsi="Times New Roman" w:eastAsia="宋体" w:cs="Times New Roman"/>
                <w:color w:val="auto"/>
                <w:w w:val="100"/>
                <w:sz w:val="22"/>
                <w:szCs w:val="22"/>
              </w:rPr>
              <w:t>涂胶废气</w:t>
            </w:r>
            <w:r>
              <w:rPr>
                <w:rFonts w:hint="eastAsia" w:cs="Times New Roman"/>
                <w:color w:val="auto"/>
                <w:w w:val="100"/>
                <w:sz w:val="22"/>
                <w:szCs w:val="22"/>
                <w:lang w:val="en-US" w:eastAsia="zh-CN"/>
              </w:rPr>
              <w:t>G1-3</w:t>
            </w:r>
            <w:r>
              <w:rPr>
                <w:rFonts w:hint="eastAsia" w:cs="Times New Roman"/>
                <w:color w:val="auto"/>
                <w:w w:val="100"/>
                <w:sz w:val="22"/>
                <w:szCs w:val="22"/>
                <w:lang w:eastAsia="zh-CN"/>
              </w:rPr>
              <w:t>和</w:t>
            </w:r>
            <w:r>
              <w:rPr>
                <w:rFonts w:hint="default" w:ascii="Times New Roman" w:hAnsi="Times New Roman" w:eastAsia="宋体" w:cs="Times New Roman"/>
                <w:color w:val="auto"/>
                <w:w w:val="100"/>
                <w:sz w:val="22"/>
                <w:szCs w:val="22"/>
              </w:rPr>
              <w:t>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spacing w:val="-18"/>
                <w:w w:val="100"/>
                <w:sz w:val="22"/>
                <w:szCs w:val="22"/>
              </w:rPr>
              <w:t>。</w:t>
            </w:r>
          </w:p>
          <w:p w14:paraId="63B90442">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⑦</w:t>
            </w:r>
            <w:r>
              <w:rPr>
                <w:rFonts w:hint="eastAsia" w:ascii="Times New Roman" w:hAnsi="Times New Roman" w:eastAsia="宋体" w:cs="Times New Roman"/>
                <w:b/>
                <w:bCs/>
                <w:color w:val="auto"/>
                <w:w w:val="100"/>
                <w:sz w:val="22"/>
                <w:szCs w:val="22"/>
                <w:lang w:val="en-US" w:eastAsia="zh-CN"/>
              </w:rPr>
              <w:t>平板</w:t>
            </w:r>
            <w:r>
              <w:rPr>
                <w:rFonts w:hint="eastAsia" w:ascii="Times New Roman" w:hAnsi="Times New Roman" w:eastAsia="宋体" w:cs="Times New Roman"/>
                <w:b/>
                <w:bCs/>
                <w:color w:val="auto"/>
                <w:w w:val="100"/>
                <w:sz w:val="22"/>
                <w:szCs w:val="22"/>
              </w:rPr>
              <w:t>硫化</w:t>
            </w:r>
          </w:p>
          <w:p w14:paraId="4904F1C3">
            <w:pPr>
              <w:tabs>
                <w:tab w:val="left" w:pos="0"/>
              </w:tabs>
              <w:autoSpaceDE w:val="0"/>
              <w:autoSpaceDN w:val="0"/>
              <w:spacing w:line="500" w:lineRule="exact"/>
              <w:ind w:firstLine="424" w:firstLineChars="200"/>
              <w:jc w:val="left"/>
              <w:rPr>
                <w:color w:val="auto"/>
                <w:kern w:val="0"/>
                <w:sz w:val="24"/>
              </w:rPr>
            </w:pPr>
            <w:r>
              <w:rPr>
                <w:rFonts w:hint="eastAsia"/>
                <w:color w:val="auto"/>
                <w:spacing w:val="-4"/>
                <w:kern w:val="0"/>
                <w:sz w:val="22"/>
                <w:szCs w:val="22"/>
                <w:lang w:eastAsia="zh-CN"/>
              </w:rPr>
              <w:t>平板</w:t>
            </w:r>
            <w:r>
              <w:rPr>
                <w:rFonts w:hint="eastAsia"/>
                <w:color w:val="auto"/>
                <w:spacing w:val="-4"/>
                <w:kern w:val="0"/>
                <w:sz w:val="22"/>
                <w:szCs w:val="22"/>
              </w:rPr>
              <w:t>硫化</w:t>
            </w:r>
            <w:r>
              <w:rPr>
                <w:color w:val="auto"/>
                <w:spacing w:val="-4"/>
                <w:kern w:val="0"/>
                <w:sz w:val="22"/>
                <w:szCs w:val="22"/>
              </w:rPr>
              <w:t>是为了使橡胶和</w:t>
            </w:r>
            <w:r>
              <w:rPr>
                <w:rFonts w:hint="eastAsia"/>
                <w:color w:val="auto"/>
                <w:spacing w:val="-4"/>
                <w:kern w:val="0"/>
                <w:sz w:val="22"/>
                <w:szCs w:val="22"/>
                <w:lang w:eastAsia="zh-CN"/>
              </w:rPr>
              <w:t>帆布条</w:t>
            </w:r>
            <w:r>
              <w:rPr>
                <w:color w:val="auto"/>
                <w:spacing w:val="-4"/>
                <w:kern w:val="0"/>
                <w:sz w:val="22"/>
                <w:szCs w:val="22"/>
              </w:rPr>
              <w:t>能更好的粘合。</w:t>
            </w:r>
            <w:r>
              <w:rPr>
                <w:color w:val="auto"/>
                <w:kern w:val="0"/>
                <w:sz w:val="22"/>
                <w:szCs w:val="22"/>
              </w:rPr>
              <w:t>该工序产生废气</w:t>
            </w:r>
            <w:r>
              <w:rPr>
                <w:rFonts w:hint="eastAsia" w:cs="Times New Roman"/>
                <w:color w:val="auto"/>
                <w:w w:val="100"/>
                <w:sz w:val="22"/>
                <w:szCs w:val="22"/>
                <w:lang w:val="en-US" w:eastAsia="zh-CN"/>
              </w:rPr>
              <w:t>G1-4</w:t>
            </w:r>
            <w:r>
              <w:rPr>
                <w:rFonts w:hint="default" w:ascii="Times New Roman" w:hAnsi="Times New Roman" w:eastAsia="宋体" w:cs="Times New Roman"/>
                <w:color w:val="auto"/>
                <w:spacing w:val="2"/>
                <w:w w:val="100"/>
                <w:sz w:val="22"/>
                <w:szCs w:val="22"/>
              </w:rPr>
              <w:t>和生产噪声</w:t>
            </w:r>
            <w:r>
              <w:rPr>
                <w:rFonts w:hint="eastAsia" w:cs="Times New Roman"/>
                <w:color w:val="auto"/>
                <w:w w:val="100"/>
                <w:sz w:val="22"/>
                <w:szCs w:val="22"/>
                <w:lang w:val="en-US" w:eastAsia="zh-CN"/>
              </w:rPr>
              <w:t>N</w:t>
            </w:r>
            <w:r>
              <w:rPr>
                <w:color w:val="auto"/>
                <w:kern w:val="0"/>
                <w:sz w:val="22"/>
                <w:szCs w:val="22"/>
              </w:rPr>
              <w:t>。</w:t>
            </w:r>
          </w:p>
          <w:p w14:paraId="617C1278">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rFonts w:hint="eastAsia" w:ascii="Times New Roman" w:hAnsi="Times New Roman" w:eastAsia="宋体" w:cs="Times New Roman"/>
                <w:b/>
                <w:bCs/>
                <w:color w:val="auto"/>
                <w:w w:val="100"/>
                <w:sz w:val="22"/>
                <w:szCs w:val="22"/>
                <w:lang w:eastAsia="zh-CN"/>
              </w:rPr>
            </w:pPr>
            <w:r>
              <w:rPr>
                <w:rFonts w:hint="eastAsia" w:ascii="仿宋" w:hAnsi="仿宋" w:eastAsia="仿宋" w:cs="仿宋"/>
                <w:b/>
                <w:bCs/>
                <w:color w:val="auto"/>
                <w:w w:val="100"/>
                <w:sz w:val="22"/>
                <w:szCs w:val="22"/>
              </w:rPr>
              <w:t>⑧</w:t>
            </w:r>
            <w:r>
              <w:rPr>
                <w:rFonts w:hint="eastAsia" w:ascii="Times New Roman" w:hAnsi="Times New Roman" w:eastAsia="宋体" w:cs="Times New Roman"/>
                <w:b/>
                <w:bCs/>
                <w:color w:val="auto"/>
                <w:w w:val="100"/>
                <w:sz w:val="22"/>
                <w:szCs w:val="22"/>
                <w:lang w:eastAsia="zh-CN"/>
              </w:rPr>
              <w:t>磨边</w:t>
            </w:r>
          </w:p>
          <w:p w14:paraId="45F3FC23">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1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7"/>
                <w:w w:val="100"/>
                <w:sz w:val="22"/>
                <w:szCs w:val="22"/>
              </w:rPr>
              <w:t>按照产品需要，用</w:t>
            </w:r>
            <w:r>
              <w:rPr>
                <w:rFonts w:hint="eastAsia" w:cs="Times New Roman"/>
                <w:color w:val="auto"/>
                <w:spacing w:val="-7"/>
                <w:w w:val="100"/>
                <w:sz w:val="22"/>
                <w:szCs w:val="22"/>
                <w:lang w:eastAsia="zh-CN"/>
              </w:rPr>
              <w:t>磨边</w:t>
            </w:r>
            <w:r>
              <w:rPr>
                <w:rFonts w:hint="default" w:ascii="Times New Roman" w:hAnsi="Times New Roman" w:eastAsia="宋体" w:cs="Times New Roman"/>
                <w:color w:val="auto"/>
                <w:spacing w:val="-7"/>
                <w:w w:val="100"/>
                <w:sz w:val="22"/>
                <w:szCs w:val="22"/>
              </w:rPr>
              <w:t>机对橡胶</w:t>
            </w:r>
            <w:r>
              <w:rPr>
                <w:rFonts w:hint="eastAsia" w:cs="Times New Roman"/>
                <w:color w:val="auto"/>
                <w:spacing w:val="-7"/>
                <w:w w:val="100"/>
                <w:sz w:val="22"/>
                <w:szCs w:val="22"/>
                <w:lang w:eastAsia="zh-CN"/>
              </w:rPr>
              <w:t>条表面</w:t>
            </w:r>
            <w:r>
              <w:rPr>
                <w:rFonts w:hint="default" w:ascii="Times New Roman" w:hAnsi="Times New Roman" w:eastAsia="宋体" w:cs="Times New Roman"/>
                <w:color w:val="auto"/>
                <w:spacing w:val="-7"/>
                <w:w w:val="100"/>
                <w:sz w:val="22"/>
                <w:szCs w:val="22"/>
              </w:rPr>
              <w:t>进行</w:t>
            </w:r>
            <w:r>
              <w:rPr>
                <w:rFonts w:hint="eastAsia" w:cs="Times New Roman"/>
                <w:color w:val="auto"/>
                <w:spacing w:val="-7"/>
                <w:w w:val="100"/>
                <w:sz w:val="22"/>
                <w:szCs w:val="22"/>
                <w:lang w:eastAsia="zh-CN"/>
              </w:rPr>
              <w:t>打磨</w:t>
            </w:r>
            <w:r>
              <w:rPr>
                <w:rFonts w:hint="default" w:ascii="Times New Roman" w:hAnsi="Times New Roman" w:eastAsia="宋体" w:cs="Times New Roman"/>
                <w:color w:val="auto"/>
                <w:spacing w:val="-7"/>
                <w:w w:val="100"/>
                <w:sz w:val="22"/>
                <w:szCs w:val="22"/>
              </w:rPr>
              <w:t>，以得到</w:t>
            </w:r>
            <w:r>
              <w:rPr>
                <w:rFonts w:hint="eastAsia" w:cs="Times New Roman"/>
                <w:color w:val="auto"/>
                <w:spacing w:val="-7"/>
                <w:w w:val="100"/>
                <w:sz w:val="22"/>
                <w:szCs w:val="22"/>
                <w:lang w:eastAsia="zh-CN"/>
              </w:rPr>
              <w:t>符合要求</w:t>
            </w:r>
            <w:r>
              <w:rPr>
                <w:rFonts w:hint="default" w:ascii="Times New Roman" w:hAnsi="Times New Roman" w:eastAsia="宋体" w:cs="Times New Roman"/>
                <w:color w:val="auto"/>
                <w:spacing w:val="-3"/>
                <w:w w:val="100"/>
                <w:sz w:val="22"/>
                <w:szCs w:val="22"/>
              </w:rPr>
              <w:t>的产品。该工序产生一定量的粉尘</w:t>
            </w:r>
            <w:r>
              <w:rPr>
                <w:rFonts w:hint="eastAsia" w:cs="Times New Roman"/>
                <w:color w:val="auto"/>
                <w:w w:val="100"/>
                <w:sz w:val="22"/>
                <w:szCs w:val="22"/>
                <w:lang w:val="en-US" w:eastAsia="zh-CN"/>
              </w:rPr>
              <w:t>G1-5</w:t>
            </w:r>
            <w:r>
              <w:rPr>
                <w:rFonts w:hint="default" w:ascii="Times New Roman" w:hAnsi="Times New Roman" w:eastAsia="宋体" w:cs="Times New Roman"/>
                <w:color w:val="auto"/>
                <w:spacing w:val="2"/>
                <w:w w:val="100"/>
                <w:sz w:val="22"/>
                <w:szCs w:val="22"/>
              </w:rPr>
              <w:t>和生产噪声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13D43A8E">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imes New Roman" w:hAnsi="Times New Roman" w:eastAsia="宋体" w:cs="Times New Roman"/>
                <w:b/>
                <w:bCs/>
                <w:color w:val="auto"/>
                <w:w w:val="100"/>
                <w:sz w:val="22"/>
                <w:szCs w:val="22"/>
                <w:lang w:eastAsia="zh-CN"/>
              </w:rPr>
            </w:pPr>
            <w:r>
              <w:rPr>
                <w:rFonts w:hint="eastAsia" w:ascii="仿宋" w:hAnsi="仿宋" w:eastAsia="仿宋" w:cs="仿宋"/>
                <w:b/>
                <w:bCs/>
                <w:color w:val="auto"/>
                <w:w w:val="100"/>
                <w:sz w:val="22"/>
                <w:szCs w:val="22"/>
              </w:rPr>
              <w:t>⑨</w:t>
            </w:r>
            <w:r>
              <w:rPr>
                <w:rFonts w:hint="eastAsia" w:ascii="Times New Roman" w:hAnsi="Times New Roman" w:eastAsia="宋体" w:cs="Times New Roman"/>
                <w:b/>
                <w:bCs/>
                <w:color w:val="auto"/>
                <w:w w:val="100"/>
                <w:sz w:val="22"/>
                <w:szCs w:val="22"/>
                <w:lang w:eastAsia="zh-CN"/>
              </w:rPr>
              <w:t>刻字</w:t>
            </w:r>
          </w:p>
          <w:p w14:paraId="24E8FC3A">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0" w:firstLineChars="200"/>
              <w:jc w:val="left"/>
              <w:textAlignment w:val="auto"/>
              <w:outlineLvl w:val="9"/>
              <w:rPr>
                <w:rFonts w:hint="eastAsia" w:ascii="Times New Roman" w:hAnsi="Times New Roman" w:eastAsia="宋体" w:cs="Times New Roman"/>
                <w:b/>
                <w:bCs/>
                <w:color w:val="auto"/>
                <w:w w:val="100"/>
                <w:sz w:val="22"/>
                <w:szCs w:val="22"/>
                <w:lang w:eastAsia="zh-CN"/>
              </w:rPr>
            </w:pPr>
            <w:r>
              <w:rPr>
                <w:rFonts w:hint="eastAsia" w:ascii="Times New Roman" w:hAnsi="Times New Roman" w:cs="Times New Roman"/>
                <w:b w:val="0"/>
                <w:bCs w:val="0"/>
                <w:color w:val="auto"/>
                <w:w w:val="100"/>
                <w:sz w:val="22"/>
                <w:szCs w:val="22"/>
                <w:lang w:eastAsia="zh-CN"/>
              </w:rPr>
              <w:t>使用</w:t>
            </w:r>
            <w:r>
              <w:rPr>
                <w:rFonts w:hint="eastAsia" w:ascii="Times New Roman" w:hAnsi="Times New Roman" w:eastAsia="宋体" w:cs="Times New Roman"/>
                <w:color w:val="auto"/>
                <w:spacing w:val="2"/>
                <w:w w:val="100"/>
                <w:kern w:val="0"/>
                <w:sz w:val="22"/>
                <w:szCs w:val="22"/>
                <w:lang w:val="en-US" w:eastAsia="zh-CN" w:bidi="ar-SA"/>
              </w:rPr>
              <w:t>刻字机</w:t>
            </w:r>
            <w:r>
              <w:rPr>
                <w:rFonts w:hint="eastAsia" w:ascii="Times New Roman" w:hAnsi="Times New Roman" w:cs="Times New Roman"/>
                <w:color w:val="auto"/>
                <w:spacing w:val="2"/>
                <w:w w:val="100"/>
                <w:kern w:val="0"/>
                <w:sz w:val="22"/>
                <w:szCs w:val="22"/>
                <w:lang w:val="en-US" w:eastAsia="zh-CN" w:bidi="ar-SA"/>
              </w:rPr>
              <w:t>在橡胶条表面刻写编号和代码等，</w:t>
            </w:r>
            <w:r>
              <w:rPr>
                <w:rFonts w:hint="default" w:ascii="Times New Roman" w:hAnsi="Times New Roman" w:eastAsia="宋体" w:cs="Times New Roman"/>
                <w:color w:val="auto"/>
                <w:spacing w:val="-3"/>
                <w:w w:val="100"/>
                <w:sz w:val="22"/>
                <w:szCs w:val="22"/>
              </w:rPr>
              <w:t>该工序产生</w:t>
            </w:r>
            <w:r>
              <w:rPr>
                <w:rFonts w:hint="eastAsia" w:ascii="Times New Roman" w:hAnsi="Times New Roman" w:cs="Times New Roman"/>
                <w:color w:val="auto"/>
                <w:spacing w:val="-3"/>
                <w:w w:val="100"/>
                <w:sz w:val="22"/>
                <w:szCs w:val="22"/>
                <w:lang w:eastAsia="zh-CN"/>
              </w:rPr>
              <w:t>微</w:t>
            </w:r>
            <w:r>
              <w:rPr>
                <w:rFonts w:hint="default" w:ascii="Times New Roman" w:hAnsi="Times New Roman" w:eastAsia="宋体" w:cs="Times New Roman"/>
                <w:color w:val="auto"/>
                <w:spacing w:val="-3"/>
                <w:w w:val="100"/>
                <w:sz w:val="22"/>
                <w:szCs w:val="22"/>
              </w:rPr>
              <w:t>量的粉尘</w:t>
            </w:r>
            <w:r>
              <w:rPr>
                <w:rFonts w:hint="default" w:ascii="Times New Roman" w:hAnsi="Times New Roman" w:cs="Times New Roman"/>
                <w:color w:val="auto"/>
                <w:w w:val="100"/>
                <w:sz w:val="22"/>
                <w:szCs w:val="22"/>
                <w:lang w:val="en-US" w:eastAsia="zh-CN"/>
              </w:rPr>
              <w:t>G1-6</w:t>
            </w:r>
            <w:r>
              <w:rPr>
                <w:rFonts w:hint="default" w:ascii="Times New Roman" w:hAnsi="Times New Roman" w:eastAsia="宋体" w:cs="Times New Roman"/>
                <w:color w:val="auto"/>
                <w:spacing w:val="2"/>
                <w:w w:val="100"/>
                <w:sz w:val="22"/>
                <w:szCs w:val="22"/>
              </w:rPr>
              <w:t>和生产噪声</w:t>
            </w:r>
            <w:r>
              <w:rPr>
                <w:rFonts w:hint="eastAsia" w:cs="Times New Roman"/>
                <w:color w:val="auto"/>
                <w:w w:val="100"/>
                <w:sz w:val="22"/>
                <w:szCs w:val="22"/>
                <w:lang w:val="en-US" w:eastAsia="zh-CN"/>
              </w:rPr>
              <w:t>N</w:t>
            </w:r>
            <w:r>
              <w:rPr>
                <w:rFonts w:hint="eastAsia" w:ascii="Times New Roman" w:hAnsi="Times New Roman" w:cs="Times New Roman"/>
                <w:color w:val="auto"/>
                <w:spacing w:val="2"/>
                <w:w w:val="100"/>
                <w:kern w:val="0"/>
                <w:sz w:val="22"/>
                <w:szCs w:val="22"/>
                <w:lang w:val="en-US" w:eastAsia="zh-CN" w:bidi="ar-SA"/>
              </w:rPr>
              <w:t>。</w:t>
            </w:r>
          </w:p>
          <w:p w14:paraId="289B70E9">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right="0" w:rightChars="0" w:firstLine="442" w:firstLineChars="200"/>
              <w:jc w:val="left"/>
              <w:textAlignment w:val="auto"/>
              <w:outlineLvl w:val="9"/>
              <w:rPr>
                <w:rFonts w:hint="default" w:ascii="Times New Roman" w:hAnsi="Times New Roman" w:eastAsia="宋体" w:cs="Times New Roman"/>
                <w:color w:val="auto"/>
                <w:w w:val="100"/>
                <w:sz w:val="22"/>
                <w:szCs w:val="22"/>
              </w:rPr>
            </w:pPr>
            <w:r>
              <w:rPr>
                <w:rFonts w:hint="eastAsia" w:ascii="仿宋" w:hAnsi="仿宋" w:eastAsia="仿宋" w:cs="仿宋"/>
                <w:b/>
                <w:bCs/>
                <w:color w:val="auto"/>
                <w:w w:val="100"/>
                <w:sz w:val="22"/>
                <w:szCs w:val="22"/>
              </w:rPr>
              <w:t>⑩</w:t>
            </w:r>
            <w:r>
              <w:rPr>
                <w:rFonts w:hint="default" w:ascii="Times New Roman" w:hAnsi="Times New Roman" w:eastAsia="宋体" w:cs="Times New Roman"/>
                <w:b/>
                <w:bCs/>
                <w:color w:val="auto"/>
                <w:w w:val="100"/>
                <w:sz w:val="22"/>
                <w:szCs w:val="22"/>
              </w:rPr>
              <w:t>检验、包装出货</w:t>
            </w:r>
          </w:p>
          <w:p w14:paraId="65158272">
            <w:pPr>
              <w:keepNext w:val="0"/>
              <w:keepLines w:val="0"/>
              <w:pageBreakBefore w:val="0"/>
              <w:widowControl w:val="0"/>
              <w:suppressLineNumbers w:val="0"/>
              <w:kinsoku/>
              <w:wordWrap/>
              <w:overflowPunct/>
              <w:topLinePunct w:val="0"/>
              <w:autoSpaceDE/>
              <w:autoSpaceDN/>
              <w:bidi w:val="0"/>
              <w:adjustRightInd/>
              <w:snapToGrid/>
              <w:spacing w:line="500" w:lineRule="exact"/>
              <w:ind w:left="0" w:firstLine="412" w:firstLineChars="200"/>
              <w:jc w:val="left"/>
              <w:textAlignment w:val="auto"/>
              <w:outlineLvl w:val="9"/>
              <w:rPr>
                <w:rFonts w:hint="default" w:ascii="Times New Roman" w:hAnsi="Times New Roman" w:eastAsia="宋体" w:cs="Times New Roman"/>
                <w:color w:val="auto"/>
                <w:spacing w:val="-8"/>
                <w:w w:val="100"/>
                <w:sz w:val="22"/>
                <w:szCs w:val="22"/>
              </w:rPr>
            </w:pPr>
            <w:r>
              <w:rPr>
                <w:rFonts w:hint="default" w:ascii="Times New Roman" w:hAnsi="Times New Roman" w:eastAsia="宋体" w:cs="Times New Roman"/>
                <w:color w:val="auto"/>
                <w:spacing w:val="-7"/>
                <w:w w:val="100"/>
                <w:sz w:val="22"/>
                <w:szCs w:val="22"/>
              </w:rPr>
              <w:t>产品经尺寸、外观检验合格后，包装入库。不合格产品</w:t>
            </w:r>
            <w:r>
              <w:rPr>
                <w:rFonts w:hint="default" w:ascii="Times New Roman" w:hAnsi="Times New Roman" w:cs="Times New Roman" w:eastAsiaTheme="minorEastAsia"/>
                <w:color w:val="auto"/>
                <w:sz w:val="22"/>
                <w:szCs w:val="24"/>
                <w:lang w:val="en-US" w:eastAsia="zh-CN"/>
              </w:rPr>
              <w:t>S1-</w:t>
            </w:r>
            <w:r>
              <w:rPr>
                <w:rFonts w:hint="eastAsia" w:cs="Times New Roman" w:eastAsiaTheme="minorEastAsia"/>
                <w:color w:val="auto"/>
                <w:sz w:val="22"/>
                <w:szCs w:val="24"/>
                <w:lang w:val="en-US" w:eastAsia="zh-CN"/>
              </w:rPr>
              <w:t>4</w:t>
            </w:r>
            <w:r>
              <w:rPr>
                <w:rFonts w:hint="default" w:ascii="Times New Roman" w:hAnsi="Times New Roman" w:eastAsia="宋体" w:cs="Times New Roman"/>
                <w:color w:val="auto"/>
                <w:spacing w:val="-8"/>
                <w:w w:val="100"/>
                <w:sz w:val="22"/>
                <w:szCs w:val="22"/>
              </w:rPr>
              <w:t>，出售相关物资回收单位。</w:t>
            </w:r>
          </w:p>
          <w:p w14:paraId="1963DCA5">
            <w:pPr>
              <w:pStyle w:val="34"/>
              <w:keepNext w:val="0"/>
              <w:keepLines w:val="0"/>
              <w:pageBreakBefore w:val="0"/>
              <w:widowControl w:val="0"/>
              <w:kinsoku/>
              <w:wordWrap/>
              <w:overflowPunct/>
              <w:topLinePunct w:val="0"/>
              <w:autoSpaceDE w:val="0"/>
              <w:autoSpaceDN w:val="0"/>
              <w:bidi w:val="0"/>
              <w:adjustRightInd/>
              <w:snapToGrid/>
              <w:ind w:firstLine="442" w:firstLineChars="200"/>
              <w:textAlignment w:val="auto"/>
              <w:outlineLvl w:val="9"/>
              <w:rPr>
                <w:rFonts w:hint="default"/>
                <w:color w:val="auto"/>
                <w:vertAlign w:val="baseline"/>
                <w:lang w:eastAsia="zh-CN"/>
              </w:rPr>
            </w:pPr>
            <w:r>
              <w:rPr>
                <w:rFonts w:hint="default" w:ascii="Times New Roman" w:hAnsi="Times New Roman" w:eastAsia="宋体" w:cs="Times New Roman"/>
                <w:b/>
                <w:bCs/>
                <w:color w:val="auto"/>
                <w:w w:val="100"/>
                <w:sz w:val="22"/>
                <w:szCs w:val="22"/>
              </w:rPr>
              <w:t>⑵</w:t>
            </w:r>
            <w:r>
              <w:rPr>
                <w:rFonts w:hint="default" w:ascii="Times New Roman" w:hAnsi="Times New Roman" w:eastAsia="宋体" w:cs="Times New Roman"/>
                <w:color w:val="auto"/>
                <w:w w:val="100"/>
                <w:sz w:val="22"/>
                <w:szCs w:val="22"/>
                <w:lang w:val="en-US" w:eastAsia="zh-CN"/>
              </w:rPr>
              <w:t>高分子半导电胶辊</w:t>
            </w:r>
            <w:r>
              <w:rPr>
                <w:rFonts w:hint="eastAsia" w:ascii="Times New Roman" w:cs="Times New Roman"/>
                <w:color w:val="auto"/>
                <w:w w:val="100"/>
                <w:sz w:val="22"/>
                <w:szCs w:val="22"/>
                <w:lang w:val="en-US" w:eastAsia="zh-CN"/>
              </w:rPr>
              <w:t>生产工艺及产排污环节</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15"/>
            </w:tblGrid>
            <w:tr w14:paraId="0F5C53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18" w:type="dxa"/>
                  <w:tcBorders>
                    <w:tl2br w:val="nil"/>
                    <w:tr2bl w:val="nil"/>
                  </w:tcBorders>
                </w:tcPr>
                <w:p w14:paraId="425F939E">
                  <w:pPr>
                    <w:pStyle w:val="34"/>
                    <w:keepNext w:val="0"/>
                    <w:keepLines w:val="0"/>
                    <w:pageBreakBefore w:val="0"/>
                    <w:widowControl w:val="0"/>
                    <w:kinsoku/>
                    <w:wordWrap/>
                    <w:overflowPunct/>
                    <w:topLinePunct w:val="0"/>
                    <w:autoSpaceDE w:val="0"/>
                    <w:autoSpaceDN w:val="0"/>
                    <w:bidi w:val="0"/>
                    <w:adjustRightInd/>
                    <w:snapToGrid/>
                    <w:jc w:val="center"/>
                    <w:textAlignment w:val="auto"/>
                    <w:outlineLvl w:val="9"/>
                    <w:rPr>
                      <w:rFonts w:hint="default"/>
                      <w:color w:val="auto"/>
                      <w:vertAlign w:val="baseline"/>
                      <w:lang w:eastAsia="zh-CN"/>
                    </w:rPr>
                  </w:pPr>
                  <w:r>
                    <w:rPr>
                      <w:color w:val="auto"/>
                    </w:rPr>
                    <w:pict>
                      <v:shape id="_x0000_s1064" o:spid="_x0000_s1064" o:spt="75" type="#_x0000_t75" style="position:absolute;left:0pt;margin-left:-4.75pt;margin-top:4.5pt;height:273.9pt;width:447.55pt;mso-wrap-distance-bottom:0pt;mso-wrap-distance-top:0pt;z-index:251669504;mso-width-relative:page;mso-height-relative:page;" o:ole="t" filled="f" o:preferrelative="t" stroked="f" coordsize="21600,21600">
                        <v:path/>
                        <v:fill on="f" focussize="0,0"/>
                        <v:stroke on="f"/>
                        <v:imagedata r:id="rId15" cropleft="4585f" cropright="831f" cropbottom="11292f" o:title=""/>
                        <o:lock v:ext="edit" aspectratio="t"/>
                        <w10:wrap type="topAndBottom"/>
                      </v:shape>
                      <o:OLEObject Type="Embed" ProgID="Word.Document.12" ShapeID="_x0000_s1064" DrawAspect="Content" ObjectID="_1468075727" r:id="rId14">
                        <o:LockedField>false</o:LockedField>
                      </o:OLEObject>
                    </w:pict>
                  </w:r>
                  <w:r>
                    <w:rPr>
                      <w:rStyle w:val="72"/>
                      <w:rFonts w:hint="default" w:ascii="Times New Roman" w:hAnsi="Times New Roman" w:eastAsia="宋体" w:cs="Times New Roman"/>
                      <w:b/>
                      <w:bCs/>
                      <w:color w:val="auto"/>
                      <w:sz w:val="22"/>
                      <w:szCs w:val="22"/>
                    </w:rPr>
                    <w:t>图</w:t>
                  </w:r>
                  <w:r>
                    <w:rPr>
                      <w:rStyle w:val="72"/>
                      <w:rFonts w:hint="default" w:ascii="Times New Roman" w:hAnsi="Times New Roman" w:eastAsia="宋体" w:cs="Times New Roman"/>
                      <w:b/>
                      <w:bCs/>
                      <w:color w:val="auto"/>
                      <w:sz w:val="22"/>
                      <w:szCs w:val="22"/>
                      <w:lang w:val="en-US" w:eastAsia="zh-CN"/>
                    </w:rPr>
                    <w:t>2-</w:t>
                  </w:r>
                  <w:r>
                    <w:rPr>
                      <w:rStyle w:val="72"/>
                      <w:rFonts w:hint="eastAsia" w:ascii="Times New Roman" w:cs="Times New Roman"/>
                      <w:b/>
                      <w:bCs/>
                      <w:color w:val="auto"/>
                      <w:sz w:val="22"/>
                      <w:szCs w:val="22"/>
                      <w:lang w:val="en-US" w:eastAsia="zh-CN"/>
                    </w:rPr>
                    <w:t>3</w:t>
                  </w:r>
                  <w:r>
                    <w:rPr>
                      <w:rStyle w:val="72"/>
                      <w:rFonts w:hint="default"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color w:val="auto"/>
                      <w:w w:val="100"/>
                      <w:sz w:val="22"/>
                      <w:szCs w:val="22"/>
                      <w:lang w:val="en-US" w:eastAsia="zh-CN"/>
                    </w:rPr>
                    <w:t>半导电胶辊</w:t>
                  </w:r>
                  <w:r>
                    <w:rPr>
                      <w:rStyle w:val="72"/>
                      <w:rFonts w:hint="default" w:ascii="Times New Roman" w:hAnsi="Times New Roman" w:eastAsia="宋体" w:cs="Times New Roman"/>
                      <w:b/>
                      <w:bCs/>
                      <w:color w:val="auto"/>
                      <w:sz w:val="22"/>
                      <w:szCs w:val="22"/>
                    </w:rPr>
                    <w:t>生产工艺流程及产污环节图</w:t>
                  </w:r>
                </w:p>
              </w:tc>
            </w:tr>
          </w:tbl>
          <w:p w14:paraId="6876E572">
            <w:pPr>
              <w:pStyle w:val="73"/>
              <w:keepNext w:val="0"/>
              <w:keepLines w:val="0"/>
              <w:pageBreakBefore w:val="0"/>
              <w:widowControl w:val="0"/>
              <w:numPr>
                <w:ilvl w:val="0"/>
                <w:numId w:val="0"/>
              </w:numPr>
              <w:tabs>
                <w:tab w:val="left" w:pos="779"/>
              </w:tabs>
              <w:kinsoku/>
              <w:wordWrap/>
              <w:overflowPunct/>
              <w:topLinePunct w:val="0"/>
              <w:autoSpaceDE/>
              <w:autoSpaceDN/>
              <w:bidi w:val="0"/>
              <w:adjustRightInd/>
              <w:snapToGrid/>
              <w:spacing w:line="500" w:lineRule="exact"/>
              <w:ind w:right="0" w:rightChars="0"/>
              <w:jc w:val="left"/>
              <w:textAlignment w:val="auto"/>
              <w:outlineLvl w:val="9"/>
              <w:rPr>
                <w:rFonts w:hint="default" w:ascii="Times New Roman" w:hAnsi="Times New Roman" w:eastAsia="宋体" w:cs="Times New Roman"/>
                <w:b/>
                <w:color w:val="auto"/>
                <w:w w:val="100"/>
                <w:sz w:val="22"/>
                <w:szCs w:val="22"/>
              </w:rPr>
            </w:pPr>
            <w:r>
              <w:rPr>
                <w:rFonts w:hint="default" w:ascii="Times New Roman" w:hAnsi="Times New Roman" w:eastAsia="宋体" w:cs="Times New Roman"/>
                <w:b/>
                <w:color w:val="auto"/>
                <w:sz w:val="22"/>
                <w:szCs w:val="22"/>
              </w:rPr>
              <w:t>工艺流程及产污环节</w:t>
            </w:r>
            <w:r>
              <w:rPr>
                <w:rFonts w:hint="default" w:ascii="Times New Roman" w:hAnsi="Times New Roman" w:eastAsia="宋体" w:cs="Times New Roman"/>
                <w:b/>
                <w:color w:val="auto"/>
                <w:w w:val="100"/>
                <w:sz w:val="22"/>
                <w:szCs w:val="22"/>
              </w:rPr>
              <w:t>说明：</w:t>
            </w:r>
          </w:p>
          <w:p w14:paraId="69EBA1C0">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5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3"/>
                <w:w w:val="100"/>
                <w:sz w:val="22"/>
                <w:szCs w:val="22"/>
                <w:lang w:eastAsia="zh-CN"/>
              </w:rPr>
              <w:t>技改</w:t>
            </w:r>
            <w:r>
              <w:rPr>
                <w:rFonts w:hint="default" w:ascii="Times New Roman" w:hAnsi="Times New Roman" w:eastAsia="宋体" w:cs="Times New Roman"/>
                <w:color w:val="auto"/>
                <w:spacing w:val="3"/>
                <w:w w:val="100"/>
                <w:sz w:val="22"/>
                <w:szCs w:val="22"/>
              </w:rPr>
              <w:t>项目预计年产</w:t>
            </w:r>
            <w:r>
              <w:rPr>
                <w:rFonts w:hint="default" w:ascii="Times New Roman" w:hAnsi="Times New Roman" w:eastAsia="宋体" w:cs="Times New Roman"/>
                <w:color w:val="auto"/>
                <w:w w:val="100"/>
                <w:sz w:val="22"/>
                <w:szCs w:val="22"/>
                <w:lang w:eastAsia="zh-CN"/>
              </w:rPr>
              <w:t>导电辊和显影辊</w:t>
            </w:r>
            <w:r>
              <w:rPr>
                <w:rFonts w:hint="default" w:ascii="Times New Roman" w:hAnsi="Times New Roman" w:eastAsia="宋体" w:cs="Times New Roman"/>
                <w:color w:val="auto"/>
                <w:spacing w:val="3"/>
                <w:w w:val="100"/>
                <w:sz w:val="22"/>
                <w:szCs w:val="22"/>
              </w:rPr>
              <w:t>合计</w:t>
            </w:r>
            <w:r>
              <w:rPr>
                <w:rFonts w:hint="default" w:ascii="Times New Roman" w:hAnsi="Times New Roman" w:eastAsia="宋体" w:cs="Times New Roman"/>
                <w:color w:val="auto"/>
                <w:spacing w:val="3"/>
                <w:w w:val="100"/>
                <w:sz w:val="22"/>
                <w:szCs w:val="22"/>
                <w:lang w:val="en-US" w:eastAsia="zh-CN"/>
              </w:rPr>
              <w:t>1800</w:t>
            </w:r>
            <w:r>
              <w:rPr>
                <w:rFonts w:hint="default" w:ascii="Times New Roman" w:hAnsi="Times New Roman" w:eastAsia="宋体" w:cs="Times New Roman"/>
                <w:color w:val="auto"/>
                <w:w w:val="100"/>
                <w:sz w:val="22"/>
                <w:szCs w:val="22"/>
              </w:rPr>
              <w:t>万支，生产</w:t>
            </w:r>
            <w:r>
              <w:rPr>
                <w:rFonts w:hint="default" w:ascii="Times New Roman" w:hAnsi="Times New Roman" w:eastAsia="宋体" w:cs="Times New Roman"/>
                <w:color w:val="auto"/>
                <w:w w:val="100"/>
                <w:sz w:val="22"/>
                <w:szCs w:val="22"/>
                <w:lang w:eastAsia="zh-CN"/>
              </w:rPr>
              <w:t>导电辊和显影辊</w:t>
            </w:r>
            <w:r>
              <w:rPr>
                <w:rFonts w:hint="default" w:ascii="Times New Roman" w:hAnsi="Times New Roman" w:eastAsia="宋体" w:cs="Times New Roman"/>
                <w:color w:val="auto"/>
                <w:w w:val="100"/>
                <w:sz w:val="22"/>
                <w:szCs w:val="22"/>
              </w:rPr>
              <w:t>，</w:t>
            </w:r>
            <w:r>
              <w:rPr>
                <w:rFonts w:hint="default" w:ascii="Times New Roman" w:hAnsi="Times New Roman" w:eastAsia="宋体" w:cs="Times New Roman"/>
                <w:color w:val="auto"/>
                <w:w w:val="100"/>
                <w:sz w:val="22"/>
                <w:szCs w:val="22"/>
                <w:lang w:eastAsia="zh-CN"/>
              </w:rPr>
              <w:t>两种</w:t>
            </w:r>
            <w:r>
              <w:rPr>
                <w:rFonts w:hint="default" w:ascii="Times New Roman" w:hAnsi="Times New Roman" w:eastAsia="宋体" w:cs="Times New Roman"/>
                <w:color w:val="auto"/>
                <w:w w:val="100"/>
                <w:sz w:val="22"/>
                <w:szCs w:val="22"/>
              </w:rPr>
              <w:t>产品的配方不同，但生产工艺基本相同。具体工艺说明如下：</w:t>
            </w:r>
          </w:p>
          <w:p w14:paraId="142D5194">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imes New Roman" w:hAnsi="Times New Roman" w:eastAsia="宋体" w:cs="Times New Roman"/>
                <w:b/>
                <w:bCs/>
                <w:color w:val="auto"/>
                <w:w w:val="100"/>
                <w:sz w:val="22"/>
                <w:szCs w:val="22"/>
                <w:lang w:val="en-US" w:eastAsia="zh-CN"/>
              </w:rPr>
            </w:pPr>
            <w:r>
              <w:rPr>
                <w:rFonts w:hint="eastAsia" w:ascii="仿宋" w:hAnsi="仿宋" w:eastAsia="仿宋" w:cs="仿宋"/>
                <w:b/>
                <w:bCs/>
                <w:color w:val="auto"/>
                <w:w w:val="100"/>
                <w:sz w:val="22"/>
                <w:szCs w:val="22"/>
              </w:rPr>
              <w:t>①</w:t>
            </w:r>
            <w:r>
              <w:rPr>
                <w:rFonts w:hint="eastAsia" w:ascii="仿宋" w:hAnsi="仿宋" w:eastAsia="仿宋" w:cs="仿宋"/>
                <w:b/>
                <w:bCs/>
                <w:color w:val="auto"/>
                <w:w w:val="100"/>
                <w:sz w:val="22"/>
                <w:szCs w:val="22"/>
                <w:lang w:eastAsia="zh-CN"/>
              </w:rPr>
              <w:t>配</w:t>
            </w:r>
            <w:r>
              <w:rPr>
                <w:rFonts w:hint="eastAsia" w:ascii="Times New Roman" w:hAnsi="Times New Roman" w:cs="Times New Roman"/>
                <w:b/>
                <w:bCs/>
                <w:color w:val="auto"/>
                <w:w w:val="100"/>
                <w:sz w:val="22"/>
                <w:szCs w:val="22"/>
                <w:lang w:eastAsia="zh-CN"/>
              </w:rPr>
              <w:t>料</w:t>
            </w:r>
          </w:p>
          <w:p w14:paraId="7C97F388">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b w:val="0"/>
                <w:bCs w:val="0"/>
                <w:color w:val="auto"/>
                <w:w w:val="100"/>
                <w:sz w:val="22"/>
                <w:szCs w:val="22"/>
              </w:rPr>
            </w:pPr>
            <w:r>
              <w:rPr>
                <w:rFonts w:hint="default" w:ascii="Times New Roman" w:hAnsi="Times New Roman" w:eastAsia="宋体" w:cs="Times New Roman"/>
                <w:color w:val="auto"/>
                <w:w w:val="100"/>
                <w:sz w:val="22"/>
                <w:szCs w:val="22"/>
              </w:rPr>
              <w:t>根据产品的原料配方人工称取一定量的原辅料，其中固体原辅料装在塑料袋内称量，液体辅料装在塑料桶内称量，称量好的原辅料全部打包送至生产区</w:t>
            </w:r>
            <w:r>
              <w:rPr>
                <w:rFonts w:hint="eastAsia" w:cs="Times New Roman"/>
                <w:color w:val="auto"/>
                <w:w w:val="100"/>
                <w:sz w:val="22"/>
                <w:szCs w:val="22"/>
                <w:lang w:val="en-US" w:eastAsia="zh-CN"/>
              </w:rPr>
              <w:t>进行生产</w:t>
            </w:r>
            <w:r>
              <w:rPr>
                <w:rFonts w:hint="default" w:ascii="Times New Roman" w:hAnsi="Times New Roman" w:eastAsia="宋体" w:cs="Times New Roman"/>
                <w:color w:val="auto"/>
                <w:w w:val="100"/>
                <w:sz w:val="22"/>
                <w:szCs w:val="22"/>
              </w:rPr>
              <w:t>。</w:t>
            </w:r>
            <w:r>
              <w:rPr>
                <w:rFonts w:hint="eastAsia" w:cs="Times New Roman"/>
                <w:color w:val="auto"/>
                <w:w w:val="100"/>
                <w:sz w:val="22"/>
                <w:szCs w:val="22"/>
                <w:lang w:val="en-US" w:eastAsia="zh-CN"/>
              </w:rPr>
              <w:t>该过程中</w:t>
            </w:r>
            <w:r>
              <w:rPr>
                <w:rFonts w:hint="default" w:ascii="Times New Roman" w:hAnsi="Times New Roman" w:eastAsia="宋体" w:cs="Times New Roman"/>
                <w:color w:val="auto"/>
                <w:w w:val="100"/>
                <w:sz w:val="22"/>
                <w:szCs w:val="22"/>
              </w:rPr>
              <w:t>产生</w:t>
            </w:r>
            <w:r>
              <w:rPr>
                <w:rFonts w:hint="eastAsia" w:cs="Times New Roman"/>
                <w:color w:val="auto"/>
                <w:w w:val="100"/>
                <w:sz w:val="22"/>
                <w:szCs w:val="22"/>
                <w:lang w:val="en-US" w:eastAsia="zh-CN"/>
              </w:rPr>
              <w:t>配料</w:t>
            </w:r>
            <w:r>
              <w:rPr>
                <w:rFonts w:hint="default" w:ascii="Times New Roman" w:hAnsi="Times New Roman" w:eastAsia="宋体" w:cs="Times New Roman"/>
                <w:color w:val="auto"/>
                <w:w w:val="100"/>
                <w:sz w:val="22"/>
                <w:szCs w:val="22"/>
              </w:rPr>
              <w:t>粉尘</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1</w:t>
            </w:r>
            <w:r>
              <w:rPr>
                <w:rFonts w:hint="default" w:ascii="Times New Roman" w:hAnsi="Times New Roman" w:eastAsia="宋体" w:cs="Times New Roman"/>
                <w:color w:val="auto"/>
                <w:w w:val="100"/>
                <w:sz w:val="22"/>
                <w:szCs w:val="22"/>
              </w:rPr>
              <w:t>。</w:t>
            </w:r>
          </w:p>
          <w:p w14:paraId="1B23431E">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eastAsia" w:ascii="Times New Roman" w:hAnsi="Times New Roman" w:eastAsia="宋体" w:cs="Times New Roman"/>
                <w:b/>
                <w:bCs/>
                <w:color w:val="auto"/>
                <w:w w:val="100"/>
                <w:sz w:val="22"/>
                <w:szCs w:val="22"/>
                <w:lang w:val="en-US" w:eastAsia="zh-CN"/>
              </w:rPr>
            </w:pPr>
            <w:r>
              <w:rPr>
                <w:rFonts w:hint="eastAsia" w:ascii="仿宋" w:hAnsi="仿宋" w:eastAsia="仿宋" w:cs="仿宋"/>
                <w:b/>
                <w:bCs/>
                <w:color w:val="auto"/>
                <w:w w:val="100"/>
                <w:sz w:val="22"/>
                <w:szCs w:val="22"/>
              </w:rPr>
              <w:t>②</w:t>
            </w:r>
            <w:r>
              <w:rPr>
                <w:rFonts w:hint="eastAsia" w:ascii="Times New Roman" w:hAnsi="Times New Roman" w:cs="Times New Roman"/>
                <w:b/>
                <w:bCs/>
                <w:color w:val="auto"/>
                <w:w w:val="100"/>
                <w:sz w:val="22"/>
                <w:szCs w:val="22"/>
                <w:lang w:eastAsia="zh-CN"/>
              </w:rPr>
              <w:t>密炼</w:t>
            </w:r>
          </w:p>
          <w:p w14:paraId="0CF71429">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将配制好的原辅料</w:t>
            </w:r>
            <w:r>
              <w:rPr>
                <w:rFonts w:hint="eastAsia" w:cs="Times New Roman"/>
                <w:color w:val="auto"/>
                <w:w w:val="100"/>
                <w:sz w:val="22"/>
                <w:szCs w:val="22"/>
                <w:lang w:eastAsia="zh-CN"/>
              </w:rPr>
              <w:t>放入密炼机进行密炼</w:t>
            </w:r>
            <w:r>
              <w:rPr>
                <w:rFonts w:hint="default" w:ascii="Times New Roman" w:hAnsi="Times New Roman" w:eastAsia="宋体" w:cs="Times New Roman"/>
                <w:color w:val="auto"/>
                <w:w w:val="100"/>
                <w:sz w:val="22"/>
                <w:szCs w:val="22"/>
              </w:rPr>
              <w:t>，该工序不同时段温度控制不一样，大概温度控制在100-140℃之间。密炼过程中产生密炼废气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2</w:t>
            </w:r>
            <w:r>
              <w:rPr>
                <w:rFonts w:hint="default" w:ascii="Times New Roman" w:hAnsi="Times New Roman" w:eastAsia="宋体" w:cs="Times New Roman"/>
                <w:color w:val="auto"/>
                <w:w w:val="100"/>
                <w:sz w:val="22"/>
                <w:szCs w:val="22"/>
              </w:rPr>
              <w:t>和生产噪声N。密炼机螺杆与混合槽采用夹套通水进行间接冷却</w:t>
            </w:r>
            <w:r>
              <w:rPr>
                <w:rFonts w:hint="eastAsia" w:cs="Times New Roman"/>
                <w:color w:val="auto"/>
                <w:w w:val="100"/>
                <w:sz w:val="22"/>
                <w:szCs w:val="22"/>
                <w:lang w:eastAsia="zh-CN"/>
              </w:rPr>
              <w:t>，</w:t>
            </w:r>
            <w:r>
              <w:rPr>
                <w:rFonts w:hint="eastAsia" w:cs="Times New Roman"/>
                <w:color w:val="auto"/>
                <w:w w:val="100"/>
                <w:sz w:val="22"/>
                <w:szCs w:val="22"/>
                <w:lang w:val="en-US" w:eastAsia="zh-CN"/>
              </w:rPr>
              <w:t>冷却水W2-1循环使用不排放</w:t>
            </w:r>
            <w:r>
              <w:rPr>
                <w:rFonts w:hint="default" w:ascii="Times New Roman" w:hAnsi="Times New Roman" w:eastAsia="宋体" w:cs="Times New Roman"/>
                <w:color w:val="auto"/>
                <w:w w:val="100"/>
                <w:sz w:val="22"/>
                <w:szCs w:val="22"/>
              </w:rPr>
              <w:t>。</w:t>
            </w:r>
          </w:p>
          <w:p w14:paraId="668E77AE">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为了适应不同的条件、获得各种不同的性能，降低后期硫化过程污染物的产生和排放量，</w:t>
            </w:r>
            <w:r>
              <w:rPr>
                <w:rFonts w:hint="eastAsia" w:cs="Times New Roman"/>
                <w:color w:val="auto"/>
                <w:w w:val="100"/>
                <w:sz w:val="22"/>
                <w:szCs w:val="22"/>
                <w:lang w:eastAsia="zh-CN"/>
              </w:rPr>
              <w:t>密</w:t>
            </w:r>
            <w:r>
              <w:rPr>
                <w:rFonts w:hint="default" w:ascii="Times New Roman" w:hAnsi="Times New Roman" w:eastAsia="宋体" w:cs="Times New Roman"/>
                <w:color w:val="auto"/>
                <w:w w:val="100"/>
                <w:sz w:val="22"/>
                <w:szCs w:val="22"/>
              </w:rPr>
              <w:t>炼就是将胶料与助剂在密炼机中通过机械拌和作用混合，</w:t>
            </w:r>
            <w:r>
              <w:rPr>
                <w:rFonts w:hint="eastAsia" w:cs="Times New Roman"/>
                <w:color w:val="auto"/>
                <w:w w:val="100"/>
                <w:sz w:val="22"/>
                <w:szCs w:val="22"/>
                <w:lang w:val="en-US" w:eastAsia="zh-CN"/>
              </w:rPr>
              <w:t>使</w:t>
            </w:r>
            <w:r>
              <w:rPr>
                <w:rFonts w:hint="default" w:ascii="Times New Roman" w:hAnsi="Times New Roman" w:eastAsia="宋体" w:cs="Times New Roman"/>
                <w:color w:val="auto"/>
                <w:w w:val="100"/>
                <w:sz w:val="22"/>
                <w:szCs w:val="22"/>
              </w:rPr>
              <w:t>助剂均匀地分散在胶料中的一种过程。</w:t>
            </w:r>
            <w:r>
              <w:rPr>
                <w:rFonts w:hint="eastAsia" w:cs="Times New Roman"/>
                <w:color w:val="auto"/>
                <w:w w:val="100"/>
                <w:sz w:val="22"/>
                <w:szCs w:val="22"/>
                <w:lang w:eastAsia="zh-CN"/>
              </w:rPr>
              <w:t>密</w:t>
            </w:r>
            <w:r>
              <w:rPr>
                <w:rFonts w:hint="default" w:ascii="Times New Roman" w:hAnsi="Times New Roman" w:eastAsia="宋体" w:cs="Times New Roman"/>
                <w:color w:val="auto"/>
                <w:w w:val="100"/>
                <w:sz w:val="22"/>
                <w:szCs w:val="22"/>
              </w:rPr>
              <w:t>炼是橡胶制品生产过程中一道重要的工序，如果混合不均匀，就不能在后期的硫化过程中充分发挥橡胶和助剂的作用，影响产品的使用性能。密炼是一种物理过程，因其温度</w:t>
            </w:r>
            <w:r>
              <w:rPr>
                <w:rFonts w:hint="eastAsia" w:cs="Times New Roman"/>
                <w:color w:val="auto"/>
                <w:w w:val="100"/>
                <w:sz w:val="22"/>
                <w:szCs w:val="22"/>
                <w:lang w:eastAsia="zh-CN"/>
              </w:rPr>
              <w:t>较</w:t>
            </w:r>
            <w:r>
              <w:rPr>
                <w:rFonts w:hint="default" w:ascii="Times New Roman" w:hAnsi="Times New Roman" w:eastAsia="宋体" w:cs="Times New Roman"/>
                <w:color w:val="auto"/>
                <w:w w:val="100"/>
                <w:sz w:val="22"/>
                <w:szCs w:val="22"/>
              </w:rPr>
              <w:t>低，不至于使橡胶发生化学变化。</w:t>
            </w:r>
          </w:p>
          <w:p w14:paraId="5078140A">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③</w:t>
            </w:r>
            <w:r>
              <w:rPr>
                <w:rFonts w:hint="default" w:ascii="Times New Roman" w:hAnsi="Times New Roman" w:eastAsia="宋体" w:cs="Times New Roman"/>
                <w:b/>
                <w:bCs/>
                <w:color w:val="auto"/>
                <w:w w:val="100"/>
                <w:sz w:val="22"/>
                <w:szCs w:val="22"/>
              </w:rPr>
              <w:t>过滤</w:t>
            </w:r>
          </w:p>
          <w:p w14:paraId="31244571">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将</w:t>
            </w:r>
            <w:r>
              <w:rPr>
                <w:rFonts w:hint="eastAsia" w:cs="Times New Roman"/>
                <w:color w:val="auto"/>
                <w:w w:val="100"/>
                <w:sz w:val="22"/>
                <w:szCs w:val="22"/>
                <w:lang w:val="en-US" w:eastAsia="zh-CN"/>
              </w:rPr>
              <w:t>密炼</w:t>
            </w:r>
            <w:r>
              <w:rPr>
                <w:rFonts w:hint="default" w:ascii="Times New Roman" w:hAnsi="Times New Roman" w:eastAsia="宋体" w:cs="Times New Roman"/>
                <w:color w:val="auto"/>
                <w:w w:val="100"/>
                <w:sz w:val="22"/>
                <w:szCs w:val="22"/>
              </w:rPr>
              <w:t>橡胶放入过滤机中，通过螺杆挤压和利用过滤网将橡胶内的杂质过滤出来，过程中会产生固体废物</w:t>
            </w:r>
            <w:r>
              <w:rPr>
                <w:rFonts w:hint="eastAsia" w:cs="Times New Roman"/>
                <w:color w:val="auto"/>
                <w:w w:val="100"/>
                <w:sz w:val="22"/>
                <w:szCs w:val="22"/>
                <w:lang w:val="en-US" w:eastAsia="zh-CN"/>
              </w:rPr>
              <w:t>S2-1</w:t>
            </w:r>
            <w:r>
              <w:rPr>
                <w:rFonts w:hint="default" w:ascii="Times New Roman" w:hAnsi="Times New Roman" w:eastAsia="宋体" w:cs="Times New Roman"/>
                <w:color w:val="auto"/>
                <w:w w:val="100"/>
                <w:sz w:val="22"/>
                <w:szCs w:val="22"/>
              </w:rPr>
              <w:t>和生产噪声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r>
              <w:rPr>
                <w:rFonts w:hint="default" w:ascii="Times New Roman" w:hAnsi="Times New Roman" w:eastAsia="宋体" w:cs="Times New Roman"/>
                <w:color w:val="auto"/>
                <w:spacing w:val="-8"/>
                <w:w w:val="100"/>
                <w:sz w:val="22"/>
                <w:szCs w:val="22"/>
              </w:rPr>
              <w:t>过滤机螺杆与料槽采用夹套通水进行间接冷</w:t>
            </w:r>
            <w:r>
              <w:rPr>
                <w:rFonts w:hint="default" w:ascii="Times New Roman" w:hAnsi="Times New Roman" w:eastAsia="宋体" w:cs="Times New Roman"/>
                <w:color w:val="auto"/>
                <w:spacing w:val="-3"/>
                <w:w w:val="100"/>
                <w:sz w:val="22"/>
                <w:szCs w:val="22"/>
              </w:rPr>
              <w:t>却，</w:t>
            </w:r>
            <w:r>
              <w:rPr>
                <w:rFonts w:hint="default" w:ascii="Times New Roman" w:hAnsi="Times New Roman" w:eastAsia="宋体" w:cs="Times New Roman"/>
                <w:color w:val="auto"/>
                <w:spacing w:val="-3"/>
                <w:w w:val="100"/>
                <w:sz w:val="22"/>
                <w:szCs w:val="22"/>
                <w:lang w:eastAsia="zh-CN"/>
              </w:rPr>
              <w:t>冷却水</w:t>
            </w:r>
            <w:r>
              <w:rPr>
                <w:rFonts w:hint="eastAsia" w:cs="Times New Roman"/>
                <w:color w:val="auto"/>
                <w:spacing w:val="-3"/>
                <w:w w:val="100"/>
                <w:sz w:val="22"/>
                <w:szCs w:val="22"/>
                <w:lang w:val="en-US" w:eastAsia="zh-CN"/>
              </w:rPr>
              <w:t>W2-1</w:t>
            </w:r>
            <w:r>
              <w:rPr>
                <w:rFonts w:hint="default" w:ascii="Times New Roman" w:hAnsi="Times New Roman" w:eastAsia="宋体" w:cs="Times New Roman"/>
                <w:color w:val="auto"/>
                <w:spacing w:val="-3"/>
                <w:w w:val="100"/>
                <w:sz w:val="22"/>
                <w:szCs w:val="22"/>
                <w:lang w:eastAsia="zh-CN"/>
              </w:rPr>
              <w:t>通过水塔循环使用，不外排</w:t>
            </w:r>
            <w:r>
              <w:rPr>
                <w:rFonts w:hint="default" w:ascii="Times New Roman" w:hAnsi="Times New Roman" w:eastAsia="宋体" w:cs="Times New Roman"/>
                <w:color w:val="auto"/>
                <w:w w:val="100"/>
                <w:sz w:val="22"/>
                <w:szCs w:val="22"/>
              </w:rPr>
              <w:t>。</w:t>
            </w:r>
          </w:p>
          <w:p w14:paraId="6A869BDC">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b/>
                <w:bCs/>
                <w:color w:val="auto"/>
                <w:sz w:val="24"/>
                <w:lang w:val="zh-CN" w:bidi="zh-CN"/>
              </w:rPr>
            </w:pPr>
            <w:r>
              <w:rPr>
                <w:rFonts w:hint="eastAsia" w:ascii="仿宋" w:hAnsi="仿宋" w:eastAsia="仿宋" w:cs="仿宋"/>
                <w:b/>
                <w:bCs/>
                <w:color w:val="auto"/>
                <w:w w:val="100"/>
                <w:sz w:val="22"/>
                <w:szCs w:val="22"/>
              </w:rPr>
              <w:t>④</w:t>
            </w:r>
            <w:r>
              <w:rPr>
                <w:b/>
                <w:bCs/>
                <w:color w:val="auto"/>
                <w:sz w:val="22"/>
                <w:szCs w:val="22"/>
                <w:lang w:val="zh-CN" w:bidi="zh-CN"/>
              </w:rPr>
              <w:t>开炼</w:t>
            </w:r>
          </w:p>
          <w:p w14:paraId="7CC5A278">
            <w:pPr>
              <w:tabs>
                <w:tab w:val="left" w:pos="0"/>
              </w:tabs>
              <w:autoSpaceDE w:val="0"/>
              <w:autoSpaceDN w:val="0"/>
              <w:spacing w:line="500" w:lineRule="exact"/>
              <w:ind w:firstLine="440" w:firstLineChars="200"/>
              <w:jc w:val="left"/>
              <w:rPr>
                <w:color w:val="auto"/>
                <w:kern w:val="0"/>
                <w:sz w:val="24"/>
              </w:rPr>
            </w:pPr>
            <w:r>
              <w:rPr>
                <w:rFonts w:hint="default" w:ascii="Times New Roman" w:hAnsi="Times New Roman" w:eastAsia="宋体" w:cs="Times New Roman"/>
                <w:color w:val="auto"/>
                <w:w w:val="100"/>
                <w:kern w:val="0"/>
                <w:sz w:val="22"/>
                <w:szCs w:val="22"/>
                <w:lang w:val="en-US" w:eastAsia="zh-CN" w:bidi="ar-SA"/>
              </w:rPr>
              <w:t>过滤后的橡胶用小推车送至开炼机上。开炼机内设2个滚筒，通过滚筒的转动对橡胶进行不断的压延、糅合，使其中的各组分分散均匀。开炼机不加温，温度控制到90℃以下，整个过程按开炼次数管理，不发生化学反应。该过程中产生开炼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2</w:t>
            </w:r>
            <w:r>
              <w:rPr>
                <w:rFonts w:hint="default" w:ascii="Times New Roman" w:hAnsi="Times New Roman" w:eastAsia="宋体" w:cs="Times New Roman"/>
                <w:color w:val="auto"/>
                <w:w w:val="100"/>
                <w:kern w:val="0"/>
                <w:sz w:val="22"/>
                <w:szCs w:val="22"/>
                <w:lang w:val="en-US" w:eastAsia="zh-CN" w:bidi="ar-SA"/>
              </w:rPr>
              <w:t>并伴随着生产噪声</w:t>
            </w:r>
            <w:r>
              <w:rPr>
                <w:rFonts w:hint="eastAsia" w:cs="Times New Roman"/>
                <w:color w:val="auto"/>
                <w:w w:val="100"/>
                <w:kern w:val="0"/>
                <w:sz w:val="22"/>
                <w:szCs w:val="22"/>
                <w:lang w:val="en-US" w:eastAsia="zh-CN" w:bidi="ar-SA"/>
              </w:rPr>
              <w:t>N</w:t>
            </w:r>
            <w:r>
              <w:rPr>
                <w:rFonts w:hint="default" w:ascii="Times New Roman" w:hAnsi="Times New Roman" w:eastAsia="宋体" w:cs="Times New Roman"/>
                <w:color w:val="auto"/>
                <w:w w:val="100"/>
                <w:kern w:val="0"/>
                <w:sz w:val="22"/>
                <w:szCs w:val="22"/>
                <w:lang w:val="en-US" w:eastAsia="zh-CN" w:bidi="ar-SA"/>
              </w:rPr>
              <w:t>，开炼机滚筒使用夹套通水进行间接冷却，冷却水</w:t>
            </w:r>
            <w:r>
              <w:rPr>
                <w:rFonts w:hint="eastAsia" w:cs="Times New Roman"/>
                <w:color w:val="auto"/>
                <w:spacing w:val="-3"/>
                <w:w w:val="100"/>
                <w:sz w:val="22"/>
                <w:szCs w:val="22"/>
                <w:lang w:val="en-US" w:eastAsia="zh-CN"/>
              </w:rPr>
              <w:t>W2-1</w:t>
            </w:r>
            <w:r>
              <w:rPr>
                <w:rFonts w:hint="default" w:ascii="Times New Roman" w:hAnsi="Times New Roman" w:eastAsia="宋体" w:cs="Times New Roman"/>
                <w:color w:val="auto"/>
                <w:w w:val="100"/>
                <w:kern w:val="0"/>
                <w:sz w:val="22"/>
                <w:szCs w:val="22"/>
                <w:lang w:val="en-US" w:eastAsia="zh-CN" w:bidi="ar-SA"/>
              </w:rPr>
              <w:t>通过冷却水池循环使用，不外排。</w:t>
            </w:r>
          </w:p>
          <w:p w14:paraId="585E5EFD">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rFonts w:hint="eastAsia" w:ascii="宋体" w:hAnsi="宋体" w:eastAsia="宋体" w:cs="宋体"/>
                <w:b/>
                <w:bCs/>
                <w:color w:val="auto"/>
                <w:w w:val="100"/>
                <w:sz w:val="22"/>
                <w:szCs w:val="22"/>
                <w:lang w:val="en-US" w:eastAsia="zh-CN"/>
              </w:rPr>
            </w:pPr>
            <w:r>
              <w:rPr>
                <w:rFonts w:hint="eastAsia" w:ascii="宋体" w:hAnsi="宋体" w:eastAsia="宋体" w:cs="宋体"/>
                <w:b/>
                <w:bCs/>
                <w:color w:val="auto"/>
                <w:w w:val="100"/>
                <w:sz w:val="22"/>
                <w:szCs w:val="22"/>
              </w:rPr>
              <w:t>⑤</w:t>
            </w:r>
            <w:r>
              <w:rPr>
                <w:rFonts w:hint="eastAsia" w:ascii="宋体" w:hAnsi="宋体" w:eastAsia="宋体" w:cs="宋体"/>
                <w:b/>
                <w:bCs/>
                <w:color w:val="auto"/>
                <w:w w:val="100"/>
                <w:sz w:val="22"/>
                <w:szCs w:val="22"/>
                <w:lang w:val="en-US" w:eastAsia="zh-CN"/>
              </w:rPr>
              <w:t>轴芯清洗</w:t>
            </w:r>
          </w:p>
          <w:p w14:paraId="08A78A4C">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400" w:lineRule="exact"/>
              <w:ind w:left="0" w:leftChars="0" w:right="0" w:firstLine="440" w:firstLineChars="200"/>
              <w:jc w:val="left"/>
              <w:textAlignment w:val="auto"/>
              <w:rPr>
                <w:rFonts w:hint="default" w:ascii="Times New Roman" w:hAnsi="Times New Roman" w:eastAsia="宋体" w:cs="Times New Roman"/>
                <w:color w:val="auto"/>
                <w:w w:val="100"/>
                <w:kern w:val="0"/>
                <w:sz w:val="22"/>
                <w:szCs w:val="22"/>
                <w:lang w:val="en-US" w:eastAsia="zh-CN" w:bidi="ar-SA"/>
              </w:rPr>
            </w:pPr>
            <w:r>
              <w:rPr>
                <w:rFonts w:hint="default" w:ascii="Times New Roman" w:hAnsi="Times New Roman" w:eastAsia="宋体" w:cs="Times New Roman"/>
                <w:color w:val="auto"/>
                <w:w w:val="100"/>
                <w:kern w:val="0"/>
                <w:sz w:val="22"/>
                <w:szCs w:val="22"/>
                <w:lang w:val="en-US" w:eastAsia="zh-CN" w:bidi="ar-SA"/>
              </w:rPr>
              <w:t>利用自动清洗机将轴芯表面附着的灰尘杂物清洁干净，此过程会产生一定量的</w:t>
            </w:r>
            <w:r>
              <w:rPr>
                <w:rFonts w:hint="eastAsia" w:ascii="Times New Roman" w:hAnsi="Times New Roman" w:eastAsia="宋体" w:cs="Times New Roman"/>
                <w:color w:val="auto"/>
                <w:w w:val="100"/>
                <w:kern w:val="0"/>
                <w:sz w:val="22"/>
                <w:szCs w:val="22"/>
                <w:lang w:val="en-US" w:eastAsia="zh-CN" w:bidi="ar-SA"/>
              </w:rPr>
              <w:t>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3</w:t>
            </w:r>
            <w:r>
              <w:rPr>
                <w:rFonts w:hint="eastAsia" w:ascii="Times New Roman" w:hAnsi="Times New Roman" w:eastAsia="宋体" w:cs="Times New Roman"/>
                <w:color w:val="auto"/>
                <w:w w:val="100"/>
                <w:kern w:val="0"/>
                <w:sz w:val="22"/>
                <w:szCs w:val="22"/>
                <w:lang w:val="en-US" w:eastAsia="zh-CN" w:bidi="ar-SA"/>
              </w:rPr>
              <w:t>、</w:t>
            </w:r>
            <w:r>
              <w:rPr>
                <w:rFonts w:hint="default" w:ascii="Times New Roman" w:hAnsi="Times New Roman" w:eastAsia="宋体" w:cs="Times New Roman"/>
                <w:color w:val="auto"/>
                <w:w w:val="100"/>
                <w:kern w:val="0"/>
                <w:sz w:val="22"/>
                <w:szCs w:val="22"/>
                <w:lang w:val="en-US" w:eastAsia="zh-CN" w:bidi="ar-SA"/>
              </w:rPr>
              <w:t>废清洗液</w:t>
            </w:r>
            <w:r>
              <w:rPr>
                <w:rFonts w:hint="eastAsia" w:cs="Times New Roman"/>
                <w:color w:val="auto"/>
                <w:w w:val="100"/>
                <w:sz w:val="22"/>
                <w:szCs w:val="22"/>
                <w:lang w:val="en-US" w:eastAsia="zh-CN"/>
              </w:rPr>
              <w:t>S2-2</w:t>
            </w:r>
            <w:r>
              <w:rPr>
                <w:rFonts w:hint="default" w:ascii="Times New Roman" w:hAnsi="Times New Roman" w:eastAsia="宋体" w:cs="Times New Roman"/>
                <w:color w:val="auto"/>
                <w:w w:val="100"/>
                <w:kern w:val="0"/>
                <w:sz w:val="22"/>
                <w:szCs w:val="22"/>
                <w:lang w:val="en-US" w:eastAsia="zh-CN" w:bidi="ar-SA"/>
              </w:rPr>
              <w:t>和噪声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kern w:val="0"/>
                <w:sz w:val="22"/>
                <w:szCs w:val="22"/>
                <w:lang w:val="en-US" w:eastAsia="zh-CN" w:bidi="ar-SA"/>
              </w:rPr>
              <w:t>。</w:t>
            </w:r>
          </w:p>
          <w:p w14:paraId="51090D0E">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⑥</w:t>
            </w:r>
            <w:r>
              <w:rPr>
                <w:rFonts w:hint="default" w:ascii="Times New Roman" w:hAnsi="Times New Roman" w:eastAsia="宋体" w:cs="Times New Roman"/>
                <w:b/>
                <w:bCs/>
                <w:color w:val="auto"/>
                <w:w w:val="100"/>
                <w:sz w:val="22"/>
                <w:szCs w:val="22"/>
                <w:lang w:val="en-US" w:eastAsia="zh-CN"/>
              </w:rPr>
              <w:t>轴芯涂胶</w:t>
            </w:r>
          </w:p>
          <w:p w14:paraId="1B7D2A92">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轴芯涂胶是在轴芯表面加2层胶水的过程。用手动涂胶或自动涂胶的方式在轴芯表面涂上胶水，这过程</w:t>
            </w:r>
            <w:r>
              <w:rPr>
                <w:rFonts w:hint="default" w:ascii="Times New Roman" w:hAnsi="Times New Roman" w:eastAsia="宋体" w:cs="Times New Roman"/>
                <w:color w:val="auto"/>
                <w:spacing w:val="-2"/>
                <w:w w:val="100"/>
                <w:sz w:val="22"/>
                <w:szCs w:val="22"/>
              </w:rPr>
              <w:t>会产生一定量的</w:t>
            </w:r>
            <w:r>
              <w:rPr>
                <w:rFonts w:hint="eastAsia" w:cs="Times New Roman"/>
                <w:color w:val="auto"/>
                <w:spacing w:val="-2"/>
                <w:w w:val="100"/>
                <w:sz w:val="22"/>
                <w:szCs w:val="22"/>
                <w:lang w:eastAsia="zh-CN"/>
              </w:rPr>
              <w:t>废涂液</w:t>
            </w:r>
            <w:r>
              <w:rPr>
                <w:rFonts w:hint="eastAsia" w:cs="Times New Roman"/>
                <w:color w:val="auto"/>
                <w:w w:val="100"/>
                <w:sz w:val="22"/>
                <w:szCs w:val="22"/>
                <w:lang w:val="en-US" w:eastAsia="zh-CN"/>
              </w:rPr>
              <w:t>S2-3</w:t>
            </w:r>
            <w:r>
              <w:rPr>
                <w:rFonts w:hint="eastAsia" w:cs="Times New Roman"/>
                <w:color w:val="auto"/>
                <w:w w:val="100"/>
                <w:sz w:val="22"/>
                <w:szCs w:val="22"/>
                <w:lang w:eastAsia="zh-CN"/>
              </w:rPr>
              <w:t>、</w:t>
            </w:r>
            <w:r>
              <w:rPr>
                <w:rFonts w:hint="default" w:ascii="Times New Roman" w:hAnsi="Times New Roman" w:eastAsia="宋体" w:cs="Times New Roman"/>
                <w:color w:val="auto"/>
                <w:w w:val="100"/>
                <w:sz w:val="22"/>
                <w:szCs w:val="22"/>
              </w:rPr>
              <w:t>涂胶废气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4</w:t>
            </w:r>
            <w:r>
              <w:rPr>
                <w:rFonts w:hint="default" w:ascii="Times New Roman" w:hAnsi="Times New Roman" w:eastAsia="宋体" w:cs="Times New Roman"/>
                <w:color w:val="auto"/>
                <w:w w:val="100"/>
                <w:sz w:val="22"/>
                <w:szCs w:val="22"/>
              </w:rPr>
              <w:t>以及生产噪声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spacing w:val="-18"/>
                <w:w w:val="100"/>
                <w:sz w:val="22"/>
                <w:szCs w:val="22"/>
              </w:rPr>
              <w:t>。</w:t>
            </w:r>
          </w:p>
          <w:p w14:paraId="08CF86AB">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⑦</w:t>
            </w:r>
            <w:r>
              <w:rPr>
                <w:rFonts w:hint="default" w:ascii="Times New Roman" w:hAnsi="Times New Roman" w:eastAsia="宋体" w:cs="Times New Roman"/>
                <w:b/>
                <w:bCs/>
                <w:color w:val="auto"/>
                <w:w w:val="100"/>
                <w:sz w:val="22"/>
                <w:szCs w:val="22"/>
              </w:rPr>
              <w:t>挤出</w:t>
            </w:r>
          </w:p>
          <w:p w14:paraId="0C7CD293">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采用冷喂料挤出作业，通过挤出机的螺杆与口模将橡胶挤压到涂好胶水的轴芯上。</w:t>
            </w:r>
            <w:r>
              <w:rPr>
                <w:rFonts w:hint="default" w:ascii="Times New Roman" w:hAnsi="Times New Roman" w:eastAsia="宋体" w:cs="Times New Roman"/>
                <w:color w:val="auto"/>
                <w:spacing w:val="-2"/>
                <w:w w:val="100"/>
                <w:sz w:val="22"/>
                <w:szCs w:val="22"/>
              </w:rPr>
              <w:t>该工序是冷喂料挤出，不产生废气，</w:t>
            </w:r>
            <w:r>
              <w:rPr>
                <w:rFonts w:hint="default" w:ascii="Times New Roman" w:hAnsi="Times New Roman" w:eastAsia="宋体" w:cs="Times New Roman"/>
                <w:color w:val="auto"/>
                <w:w w:val="100"/>
                <w:sz w:val="22"/>
                <w:szCs w:val="22"/>
              </w:rPr>
              <w:t>挤出螺杆与混合槽采用夹套通水进行间接冷却，</w:t>
            </w:r>
            <w:r>
              <w:rPr>
                <w:rFonts w:hint="default" w:ascii="Times New Roman" w:hAnsi="Times New Roman" w:eastAsia="宋体" w:cs="Times New Roman"/>
                <w:color w:val="auto"/>
                <w:w w:val="100"/>
                <w:sz w:val="22"/>
                <w:szCs w:val="22"/>
                <w:lang w:eastAsia="zh-CN"/>
              </w:rPr>
              <w:t>设备</w:t>
            </w:r>
            <w:r>
              <w:rPr>
                <w:rFonts w:hint="default" w:ascii="Times New Roman" w:hAnsi="Times New Roman" w:eastAsia="宋体" w:cs="Times New Roman"/>
                <w:color w:val="auto"/>
                <w:spacing w:val="-3"/>
                <w:w w:val="100"/>
                <w:sz w:val="22"/>
                <w:szCs w:val="22"/>
                <w:lang w:eastAsia="zh-CN"/>
              </w:rPr>
              <w:t>冷却水</w:t>
            </w:r>
            <w:r>
              <w:rPr>
                <w:rFonts w:hint="eastAsia" w:cs="Times New Roman"/>
                <w:color w:val="auto"/>
                <w:spacing w:val="-3"/>
                <w:w w:val="100"/>
                <w:sz w:val="22"/>
                <w:szCs w:val="22"/>
                <w:lang w:val="en-US" w:eastAsia="zh-CN"/>
              </w:rPr>
              <w:t>W2-1</w:t>
            </w:r>
            <w:r>
              <w:rPr>
                <w:rFonts w:hint="default" w:ascii="Times New Roman" w:hAnsi="Times New Roman" w:eastAsia="宋体" w:cs="Times New Roman"/>
                <w:color w:val="auto"/>
                <w:spacing w:val="-3"/>
                <w:w w:val="100"/>
                <w:sz w:val="22"/>
                <w:szCs w:val="22"/>
                <w:lang w:eastAsia="zh-CN"/>
              </w:rPr>
              <w:t>通过冷却水池循环使用，不外排</w:t>
            </w:r>
            <w:r>
              <w:rPr>
                <w:rFonts w:hint="default" w:ascii="Times New Roman" w:hAnsi="Times New Roman" w:eastAsia="宋体" w:cs="Times New Roman"/>
                <w:color w:val="auto"/>
                <w:w w:val="100"/>
                <w:sz w:val="22"/>
                <w:szCs w:val="22"/>
              </w:rPr>
              <w:t>。</w:t>
            </w:r>
            <w:r>
              <w:rPr>
                <w:rFonts w:hint="default" w:ascii="Times New Roman" w:hAnsi="Times New Roman" w:eastAsia="宋体" w:cs="Times New Roman"/>
                <w:color w:val="auto"/>
                <w:w w:val="100"/>
                <w:sz w:val="22"/>
                <w:szCs w:val="22"/>
                <w:lang w:eastAsia="zh-CN"/>
              </w:rPr>
              <w:t>设备运行过程中</w:t>
            </w:r>
            <w:r>
              <w:rPr>
                <w:rFonts w:hint="default" w:ascii="Times New Roman" w:hAnsi="Times New Roman" w:eastAsia="宋体" w:cs="Times New Roman"/>
                <w:color w:val="auto"/>
                <w:w w:val="100"/>
                <w:sz w:val="22"/>
                <w:szCs w:val="22"/>
              </w:rPr>
              <w:t>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78160657">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⑧</w:t>
            </w:r>
            <w:r>
              <w:rPr>
                <w:rFonts w:hint="eastAsia" w:ascii="Times New Roman" w:hAnsi="Times New Roman" w:eastAsia="宋体" w:cs="Times New Roman"/>
                <w:b/>
                <w:bCs/>
                <w:color w:val="auto"/>
                <w:w w:val="100"/>
                <w:sz w:val="22"/>
                <w:szCs w:val="22"/>
              </w:rPr>
              <w:t>硫化</w:t>
            </w:r>
          </w:p>
          <w:p w14:paraId="55B21F6E">
            <w:pPr>
              <w:tabs>
                <w:tab w:val="left" w:pos="0"/>
              </w:tabs>
              <w:autoSpaceDE w:val="0"/>
              <w:autoSpaceDN w:val="0"/>
              <w:spacing w:line="500" w:lineRule="exact"/>
              <w:ind w:firstLine="424" w:firstLineChars="200"/>
              <w:jc w:val="left"/>
              <w:rPr>
                <w:color w:val="auto"/>
                <w:kern w:val="0"/>
                <w:sz w:val="24"/>
              </w:rPr>
            </w:pPr>
            <w:r>
              <w:rPr>
                <w:rFonts w:hint="eastAsia"/>
                <w:color w:val="auto"/>
                <w:spacing w:val="-4"/>
                <w:kern w:val="0"/>
                <w:sz w:val="22"/>
                <w:szCs w:val="22"/>
              </w:rPr>
              <w:t>硫化</w:t>
            </w:r>
            <w:r>
              <w:rPr>
                <w:color w:val="auto"/>
                <w:spacing w:val="-4"/>
                <w:kern w:val="0"/>
                <w:sz w:val="22"/>
                <w:szCs w:val="22"/>
              </w:rPr>
              <w:t>是为了使橡胶和轴芯能更好的粘合。</w:t>
            </w:r>
            <w:r>
              <w:rPr>
                <w:rFonts w:hint="eastAsia"/>
                <w:color w:val="auto"/>
                <w:spacing w:val="-4"/>
                <w:kern w:val="0"/>
                <w:sz w:val="22"/>
                <w:szCs w:val="22"/>
                <w:lang w:val="en-US" w:eastAsia="zh-CN"/>
              </w:rPr>
              <w:t>使用电加热导热油进行</w:t>
            </w:r>
            <w:r>
              <w:rPr>
                <w:color w:val="auto"/>
                <w:kern w:val="0"/>
                <w:sz w:val="22"/>
                <w:szCs w:val="22"/>
              </w:rPr>
              <w:t>烘烤温度控制在150℃，该工序产生废气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5</w:t>
            </w:r>
            <w:r>
              <w:rPr>
                <w:color w:val="auto"/>
                <w:kern w:val="0"/>
                <w:sz w:val="22"/>
                <w:szCs w:val="22"/>
              </w:rPr>
              <w:t>。</w:t>
            </w:r>
          </w:p>
          <w:p w14:paraId="0831D759">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rPr>
              <w:t>⑨</w:t>
            </w:r>
            <w:r>
              <w:rPr>
                <w:rFonts w:hint="eastAsia" w:ascii="宋体" w:hAnsi="宋体" w:cs="宋体"/>
                <w:b/>
                <w:bCs/>
                <w:color w:val="auto"/>
                <w:sz w:val="22"/>
                <w:szCs w:val="22"/>
                <w:lang w:val="zh-CN" w:bidi="zh-CN"/>
              </w:rPr>
              <w:t>穿管</w:t>
            </w:r>
          </w:p>
          <w:p w14:paraId="47FD39DA">
            <w:pPr>
              <w:pStyle w:val="34"/>
              <w:ind w:firstLine="440" w:firstLineChars="200"/>
              <w:rPr>
                <w:b w:val="0"/>
                <w:bCs/>
                <w:color w:val="auto"/>
                <w:lang w:val="zh-CN" w:bidi="zh-CN"/>
              </w:rPr>
            </w:pPr>
            <w:r>
              <w:rPr>
                <w:rFonts w:hint="eastAsia"/>
                <w:b w:val="0"/>
                <w:bCs/>
                <w:color w:val="auto"/>
                <w:sz w:val="22"/>
                <w:szCs w:val="22"/>
                <w:lang w:val="zh-CN" w:bidi="zh-CN"/>
              </w:rPr>
              <w:t>橡胶管及轴芯，通过气缸及气压一次性穿入到位，成产品</w:t>
            </w:r>
            <w:r>
              <w:rPr>
                <w:rFonts w:hint="eastAsia" w:ascii="Times New Roman" w:cs="Times New Roman"/>
                <w:b w:val="0"/>
                <w:bCs/>
                <w:color w:val="auto"/>
                <w:sz w:val="22"/>
                <w:szCs w:val="22"/>
              </w:rPr>
              <w:t>。</w:t>
            </w:r>
          </w:p>
          <w:p w14:paraId="5A27B347">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kern w:val="2"/>
                <w:sz w:val="22"/>
                <w:szCs w:val="22"/>
                <w:lang w:val="en-US" w:eastAsia="zh-CN" w:bidi="ar-SA"/>
              </w:rPr>
            </w:pPr>
            <w:r>
              <w:rPr>
                <w:rFonts w:hint="eastAsia" w:ascii="仿宋" w:hAnsi="仿宋" w:eastAsia="仿宋" w:cs="仿宋"/>
                <w:b/>
                <w:bCs/>
                <w:color w:val="auto"/>
                <w:w w:val="100"/>
                <w:sz w:val="22"/>
                <w:szCs w:val="22"/>
              </w:rPr>
              <w:t>⑩</w:t>
            </w:r>
            <w:r>
              <w:rPr>
                <w:rFonts w:hint="default" w:ascii="Times New Roman" w:hAnsi="Times New Roman" w:eastAsia="宋体" w:cs="Times New Roman"/>
                <w:b/>
                <w:bCs/>
                <w:color w:val="auto"/>
                <w:w w:val="100"/>
                <w:kern w:val="2"/>
                <w:sz w:val="22"/>
                <w:szCs w:val="22"/>
                <w:lang w:val="en-US" w:eastAsia="zh-CN" w:bidi="ar-SA"/>
              </w:rPr>
              <w:t>切边</w:t>
            </w:r>
          </w:p>
          <w:p w14:paraId="366B737A">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利用切拔机将多余的橡胶料毛边切除，产生一定量的固体废物</w:t>
            </w:r>
            <w:r>
              <w:rPr>
                <w:rFonts w:hint="eastAsia" w:cs="Times New Roman"/>
                <w:color w:val="auto"/>
                <w:w w:val="100"/>
                <w:sz w:val="22"/>
                <w:szCs w:val="22"/>
                <w:lang w:val="en-US" w:eastAsia="zh-CN"/>
              </w:rPr>
              <w:t>S2-4</w:t>
            </w:r>
            <w:r>
              <w:rPr>
                <w:rFonts w:hint="default" w:ascii="Times New Roman" w:hAnsi="Times New Roman" w:eastAsia="宋体" w:cs="Times New Roman"/>
                <w:color w:val="auto"/>
                <w:w w:val="100"/>
                <w:sz w:val="22"/>
                <w:szCs w:val="22"/>
              </w:rPr>
              <w:t>和生产噪声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542E6AAB">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14" w:firstLineChars="200"/>
              <w:jc w:val="left"/>
              <w:textAlignment w:val="auto"/>
              <w:outlineLvl w:val="9"/>
              <w:rPr>
                <w:rFonts w:hint="default" w:ascii="Times New Roman" w:hAnsi="Times New Roman" w:eastAsia="宋体" w:cs="Times New Roman"/>
                <w:b/>
                <w:bCs/>
                <w:color w:val="auto"/>
                <w:w w:val="100"/>
                <w:sz w:val="22"/>
                <w:szCs w:val="22"/>
              </w:rPr>
            </w:pPr>
            <w:r>
              <w:rPr>
                <w:rFonts w:hint="default" w:ascii="Times New Roman" w:hAnsi="Times New Roman" w:eastAsia="宋体" w:cs="Times New Roman"/>
                <w:b/>
                <w:bCs/>
                <w:color w:val="auto"/>
                <w:spacing w:val="-7"/>
                <w:w w:val="100"/>
                <w:kern w:val="0"/>
                <w:sz w:val="22"/>
                <w:szCs w:val="22"/>
                <w:lang w:val="en-US" w:eastAsia="zh-CN" w:bidi="ar-SA"/>
              </w:rPr>
              <w:t>⑪</w:t>
            </w:r>
            <w:r>
              <w:rPr>
                <w:rFonts w:hint="default" w:ascii="Times New Roman" w:hAnsi="Times New Roman" w:eastAsia="宋体" w:cs="Times New Roman"/>
                <w:b/>
                <w:bCs/>
                <w:color w:val="auto"/>
                <w:w w:val="100"/>
                <w:sz w:val="22"/>
                <w:szCs w:val="22"/>
              </w:rPr>
              <w:t>粗磨、精磨</w:t>
            </w:r>
          </w:p>
          <w:p w14:paraId="51E29281">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1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7"/>
                <w:w w:val="100"/>
                <w:sz w:val="22"/>
                <w:szCs w:val="22"/>
              </w:rPr>
              <w:t>按照产品需要，用砂轮研磨机对橡胶件进行修边打磨，以得到</w:t>
            </w:r>
            <w:r>
              <w:rPr>
                <w:rFonts w:hint="eastAsia" w:cs="Times New Roman"/>
                <w:color w:val="auto"/>
                <w:spacing w:val="-7"/>
                <w:w w:val="100"/>
                <w:sz w:val="22"/>
                <w:szCs w:val="22"/>
                <w:lang w:eastAsia="zh-CN"/>
              </w:rPr>
              <w:t>符合</w:t>
            </w:r>
            <w:r>
              <w:rPr>
                <w:rFonts w:hint="default" w:ascii="Times New Roman" w:hAnsi="Times New Roman" w:eastAsia="宋体" w:cs="Times New Roman"/>
                <w:color w:val="auto"/>
                <w:spacing w:val="-7"/>
                <w:w w:val="100"/>
                <w:sz w:val="22"/>
                <w:szCs w:val="22"/>
              </w:rPr>
              <w:t>尺寸规</w:t>
            </w:r>
            <w:r>
              <w:rPr>
                <w:rFonts w:hint="default" w:ascii="Times New Roman" w:hAnsi="Times New Roman" w:eastAsia="宋体" w:cs="Times New Roman"/>
                <w:color w:val="auto"/>
                <w:spacing w:val="-3"/>
                <w:w w:val="100"/>
                <w:sz w:val="22"/>
                <w:szCs w:val="22"/>
              </w:rPr>
              <w:t>格的产品。该工序产生一定量的打磨粉尘</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2-6</w:t>
            </w:r>
            <w:r>
              <w:rPr>
                <w:rFonts w:hint="default" w:ascii="Times New Roman" w:hAnsi="Times New Roman" w:eastAsia="宋体" w:cs="Times New Roman"/>
                <w:color w:val="auto"/>
                <w:spacing w:val="2"/>
                <w:w w:val="100"/>
                <w:sz w:val="22"/>
                <w:szCs w:val="22"/>
              </w:rPr>
              <w:t>、固体废物</w:t>
            </w:r>
            <w:r>
              <w:rPr>
                <w:rFonts w:hint="eastAsia" w:cs="Times New Roman"/>
                <w:color w:val="auto"/>
                <w:w w:val="100"/>
                <w:sz w:val="22"/>
                <w:szCs w:val="22"/>
                <w:lang w:val="en-US" w:eastAsia="zh-CN"/>
              </w:rPr>
              <w:t>S2-5</w:t>
            </w:r>
            <w:r>
              <w:rPr>
                <w:rFonts w:hint="default" w:ascii="Times New Roman" w:hAnsi="Times New Roman" w:eastAsia="宋体" w:cs="Times New Roman"/>
                <w:color w:val="auto"/>
                <w:spacing w:val="2"/>
                <w:w w:val="100"/>
                <w:sz w:val="22"/>
                <w:szCs w:val="22"/>
              </w:rPr>
              <w:t>和生产噪声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19B43C65">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spacing w:val="-7"/>
                <w:w w:val="100"/>
                <w:kern w:val="0"/>
                <w:sz w:val="22"/>
                <w:szCs w:val="22"/>
                <w:lang w:val="en-US" w:eastAsia="zh-CN" w:bidi="ar-SA"/>
              </w:rPr>
            </w:pPr>
            <w:r>
              <w:rPr>
                <w:rFonts w:hint="default" w:ascii="Times New Roman" w:hAnsi="Times New Roman" w:eastAsia="仿宋" w:cs="Times New Roman"/>
                <w:b/>
                <w:bCs/>
                <w:color w:val="auto"/>
                <w:w w:val="100"/>
                <w:sz w:val="22"/>
                <w:szCs w:val="22"/>
              </w:rPr>
              <w:t>⑫</w:t>
            </w:r>
            <w:r>
              <w:rPr>
                <w:rFonts w:hint="default" w:ascii="Times New Roman" w:hAnsi="Times New Roman" w:eastAsia="宋体" w:cs="Times New Roman"/>
                <w:b/>
                <w:bCs/>
                <w:color w:val="auto"/>
                <w:spacing w:val="-7"/>
                <w:w w:val="100"/>
                <w:kern w:val="0"/>
                <w:sz w:val="22"/>
                <w:szCs w:val="22"/>
                <w:lang w:val="en-US" w:eastAsia="zh-CN" w:bidi="ar-SA"/>
              </w:rPr>
              <w:t>清洗</w:t>
            </w:r>
          </w:p>
          <w:p w14:paraId="09C7D9C1">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2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5"/>
                <w:w w:val="100"/>
                <w:sz w:val="22"/>
                <w:szCs w:val="22"/>
              </w:rPr>
              <w:t>为清除胶辊研磨后粘附在其表面的胶屑，利用自动清洗机进行清洗</w:t>
            </w:r>
            <w:r>
              <w:rPr>
                <w:rFonts w:hint="default" w:ascii="Times New Roman" w:hAnsi="Times New Roman" w:eastAsia="宋体" w:cs="Times New Roman"/>
                <w:color w:val="auto"/>
                <w:spacing w:val="-7"/>
                <w:w w:val="100"/>
                <w:sz w:val="22"/>
                <w:szCs w:val="22"/>
              </w:rPr>
              <w:t>。</w:t>
            </w:r>
            <w:r>
              <w:rPr>
                <w:rFonts w:hint="eastAsia" w:cs="Times New Roman"/>
                <w:color w:val="auto"/>
                <w:spacing w:val="-7"/>
                <w:w w:val="100"/>
                <w:sz w:val="22"/>
                <w:szCs w:val="22"/>
                <w:lang w:eastAsia="zh-CN"/>
              </w:rPr>
              <w:t>该工序</w:t>
            </w:r>
            <w:r>
              <w:rPr>
                <w:rFonts w:hint="default" w:ascii="Times New Roman" w:hAnsi="Times New Roman" w:eastAsia="宋体" w:cs="Times New Roman"/>
                <w:color w:val="auto"/>
                <w:spacing w:val="-7"/>
                <w:w w:val="100"/>
                <w:sz w:val="22"/>
                <w:szCs w:val="22"/>
              </w:rPr>
              <w:t>产生一定量的清洗废水</w:t>
            </w:r>
            <w:r>
              <w:rPr>
                <w:rFonts w:hint="eastAsia" w:cs="Times New Roman"/>
                <w:color w:val="auto"/>
                <w:spacing w:val="-3"/>
                <w:w w:val="100"/>
                <w:sz w:val="22"/>
                <w:szCs w:val="22"/>
                <w:lang w:val="en-US" w:eastAsia="zh-CN"/>
              </w:rPr>
              <w:t>W2-2</w:t>
            </w:r>
            <w:r>
              <w:rPr>
                <w:rFonts w:hint="default" w:ascii="Times New Roman" w:hAnsi="Times New Roman" w:eastAsia="宋体" w:cs="Times New Roman"/>
                <w:color w:val="auto"/>
                <w:w w:val="100"/>
                <w:sz w:val="22"/>
                <w:szCs w:val="22"/>
                <w:lang w:eastAsia="zh-CN"/>
              </w:rPr>
              <w:t>、</w:t>
            </w:r>
            <w:r>
              <w:rPr>
                <w:rFonts w:hint="default" w:ascii="Times New Roman" w:hAnsi="Times New Roman" w:eastAsia="宋体" w:cs="Times New Roman"/>
                <w:color w:val="auto"/>
                <w:w w:val="100"/>
                <w:sz w:val="22"/>
                <w:szCs w:val="22"/>
              </w:rPr>
              <w:t>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5DA8093B">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仿宋" w:cs="Times New Roman"/>
                <w:b/>
                <w:bCs/>
                <w:color w:val="auto"/>
                <w:w w:val="100"/>
                <w:sz w:val="22"/>
                <w:szCs w:val="22"/>
              </w:rPr>
              <w:t>⑬</w:t>
            </w:r>
            <w:r>
              <w:rPr>
                <w:rFonts w:hint="default" w:ascii="Times New Roman" w:hAnsi="Times New Roman" w:eastAsia="宋体" w:cs="Times New Roman"/>
                <w:b/>
                <w:bCs/>
                <w:color w:val="auto"/>
                <w:w w:val="100"/>
                <w:sz w:val="22"/>
                <w:szCs w:val="22"/>
              </w:rPr>
              <w:t>UV处理</w:t>
            </w:r>
          </w:p>
          <w:p w14:paraId="3E3DF9B9">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sz w:val="22"/>
                <w:szCs w:val="22"/>
                <w:lang w:eastAsia="zh-CN"/>
              </w:rPr>
            </w:pPr>
            <w:r>
              <w:rPr>
                <w:rFonts w:hint="default" w:ascii="Times New Roman" w:hAnsi="Times New Roman" w:eastAsia="宋体" w:cs="Times New Roman"/>
                <w:color w:val="auto"/>
                <w:w w:val="100"/>
                <w:sz w:val="22"/>
                <w:szCs w:val="22"/>
              </w:rPr>
              <w:t>经UV</w:t>
            </w:r>
            <w:r>
              <w:rPr>
                <w:rFonts w:hint="default" w:ascii="Times New Roman" w:hAnsi="Times New Roman" w:eastAsia="宋体" w:cs="Times New Roman"/>
                <w:color w:val="auto"/>
                <w:spacing w:val="3"/>
                <w:w w:val="100"/>
                <w:sz w:val="22"/>
                <w:szCs w:val="22"/>
              </w:rPr>
              <w:t>机用</w:t>
            </w:r>
            <w:r>
              <w:rPr>
                <w:rFonts w:hint="default" w:ascii="Times New Roman" w:hAnsi="Times New Roman" w:eastAsia="宋体" w:cs="Times New Roman"/>
                <w:color w:val="auto"/>
                <w:w w:val="100"/>
                <w:sz w:val="22"/>
                <w:szCs w:val="22"/>
              </w:rPr>
              <w:t>UV</w:t>
            </w:r>
            <w:r>
              <w:rPr>
                <w:rFonts w:hint="default" w:ascii="Times New Roman" w:hAnsi="Times New Roman" w:eastAsia="宋体" w:cs="Times New Roman"/>
                <w:color w:val="auto"/>
                <w:spacing w:val="-5"/>
                <w:w w:val="100"/>
                <w:sz w:val="22"/>
                <w:szCs w:val="22"/>
              </w:rPr>
              <w:t>灯管照射使橡胶分子运动加剧，橡胶中的小分子迁移到表面结膜，UV</w:t>
            </w:r>
            <w:r>
              <w:rPr>
                <w:rFonts w:hint="default" w:ascii="Times New Roman" w:hAnsi="Times New Roman" w:eastAsia="宋体" w:cs="Times New Roman"/>
                <w:color w:val="auto"/>
                <w:w w:val="100"/>
                <w:sz w:val="22"/>
                <w:szCs w:val="22"/>
              </w:rPr>
              <w:t>照射的时间一般控制在</w:t>
            </w:r>
            <w:r>
              <w:rPr>
                <w:rFonts w:hint="default" w:ascii="Times New Roman" w:hAnsi="Times New Roman" w:eastAsia="宋体" w:cs="Times New Roman"/>
                <w:color w:val="auto"/>
                <w:spacing w:val="2"/>
                <w:w w:val="100"/>
                <w:sz w:val="22"/>
                <w:szCs w:val="22"/>
              </w:rPr>
              <w:t>15-25</w:t>
            </w:r>
            <w:r>
              <w:rPr>
                <w:rFonts w:hint="default" w:ascii="Times New Roman" w:hAnsi="Times New Roman" w:eastAsia="宋体" w:cs="Times New Roman"/>
                <w:color w:val="auto"/>
                <w:w w:val="100"/>
                <w:sz w:val="22"/>
                <w:szCs w:val="22"/>
              </w:rPr>
              <w:t>秒/灯。该工序不发生化学反应。</w:t>
            </w:r>
          </w:p>
          <w:p w14:paraId="2EF85642">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仿宋" w:cs="Times New Roman"/>
                <w:b/>
                <w:bCs/>
                <w:color w:val="auto"/>
                <w:w w:val="100"/>
                <w:sz w:val="22"/>
                <w:szCs w:val="22"/>
              </w:rPr>
              <w:t>⑭</w:t>
            </w:r>
            <w:r>
              <w:rPr>
                <w:rFonts w:hint="default" w:ascii="Times New Roman" w:hAnsi="Times New Roman" w:eastAsia="宋体" w:cs="Times New Roman"/>
                <w:b/>
                <w:bCs/>
                <w:color w:val="auto"/>
                <w:w w:val="100"/>
                <w:sz w:val="22"/>
                <w:szCs w:val="22"/>
              </w:rPr>
              <w:t>喷涂</w:t>
            </w:r>
          </w:p>
          <w:p w14:paraId="3EEC5D44">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2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5"/>
                <w:w w:val="100"/>
                <w:sz w:val="22"/>
                <w:szCs w:val="22"/>
              </w:rPr>
              <w:t xml:space="preserve">将外购的涂液通过喷枪进行均匀喷涂，该工序利用外部废气处理系统的吸力吸收多余的涂液， </w:t>
            </w:r>
            <w:r>
              <w:rPr>
                <w:rFonts w:hint="default" w:ascii="Times New Roman" w:hAnsi="Times New Roman" w:eastAsia="宋体" w:cs="Times New Roman"/>
                <w:color w:val="auto"/>
                <w:spacing w:val="-2"/>
                <w:w w:val="100"/>
                <w:sz w:val="22"/>
                <w:szCs w:val="22"/>
              </w:rPr>
              <w:t>会产生一定量的吸附固体废液</w:t>
            </w:r>
            <w:r>
              <w:rPr>
                <w:rFonts w:hint="eastAsia" w:cs="Times New Roman"/>
                <w:color w:val="auto"/>
                <w:spacing w:val="-2"/>
                <w:w w:val="100"/>
                <w:sz w:val="22"/>
                <w:szCs w:val="22"/>
                <w:lang w:val="en-US" w:eastAsia="zh-CN"/>
              </w:rPr>
              <w:t>的废渣</w:t>
            </w:r>
            <w:r>
              <w:rPr>
                <w:rFonts w:hint="eastAsia" w:cs="Times New Roman"/>
                <w:color w:val="auto"/>
                <w:w w:val="100"/>
                <w:sz w:val="22"/>
                <w:szCs w:val="22"/>
                <w:lang w:val="en-US" w:eastAsia="zh-CN"/>
              </w:rPr>
              <w:t>S2-6</w:t>
            </w:r>
            <w:r>
              <w:rPr>
                <w:rFonts w:hint="eastAsia" w:cs="Times New Roman"/>
                <w:color w:val="auto"/>
                <w:w w:val="100"/>
                <w:sz w:val="22"/>
                <w:szCs w:val="22"/>
                <w:lang w:eastAsia="zh-CN"/>
              </w:rPr>
              <w:t>、</w:t>
            </w:r>
            <w:r>
              <w:rPr>
                <w:rFonts w:hint="default" w:ascii="Times New Roman" w:hAnsi="Times New Roman" w:eastAsia="宋体" w:cs="Times New Roman"/>
                <w:color w:val="auto"/>
                <w:w w:val="100"/>
                <w:sz w:val="22"/>
                <w:szCs w:val="22"/>
              </w:rPr>
              <w:t>有机废气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w:t>
            </w:r>
            <w:r>
              <w:rPr>
                <w:rFonts w:hint="default" w:ascii="Times New Roman" w:hAnsi="Times New Roman" w:cs="Times New Roman"/>
                <w:color w:val="auto"/>
                <w:w w:val="100"/>
                <w:sz w:val="22"/>
                <w:szCs w:val="22"/>
                <w:lang w:val="en-US" w:eastAsia="zh-CN"/>
              </w:rPr>
              <w:t>-</w:t>
            </w:r>
            <w:r>
              <w:rPr>
                <w:rFonts w:hint="eastAsia" w:cs="Times New Roman"/>
                <w:color w:val="auto"/>
                <w:w w:val="100"/>
                <w:sz w:val="22"/>
                <w:szCs w:val="22"/>
                <w:lang w:val="en-US" w:eastAsia="zh-CN"/>
              </w:rPr>
              <w:t>7</w:t>
            </w:r>
            <w:r>
              <w:rPr>
                <w:rFonts w:hint="default" w:ascii="Times New Roman" w:hAnsi="Times New Roman" w:eastAsia="宋体" w:cs="Times New Roman"/>
                <w:color w:val="auto"/>
                <w:spacing w:val="1"/>
                <w:w w:val="100"/>
                <w:sz w:val="22"/>
                <w:szCs w:val="22"/>
              </w:rPr>
              <w:t>以及生产噪声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166C9BD7">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仿宋" w:cs="Times New Roman"/>
                <w:b/>
                <w:bCs/>
                <w:color w:val="auto"/>
                <w:w w:val="100"/>
                <w:sz w:val="22"/>
                <w:szCs w:val="22"/>
              </w:rPr>
              <w:t>⑮</w:t>
            </w:r>
            <w:r>
              <w:rPr>
                <w:rFonts w:hint="default" w:ascii="Times New Roman" w:hAnsi="Times New Roman" w:eastAsia="宋体" w:cs="Times New Roman"/>
                <w:b/>
                <w:bCs/>
                <w:color w:val="auto"/>
                <w:w w:val="100"/>
                <w:sz w:val="22"/>
                <w:szCs w:val="22"/>
              </w:rPr>
              <w:t>加热</w:t>
            </w:r>
          </w:p>
          <w:p w14:paraId="3EF0938E">
            <w:pPr>
              <w:pStyle w:val="17"/>
              <w:keepNext w:val="0"/>
              <w:keepLines w:val="0"/>
              <w:pageBreakBefore w:val="0"/>
              <w:widowControl w:val="0"/>
              <w:tabs>
                <w:tab w:val="left" w:pos="0"/>
              </w:tabs>
              <w:kinsoku/>
              <w:wordWrap/>
              <w:overflowPunct/>
              <w:topLinePunct w:val="0"/>
              <w:autoSpaceDE w:val="0"/>
              <w:autoSpaceDN w:val="0"/>
              <w:bidi w:val="0"/>
              <w:adjustRightInd/>
              <w:snapToGrid/>
              <w:spacing w:before="0" w:after="0" w:line="500" w:lineRule="exact"/>
              <w:ind w:left="0" w:leftChars="0" w:right="0" w:firstLine="420" w:firstLineChars="200"/>
              <w:jc w:val="left"/>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spacing w:val="-5"/>
                <w:w w:val="100"/>
                <w:sz w:val="22"/>
                <w:szCs w:val="22"/>
              </w:rPr>
              <w:t>将喷涂好的胶辊摆入恒温炉进行加热，加速涂料在胶辊表面的干燥，使涂料牢固粘附在橡胶的表面。生产中</w:t>
            </w:r>
            <w:r>
              <w:rPr>
                <w:rFonts w:hint="default" w:ascii="Times New Roman" w:hAnsi="Times New Roman" w:eastAsia="宋体" w:cs="Times New Roman"/>
                <w:color w:val="auto"/>
                <w:spacing w:val="-2"/>
                <w:w w:val="100"/>
                <w:sz w:val="22"/>
                <w:szCs w:val="22"/>
              </w:rPr>
              <w:t>会产生加热</w:t>
            </w:r>
            <w:r>
              <w:rPr>
                <w:rFonts w:hint="default" w:ascii="Times New Roman" w:hAnsi="Times New Roman" w:eastAsia="宋体" w:cs="Times New Roman"/>
                <w:color w:val="auto"/>
                <w:w w:val="100"/>
                <w:sz w:val="22"/>
                <w:szCs w:val="22"/>
              </w:rPr>
              <w:t>废气</w:t>
            </w:r>
            <w:r>
              <w:rPr>
                <w:rFonts w:hint="default" w:ascii="Times New Roman" w:hAnsi="Times New Roman" w:cs="Times New Roman"/>
                <w:color w:val="auto"/>
                <w:w w:val="100"/>
                <w:sz w:val="22"/>
                <w:szCs w:val="22"/>
                <w:lang w:val="en-US" w:eastAsia="zh-CN"/>
              </w:rPr>
              <w:t>G</w:t>
            </w:r>
            <w:r>
              <w:rPr>
                <w:rFonts w:hint="eastAsia" w:cs="Times New Roman"/>
                <w:color w:val="auto"/>
                <w:w w:val="100"/>
                <w:sz w:val="22"/>
                <w:szCs w:val="22"/>
                <w:lang w:val="en-US" w:eastAsia="zh-CN"/>
              </w:rPr>
              <w:t>2-8</w:t>
            </w:r>
            <w:r>
              <w:rPr>
                <w:rFonts w:hint="default" w:ascii="Times New Roman" w:hAnsi="Times New Roman" w:eastAsia="宋体" w:cs="Times New Roman"/>
                <w:color w:val="auto"/>
                <w:spacing w:val="1"/>
                <w:w w:val="100"/>
                <w:sz w:val="22"/>
                <w:szCs w:val="22"/>
              </w:rPr>
              <w:t>以及生产噪声</w:t>
            </w:r>
            <w:r>
              <w:rPr>
                <w:rFonts w:hint="eastAsia" w:cs="Times New Roman"/>
                <w:color w:val="auto"/>
                <w:w w:val="100"/>
                <w:sz w:val="22"/>
                <w:szCs w:val="22"/>
                <w:lang w:val="en-US" w:eastAsia="zh-CN"/>
              </w:rPr>
              <w:t>N</w:t>
            </w:r>
            <w:r>
              <w:rPr>
                <w:rFonts w:hint="default" w:ascii="Times New Roman" w:hAnsi="Times New Roman" w:eastAsia="宋体" w:cs="Times New Roman"/>
                <w:color w:val="auto"/>
                <w:w w:val="100"/>
                <w:sz w:val="22"/>
                <w:szCs w:val="22"/>
              </w:rPr>
              <w:t>。</w:t>
            </w:r>
          </w:p>
          <w:p w14:paraId="43992DA8">
            <w:pPr>
              <w:pStyle w:val="73"/>
              <w:keepNext w:val="0"/>
              <w:keepLines w:val="0"/>
              <w:pageBreakBefore w:val="0"/>
              <w:widowControl w:val="0"/>
              <w:numPr>
                <w:ilvl w:val="0"/>
                <w:numId w:val="0"/>
              </w:numPr>
              <w:tabs>
                <w:tab w:val="left" w:pos="1204"/>
              </w:tabs>
              <w:kinsoku/>
              <w:wordWrap/>
              <w:overflowPunct/>
              <w:topLinePunct w:val="0"/>
              <w:autoSpaceDE w:val="0"/>
              <w:autoSpaceDN w:val="0"/>
              <w:bidi w:val="0"/>
              <w:adjustRightInd/>
              <w:snapToGrid/>
              <w:spacing w:line="500" w:lineRule="exact"/>
              <w:ind w:left="0" w:leftChars="0" w:right="0" w:rightChars="0" w:firstLine="442" w:firstLineChars="200"/>
              <w:jc w:val="left"/>
              <w:textAlignment w:val="auto"/>
              <w:outlineLvl w:val="9"/>
              <w:rPr>
                <w:rFonts w:hint="default" w:ascii="Times New Roman" w:hAnsi="Times New Roman" w:eastAsia="宋体" w:cs="Times New Roman"/>
                <w:b/>
                <w:bCs/>
                <w:color w:val="auto"/>
                <w:w w:val="100"/>
                <w:sz w:val="22"/>
                <w:szCs w:val="22"/>
              </w:rPr>
            </w:pPr>
            <w:r>
              <w:rPr>
                <w:rFonts w:hint="default" w:ascii="Times New Roman" w:hAnsi="Times New Roman" w:eastAsia="宋体" w:cs="Times New Roman"/>
                <w:b/>
                <w:bCs/>
                <w:color w:val="auto"/>
                <w:w w:val="100"/>
                <w:sz w:val="22"/>
                <w:szCs w:val="22"/>
              </w:rPr>
              <w:t>⑯检验、包装出货</w:t>
            </w:r>
          </w:p>
          <w:p w14:paraId="3BCA1EAF">
            <w:pPr>
              <w:keepNext w:val="0"/>
              <w:keepLines w:val="0"/>
              <w:pageBreakBefore w:val="0"/>
              <w:widowControl w:val="0"/>
              <w:kinsoku/>
              <w:wordWrap/>
              <w:overflowPunct/>
              <w:topLinePunct w:val="0"/>
              <w:autoSpaceDE/>
              <w:autoSpaceDN/>
              <w:bidi w:val="0"/>
              <w:adjustRightInd w:val="0"/>
              <w:snapToGrid w:val="0"/>
              <w:spacing w:line="500" w:lineRule="exact"/>
              <w:ind w:left="0" w:firstLine="412" w:firstLineChars="200"/>
              <w:jc w:val="both"/>
              <w:textAlignment w:val="auto"/>
              <w:outlineLvl w:val="9"/>
              <w:rPr>
                <w:rFonts w:hint="default" w:ascii="Times New Roman" w:hAnsi="Times New Roman" w:eastAsia="宋体" w:cs="Times New Roman"/>
                <w:color w:val="auto"/>
                <w:spacing w:val="-8"/>
                <w:w w:val="100"/>
                <w:sz w:val="22"/>
                <w:szCs w:val="22"/>
              </w:rPr>
            </w:pPr>
            <w:r>
              <w:rPr>
                <w:rFonts w:hint="default" w:ascii="Times New Roman" w:hAnsi="Times New Roman" w:eastAsia="宋体" w:cs="Times New Roman"/>
                <w:color w:val="auto"/>
                <w:spacing w:val="-7"/>
                <w:w w:val="100"/>
                <w:sz w:val="22"/>
                <w:szCs w:val="22"/>
              </w:rPr>
              <w:t>产品经尺寸、外观检验合格后，包装入库。不合格产品</w:t>
            </w:r>
            <w:r>
              <w:rPr>
                <w:rFonts w:hint="eastAsia" w:cs="Times New Roman"/>
                <w:color w:val="auto"/>
                <w:w w:val="100"/>
                <w:sz w:val="22"/>
                <w:szCs w:val="22"/>
                <w:lang w:val="en-US" w:eastAsia="zh-CN"/>
              </w:rPr>
              <w:t>S2-7</w:t>
            </w:r>
            <w:r>
              <w:rPr>
                <w:rFonts w:hint="default" w:ascii="Times New Roman" w:hAnsi="Times New Roman" w:eastAsia="宋体" w:cs="Times New Roman"/>
                <w:color w:val="auto"/>
                <w:spacing w:val="-8"/>
                <w:w w:val="100"/>
                <w:sz w:val="22"/>
                <w:szCs w:val="22"/>
              </w:rPr>
              <w:t>，出售相关物资回收单位。</w:t>
            </w:r>
          </w:p>
          <w:p w14:paraId="594F214D">
            <w:pPr>
              <w:adjustRightInd w:val="0"/>
              <w:snapToGrid w:val="0"/>
              <w:spacing w:line="500" w:lineRule="exact"/>
              <w:ind w:firstLine="440" w:firstLineChars="200"/>
              <w:rPr>
                <w:rFonts w:hint="default" w:ascii="Times New Roman" w:hAnsi="Times New Roman" w:eastAsia="宋体" w:cs="Times New Roman"/>
                <w:b/>
                <w:bCs/>
                <w:color w:val="auto"/>
                <w:sz w:val="22"/>
                <w:szCs w:val="22"/>
              </w:rPr>
            </w:pPr>
            <w:r>
              <w:rPr>
                <w:rFonts w:hint="default" w:ascii="Times New Roman" w:hAnsi="Times New Roman" w:eastAsia="宋体" w:cs="Times New Roman"/>
                <w:bCs/>
                <w:color w:val="auto"/>
                <w:sz w:val="22"/>
                <w:szCs w:val="22"/>
              </w:rPr>
              <w:t>本项目工艺流程产污环节及污染因子情况见表</w:t>
            </w:r>
            <w:r>
              <w:rPr>
                <w:rFonts w:hint="eastAsia" w:ascii="Times New Roman" w:hAnsi="Times New Roman" w:eastAsia="宋体" w:cs="Times New Roman"/>
                <w:bCs/>
                <w:color w:val="auto"/>
                <w:sz w:val="22"/>
                <w:szCs w:val="22"/>
                <w:lang w:val="en-US" w:eastAsia="zh-CN"/>
              </w:rPr>
              <w:t>2</w:t>
            </w:r>
            <w:r>
              <w:rPr>
                <w:rFonts w:hint="default" w:ascii="Times New Roman" w:hAnsi="Times New Roman" w:eastAsia="宋体" w:cs="Times New Roman"/>
                <w:bCs/>
                <w:color w:val="auto"/>
                <w:sz w:val="22"/>
                <w:szCs w:val="22"/>
              </w:rPr>
              <w:t>-</w:t>
            </w:r>
            <w:r>
              <w:rPr>
                <w:rFonts w:hint="eastAsia" w:cs="Times New Roman"/>
                <w:bCs/>
                <w:color w:val="auto"/>
                <w:sz w:val="22"/>
                <w:szCs w:val="22"/>
                <w:lang w:val="en-US" w:eastAsia="zh-CN"/>
              </w:rPr>
              <w:t>7</w:t>
            </w:r>
            <w:r>
              <w:rPr>
                <w:rFonts w:hint="default" w:ascii="Times New Roman" w:hAnsi="Times New Roman" w:eastAsia="宋体" w:cs="Times New Roman"/>
                <w:bCs/>
                <w:color w:val="auto"/>
                <w:sz w:val="22"/>
                <w:szCs w:val="22"/>
              </w:rPr>
              <w:t>。</w:t>
            </w:r>
          </w:p>
          <w:p w14:paraId="365892F1">
            <w:pPr>
              <w:autoSpaceDE w:val="0"/>
              <w:autoSpaceDN w:val="0"/>
              <w:adjustRightInd w:val="0"/>
              <w:spacing w:line="500" w:lineRule="exact"/>
              <w:jc w:val="center"/>
              <w:rPr>
                <w:rFonts w:hint="default" w:ascii="Times New Roman" w:hAnsi="Times New Roman" w:eastAsia="宋体" w:cs="Times New Roman"/>
                <w:b/>
                <w:color w:val="auto"/>
                <w:sz w:val="24"/>
              </w:rPr>
            </w:pPr>
            <w:r>
              <w:rPr>
                <w:rFonts w:hint="default" w:ascii="Times New Roman" w:hAnsi="Times New Roman" w:eastAsia="宋体" w:cs="Times New Roman"/>
                <w:b/>
                <w:bCs/>
                <w:color w:val="auto"/>
                <w:sz w:val="22"/>
                <w:szCs w:val="22"/>
              </w:rPr>
              <w:t>表2-</w:t>
            </w:r>
            <w:r>
              <w:rPr>
                <w:rFonts w:hint="eastAsia" w:cs="Times New Roman"/>
                <w:b/>
                <w:bCs/>
                <w:color w:val="auto"/>
                <w:sz w:val="22"/>
                <w:szCs w:val="22"/>
                <w:lang w:val="en-US" w:eastAsia="zh-CN"/>
              </w:rPr>
              <w:t>7</w:t>
            </w:r>
            <w:r>
              <w:rPr>
                <w:rFonts w:hint="default" w:ascii="Times New Roman" w:hAnsi="Times New Roman" w:eastAsia="宋体" w:cs="Times New Roman"/>
                <w:b/>
                <w:bCs/>
                <w:color w:val="auto"/>
                <w:sz w:val="22"/>
                <w:szCs w:val="22"/>
              </w:rPr>
              <w:t xml:space="preserve">  项目工艺流程产污环节及污染因子一览表</w:t>
            </w:r>
          </w:p>
          <w:tbl>
            <w:tblPr>
              <w:tblStyle w:val="44"/>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1" w:type="dxa"/>
                <w:bottom w:w="0" w:type="dxa"/>
                <w:right w:w="11" w:type="dxa"/>
              </w:tblCellMar>
            </w:tblPr>
            <w:tblGrid>
              <w:gridCol w:w="449"/>
              <w:gridCol w:w="1037"/>
              <w:gridCol w:w="1219"/>
              <w:gridCol w:w="2137"/>
              <w:gridCol w:w="4173"/>
            </w:tblGrid>
            <w:tr w14:paraId="62E0C0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Align w:val="center"/>
                </w:tcPr>
                <w:p w14:paraId="21CC1DD9">
                  <w:pPr>
                    <w:adjustRightInd w:val="0"/>
                    <w:snapToGrid w:val="0"/>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类别</w:t>
                  </w:r>
                </w:p>
              </w:tc>
              <w:tc>
                <w:tcPr>
                  <w:tcW w:w="575" w:type="pct"/>
                  <w:vAlign w:val="center"/>
                </w:tcPr>
                <w:p w14:paraId="4EB92458">
                  <w:pPr>
                    <w:adjustRightInd w:val="0"/>
                    <w:snapToGrid w:val="0"/>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编号</w:t>
                  </w:r>
                </w:p>
              </w:tc>
              <w:tc>
                <w:tcPr>
                  <w:tcW w:w="676" w:type="pct"/>
                  <w:vAlign w:val="center"/>
                </w:tcPr>
                <w:p w14:paraId="5D244906">
                  <w:pPr>
                    <w:adjustRightInd w:val="0"/>
                    <w:snapToGrid w:val="0"/>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污染源</w:t>
                  </w:r>
                </w:p>
              </w:tc>
              <w:tc>
                <w:tcPr>
                  <w:tcW w:w="1185" w:type="pct"/>
                  <w:vAlign w:val="center"/>
                </w:tcPr>
                <w:p w14:paraId="5C5244A7">
                  <w:pPr>
                    <w:adjustRightInd w:val="0"/>
                    <w:snapToGrid w:val="0"/>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主要成分</w:t>
                  </w:r>
                </w:p>
              </w:tc>
              <w:tc>
                <w:tcPr>
                  <w:tcW w:w="2314" w:type="pct"/>
                  <w:vAlign w:val="center"/>
                </w:tcPr>
                <w:p w14:paraId="0469D5EF">
                  <w:pPr>
                    <w:adjustRightInd w:val="0"/>
                    <w:snapToGrid w:val="0"/>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治理措施</w:t>
                  </w:r>
                </w:p>
              </w:tc>
            </w:tr>
            <w:tr w14:paraId="5DF2F6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restart"/>
                  <w:vAlign w:val="center"/>
                </w:tcPr>
                <w:p w14:paraId="368B1C7C">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w:t>
                  </w:r>
                </w:p>
              </w:tc>
              <w:tc>
                <w:tcPr>
                  <w:tcW w:w="575" w:type="pct"/>
                  <w:vAlign w:val="center"/>
                </w:tcPr>
                <w:p w14:paraId="343A0B16">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G</w:t>
                  </w:r>
                  <w:r>
                    <w:rPr>
                      <w:rFonts w:hint="eastAsia" w:ascii="Times New Roman" w:hAnsi="Times New Roman" w:eastAsia="宋体" w:cs="Times New Roman"/>
                      <w:color w:val="auto"/>
                      <w:w w:val="80"/>
                      <w:szCs w:val="21"/>
                      <w:lang w:val="en-US" w:eastAsia="zh-CN"/>
                    </w:rPr>
                    <w:t>1</w:t>
                  </w:r>
                  <w:r>
                    <w:rPr>
                      <w:rFonts w:hint="eastAsia" w:cs="Times New Roman"/>
                      <w:color w:val="auto"/>
                      <w:w w:val="80"/>
                      <w:szCs w:val="21"/>
                      <w:lang w:val="en-US" w:eastAsia="zh-CN"/>
                    </w:rPr>
                    <w:t>-1、</w:t>
                  </w: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2-1</w:t>
                  </w:r>
                </w:p>
              </w:tc>
              <w:tc>
                <w:tcPr>
                  <w:tcW w:w="676" w:type="pct"/>
                  <w:vAlign w:val="center"/>
                </w:tcPr>
                <w:p w14:paraId="534D4317">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配料</w:t>
                  </w:r>
                </w:p>
              </w:tc>
              <w:tc>
                <w:tcPr>
                  <w:tcW w:w="1185" w:type="pct"/>
                  <w:vAlign w:val="center"/>
                </w:tcPr>
                <w:p w14:paraId="11E71091">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颗粒物</w:t>
                  </w:r>
                </w:p>
              </w:tc>
              <w:tc>
                <w:tcPr>
                  <w:tcW w:w="2314" w:type="pct"/>
                  <w:vMerge w:val="restart"/>
                  <w:vAlign w:val="center"/>
                </w:tcPr>
                <w:p w14:paraId="4E2747B8">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eastAsia="zh-CN"/>
                    </w:rPr>
                    <w:t>密闭车间</w:t>
                  </w:r>
                  <w:r>
                    <w:rPr>
                      <w:rFonts w:hint="default" w:ascii="Times New Roman" w:hAnsi="Times New Roman" w:eastAsia="宋体" w:cs="Times New Roman"/>
                      <w:color w:val="auto"/>
                      <w:szCs w:val="21"/>
                    </w:rPr>
                    <w:t>负压收集+</w:t>
                  </w:r>
                  <w:r>
                    <w:rPr>
                      <w:rFonts w:hint="eastAsia" w:ascii="Times New Roman" w:hAnsi="Times New Roman" w:eastAsia="宋体" w:cs="Times New Roman"/>
                      <w:color w:val="auto"/>
                      <w:szCs w:val="21"/>
                      <w:lang w:eastAsia="zh-CN"/>
                    </w:rPr>
                    <w:t>“布袋除尘器</w:t>
                  </w:r>
                  <w:r>
                    <w:rPr>
                      <w:rFonts w:hint="eastAsia" w:ascii="Times New Roman" w:hAnsi="Times New Roman" w:eastAsia="宋体" w:cs="Times New Roman"/>
                      <w:color w:val="auto"/>
                      <w:szCs w:val="21"/>
                      <w:lang w:val="en-US" w:eastAsia="zh-CN"/>
                    </w:rPr>
                    <w:t>+</w:t>
                  </w:r>
                  <w:r>
                    <w:rPr>
                      <w:rFonts w:hint="eastAsia" w:ascii="Times New Roman" w:hAnsi="Times New Roman" w:eastAsia="宋体" w:cs="Times New Roman"/>
                      <w:color w:val="auto"/>
                      <w:szCs w:val="21"/>
                      <w:lang w:eastAsia="zh-CN"/>
                    </w:rPr>
                    <w:t>二级活性炭吸附装置”</w:t>
                  </w:r>
                  <w:r>
                    <w:rPr>
                      <w:rFonts w:hint="default" w:ascii="Times New Roman" w:hAnsi="Times New Roman" w:eastAsia="宋体" w:cs="Times New Roman"/>
                      <w:color w:val="auto"/>
                      <w:szCs w:val="21"/>
                    </w:rPr>
                    <w:t>+</w:t>
                  </w:r>
                  <w:r>
                    <w:rPr>
                      <w:rFonts w:hint="eastAsia"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eastAsia"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排气筒（DA001）排放</w:t>
                  </w:r>
                </w:p>
              </w:tc>
            </w:tr>
            <w:tr w14:paraId="36EE3D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475EF4B4">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DC0447B">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1-</w:t>
                  </w:r>
                  <w:r>
                    <w:rPr>
                      <w:rFonts w:hint="default" w:ascii="Times New Roman" w:hAnsi="Times New Roman" w:eastAsia="宋体" w:cs="Times New Roman"/>
                      <w:color w:val="auto"/>
                      <w:w w:val="80"/>
                      <w:szCs w:val="21"/>
                    </w:rPr>
                    <w:t>2</w:t>
                  </w:r>
                  <w:r>
                    <w:rPr>
                      <w:rFonts w:hint="eastAsia" w:cs="Times New Roman"/>
                      <w:color w:val="auto"/>
                      <w:w w:val="80"/>
                      <w:szCs w:val="21"/>
                      <w:lang w:val="en-US" w:eastAsia="zh-CN"/>
                    </w:rPr>
                    <w:t>、</w:t>
                  </w: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2-2</w:t>
                  </w:r>
                </w:p>
              </w:tc>
              <w:tc>
                <w:tcPr>
                  <w:tcW w:w="676" w:type="pct"/>
                  <w:vAlign w:val="center"/>
                </w:tcPr>
                <w:p w14:paraId="4B4F3756">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密炼、开炼</w:t>
                  </w:r>
                </w:p>
              </w:tc>
              <w:tc>
                <w:tcPr>
                  <w:tcW w:w="1185" w:type="pct"/>
                  <w:vAlign w:val="center"/>
                </w:tcPr>
                <w:p w14:paraId="12B3F598">
                  <w:pPr>
                    <w:adjustRightInd w:val="0"/>
                    <w:snapToGrid w:val="0"/>
                    <w:spacing w:line="360" w:lineRule="exact"/>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颗粒物、</w:t>
                  </w:r>
                  <w:r>
                    <w:rPr>
                      <w:rFonts w:hint="eastAsia" w:cs="Times New Roman"/>
                      <w:color w:val="auto"/>
                      <w:w w:val="100"/>
                      <w:kern w:val="2"/>
                      <w:sz w:val="21"/>
                      <w:szCs w:val="21"/>
                      <w:lang w:val="en-US" w:eastAsia="zh-CN" w:bidi="ar-SA"/>
                    </w:rPr>
                    <w:t>挥发性有机物</w:t>
                  </w:r>
                  <w:r>
                    <w:rPr>
                      <w:rFonts w:hint="default" w:ascii="Times New Roman" w:hAnsi="Times New Roman" w:eastAsia="宋体" w:cs="Times New Roman"/>
                      <w:color w:val="auto"/>
                      <w:szCs w:val="21"/>
                    </w:rPr>
                    <w:t>和臭气浓度</w:t>
                  </w:r>
                </w:p>
              </w:tc>
              <w:tc>
                <w:tcPr>
                  <w:tcW w:w="2314" w:type="pct"/>
                  <w:vMerge w:val="continue"/>
                  <w:vAlign w:val="center"/>
                </w:tcPr>
                <w:p w14:paraId="032EA4BD">
                  <w:pPr>
                    <w:adjustRightInd w:val="0"/>
                    <w:snapToGrid w:val="0"/>
                    <w:spacing w:line="360" w:lineRule="exact"/>
                    <w:jc w:val="center"/>
                    <w:rPr>
                      <w:rFonts w:hint="default" w:ascii="Times New Roman" w:hAnsi="Times New Roman" w:eastAsia="宋体" w:cs="Times New Roman"/>
                      <w:color w:val="auto"/>
                      <w:szCs w:val="21"/>
                    </w:rPr>
                  </w:pPr>
                </w:p>
              </w:tc>
            </w:tr>
            <w:tr w14:paraId="5D6A59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BB69B36">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2EA2D7B1">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1-3</w:t>
                  </w:r>
                </w:p>
              </w:tc>
              <w:tc>
                <w:tcPr>
                  <w:tcW w:w="676" w:type="pct"/>
                  <w:shd w:val="clear" w:color="auto" w:fill="auto"/>
                  <w:vAlign w:val="center"/>
                </w:tcPr>
                <w:p w14:paraId="71E496AA">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涂胶</w:t>
                  </w:r>
                </w:p>
              </w:tc>
              <w:tc>
                <w:tcPr>
                  <w:tcW w:w="1185" w:type="pct"/>
                  <w:shd w:val="clear" w:color="auto" w:fill="auto"/>
                  <w:vAlign w:val="center"/>
                </w:tcPr>
                <w:p w14:paraId="57F6087E">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甲苯</w:t>
                  </w:r>
                </w:p>
              </w:tc>
              <w:tc>
                <w:tcPr>
                  <w:tcW w:w="2314" w:type="pct"/>
                  <w:vMerge w:val="restart"/>
                  <w:vAlign w:val="center"/>
                </w:tcPr>
                <w:p w14:paraId="60BF878C">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szCs w:val="21"/>
                      <w:lang w:eastAsia="zh-CN"/>
                    </w:rPr>
                    <w:t>密闭车间</w:t>
                  </w:r>
                  <w:r>
                    <w:rPr>
                      <w:rFonts w:hint="default" w:ascii="Times New Roman" w:hAnsi="Times New Roman" w:eastAsia="宋体" w:cs="Times New Roman"/>
                      <w:color w:val="auto"/>
                      <w:szCs w:val="21"/>
                    </w:rPr>
                    <w:t>负压收集+</w:t>
                  </w:r>
                  <w:r>
                    <w:rPr>
                      <w:rFonts w:hint="eastAsia" w:ascii="Times New Roman" w:hAnsi="Times New Roman" w:eastAsia="宋体" w:cs="Times New Roman"/>
                      <w:color w:val="auto"/>
                      <w:szCs w:val="21"/>
                      <w:lang w:eastAsia="zh-CN"/>
                    </w:rPr>
                    <w:t>“二级活性炭吸附装置”</w:t>
                  </w:r>
                  <w:r>
                    <w:rPr>
                      <w:rFonts w:hint="default" w:ascii="Times New Roman" w:hAnsi="Times New Roman" w:eastAsia="宋体" w:cs="Times New Roman"/>
                      <w:color w:val="auto"/>
                      <w:szCs w:val="21"/>
                    </w:rPr>
                    <w:t>+</w:t>
                  </w:r>
                  <w:r>
                    <w:rPr>
                      <w:rFonts w:hint="eastAsia"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eastAsia"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w:t>
                  </w:r>
                  <w:r>
                    <w:rPr>
                      <w:rFonts w:hint="eastAsia" w:cs="Times New Roman"/>
                      <w:color w:val="auto"/>
                      <w:szCs w:val="21"/>
                      <w:lang w:val="en-US" w:eastAsia="zh-CN"/>
                    </w:rPr>
                    <w:t>9</w:t>
                  </w:r>
                  <w:r>
                    <w:rPr>
                      <w:rFonts w:hint="default" w:ascii="Times New Roman" w:hAnsi="Times New Roman" w:eastAsia="宋体" w:cs="Times New Roman"/>
                      <w:color w:val="auto"/>
                      <w:szCs w:val="21"/>
                    </w:rPr>
                    <w:t>）排放</w:t>
                  </w:r>
                </w:p>
              </w:tc>
            </w:tr>
            <w:tr w14:paraId="0CA489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41FBB9B">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6F1C474F">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1-4</w:t>
                  </w:r>
                </w:p>
              </w:tc>
              <w:tc>
                <w:tcPr>
                  <w:tcW w:w="676" w:type="pct"/>
                  <w:shd w:val="clear" w:color="auto" w:fill="auto"/>
                  <w:vAlign w:val="center"/>
                </w:tcPr>
                <w:p w14:paraId="2AF87A1C">
                  <w:pPr>
                    <w:adjustRightInd w:val="0"/>
                    <w:snapToGrid w:val="0"/>
                    <w:spacing w:line="360" w:lineRule="exact"/>
                    <w:jc w:val="center"/>
                    <w:rPr>
                      <w:rFonts w:hint="eastAsia" w:cs="Times New Roman"/>
                      <w:color w:val="auto"/>
                      <w:szCs w:val="21"/>
                      <w:lang w:eastAsia="zh-CN"/>
                    </w:rPr>
                  </w:pPr>
                  <w:r>
                    <w:rPr>
                      <w:rFonts w:hint="eastAsia" w:cs="Times New Roman"/>
                      <w:color w:val="auto"/>
                      <w:szCs w:val="21"/>
                      <w:lang w:eastAsia="zh-CN"/>
                    </w:rPr>
                    <w:t>平板硫化</w:t>
                  </w:r>
                </w:p>
              </w:tc>
              <w:tc>
                <w:tcPr>
                  <w:tcW w:w="1185" w:type="pct"/>
                  <w:shd w:val="clear" w:color="auto" w:fill="auto"/>
                  <w:vAlign w:val="center"/>
                </w:tcPr>
                <w:p w14:paraId="3F627B32">
                  <w:pPr>
                    <w:adjustRightInd w:val="0"/>
                    <w:snapToGrid w:val="0"/>
                    <w:spacing w:line="360" w:lineRule="exact"/>
                    <w:jc w:val="center"/>
                    <w:rPr>
                      <w:rFonts w:hint="eastAsia" w:cs="Times New Roman"/>
                      <w:color w:val="auto"/>
                      <w:szCs w:val="21"/>
                      <w:lang w:val="en-US" w:eastAsia="zh-CN"/>
                    </w:rPr>
                  </w:pPr>
                  <w:r>
                    <w:rPr>
                      <w:rFonts w:hint="eastAsia" w:cs="Times New Roman"/>
                      <w:color w:val="auto"/>
                      <w:w w:val="100"/>
                      <w:kern w:val="2"/>
                      <w:sz w:val="21"/>
                      <w:szCs w:val="21"/>
                      <w:lang w:val="en-US" w:eastAsia="zh-CN" w:bidi="ar-SA"/>
                    </w:rPr>
                    <w:t>挥发性有机物</w:t>
                  </w:r>
                  <w:r>
                    <w:rPr>
                      <w:rFonts w:hint="eastAsia" w:ascii="Times New Roman" w:hAnsi="Times New Roman" w:eastAsia="宋体" w:cs="Times New Roman"/>
                      <w:color w:val="auto"/>
                      <w:szCs w:val="21"/>
                      <w:lang w:eastAsia="zh-CN"/>
                    </w:rPr>
                    <w:t>、硫化氢和臭气浓度</w:t>
                  </w:r>
                </w:p>
              </w:tc>
              <w:tc>
                <w:tcPr>
                  <w:tcW w:w="2314" w:type="pct"/>
                  <w:vMerge w:val="continue"/>
                  <w:vAlign w:val="center"/>
                </w:tcPr>
                <w:p w14:paraId="4E3CF4F9">
                  <w:pPr>
                    <w:adjustRightInd w:val="0"/>
                    <w:snapToGrid w:val="0"/>
                    <w:spacing w:line="360" w:lineRule="exact"/>
                    <w:jc w:val="center"/>
                    <w:rPr>
                      <w:rFonts w:hint="default" w:ascii="Times New Roman" w:hAnsi="Times New Roman" w:eastAsia="宋体" w:cs="Times New Roman"/>
                      <w:color w:val="auto"/>
                      <w:szCs w:val="21"/>
                      <w:lang w:eastAsia="zh-CN"/>
                    </w:rPr>
                  </w:pPr>
                </w:p>
              </w:tc>
            </w:tr>
            <w:tr w14:paraId="4220FB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F2952C6">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5E47A384">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1-5</w:t>
                  </w:r>
                </w:p>
              </w:tc>
              <w:tc>
                <w:tcPr>
                  <w:tcW w:w="676" w:type="pct"/>
                  <w:shd w:val="clear" w:color="auto" w:fill="auto"/>
                  <w:vAlign w:val="center"/>
                </w:tcPr>
                <w:p w14:paraId="3211E640">
                  <w:pPr>
                    <w:adjustRightInd w:val="0"/>
                    <w:snapToGrid w:val="0"/>
                    <w:spacing w:line="360" w:lineRule="exact"/>
                    <w:jc w:val="center"/>
                    <w:rPr>
                      <w:rFonts w:hint="eastAsia" w:cs="Times New Roman"/>
                      <w:color w:val="auto"/>
                      <w:szCs w:val="21"/>
                      <w:lang w:eastAsia="zh-CN"/>
                    </w:rPr>
                  </w:pPr>
                  <w:r>
                    <w:rPr>
                      <w:rFonts w:hint="eastAsia" w:cs="Times New Roman"/>
                      <w:color w:val="auto"/>
                      <w:szCs w:val="21"/>
                      <w:lang w:eastAsia="zh-CN"/>
                    </w:rPr>
                    <w:t>磨边</w:t>
                  </w:r>
                </w:p>
              </w:tc>
              <w:tc>
                <w:tcPr>
                  <w:tcW w:w="1185" w:type="pct"/>
                  <w:shd w:val="clear" w:color="auto" w:fill="auto"/>
                  <w:vAlign w:val="center"/>
                </w:tcPr>
                <w:p w14:paraId="3C482767">
                  <w:pPr>
                    <w:adjustRightInd w:val="0"/>
                    <w:snapToGrid w:val="0"/>
                    <w:spacing w:line="360" w:lineRule="exact"/>
                    <w:jc w:val="center"/>
                    <w:rPr>
                      <w:rFonts w:hint="eastAsia" w:cs="Times New Roman"/>
                      <w:color w:val="auto"/>
                      <w:szCs w:val="21"/>
                      <w:lang w:val="en-US" w:eastAsia="zh-CN"/>
                    </w:rPr>
                  </w:pPr>
                  <w:r>
                    <w:rPr>
                      <w:rFonts w:hint="eastAsia" w:cs="Times New Roman"/>
                      <w:color w:val="auto"/>
                      <w:szCs w:val="21"/>
                      <w:lang w:val="en-US" w:eastAsia="zh-CN"/>
                    </w:rPr>
                    <w:t>颗粒物</w:t>
                  </w:r>
                </w:p>
              </w:tc>
              <w:tc>
                <w:tcPr>
                  <w:tcW w:w="2314" w:type="pct"/>
                  <w:vAlign w:val="center"/>
                </w:tcPr>
                <w:p w14:paraId="6C4A9B50">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szCs w:val="21"/>
                      <w:lang w:eastAsia="zh-CN"/>
                    </w:rPr>
                    <w:t>密闭车间</w:t>
                  </w:r>
                  <w:r>
                    <w:rPr>
                      <w:rFonts w:hint="default" w:ascii="Times New Roman" w:hAnsi="Times New Roman" w:eastAsia="宋体" w:cs="Times New Roman"/>
                      <w:color w:val="auto"/>
                      <w:szCs w:val="21"/>
                    </w:rPr>
                    <w:t>负压收集+</w:t>
                  </w:r>
                  <w:r>
                    <w:rPr>
                      <w:rFonts w:hint="eastAsia" w:ascii="Times New Roman" w:hAnsi="Times New Roman" w:eastAsia="宋体" w:cs="Times New Roman"/>
                      <w:color w:val="auto"/>
                      <w:szCs w:val="21"/>
                      <w:lang w:eastAsia="zh-CN"/>
                    </w:rPr>
                    <w:t>“布袋除尘器”</w:t>
                  </w:r>
                  <w:r>
                    <w:rPr>
                      <w:rFonts w:hint="default" w:ascii="Times New Roman" w:hAnsi="Times New Roman" w:eastAsia="宋体" w:cs="Times New Roman"/>
                      <w:color w:val="auto"/>
                      <w:szCs w:val="21"/>
                    </w:rPr>
                    <w:t>+</w:t>
                  </w:r>
                  <w:r>
                    <w:rPr>
                      <w:rFonts w:hint="eastAsia"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eastAsia"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w:t>
                  </w:r>
                  <w:r>
                    <w:rPr>
                      <w:rFonts w:hint="eastAsia" w:cs="Times New Roman"/>
                      <w:color w:val="auto"/>
                      <w:szCs w:val="21"/>
                      <w:lang w:val="en-US" w:eastAsia="zh-CN"/>
                    </w:rPr>
                    <w:t>9</w:t>
                  </w:r>
                  <w:r>
                    <w:rPr>
                      <w:rFonts w:hint="default" w:ascii="Times New Roman" w:hAnsi="Times New Roman" w:eastAsia="宋体" w:cs="Times New Roman"/>
                      <w:color w:val="auto"/>
                      <w:szCs w:val="21"/>
                    </w:rPr>
                    <w:t>）排放</w:t>
                  </w:r>
                </w:p>
              </w:tc>
            </w:tr>
            <w:tr w14:paraId="2C1056C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2828D22E">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3E5A4C5E">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1-6</w:t>
                  </w:r>
                </w:p>
              </w:tc>
              <w:tc>
                <w:tcPr>
                  <w:tcW w:w="676" w:type="pct"/>
                  <w:shd w:val="clear" w:color="auto" w:fill="auto"/>
                  <w:vAlign w:val="center"/>
                </w:tcPr>
                <w:p w14:paraId="2216A85D">
                  <w:pPr>
                    <w:adjustRightInd w:val="0"/>
                    <w:snapToGrid w:val="0"/>
                    <w:spacing w:line="360" w:lineRule="exact"/>
                    <w:jc w:val="center"/>
                    <w:rPr>
                      <w:rFonts w:hint="eastAsia" w:cs="Times New Roman"/>
                      <w:color w:val="auto"/>
                      <w:szCs w:val="21"/>
                      <w:lang w:eastAsia="zh-CN"/>
                    </w:rPr>
                  </w:pPr>
                  <w:r>
                    <w:rPr>
                      <w:rFonts w:hint="eastAsia" w:cs="Times New Roman"/>
                      <w:color w:val="auto"/>
                      <w:szCs w:val="21"/>
                      <w:lang w:eastAsia="zh-CN"/>
                    </w:rPr>
                    <w:t>刻字</w:t>
                  </w:r>
                </w:p>
              </w:tc>
              <w:tc>
                <w:tcPr>
                  <w:tcW w:w="1185" w:type="pct"/>
                  <w:shd w:val="clear" w:color="auto" w:fill="auto"/>
                  <w:vAlign w:val="center"/>
                </w:tcPr>
                <w:p w14:paraId="5601BC26">
                  <w:pPr>
                    <w:adjustRightInd w:val="0"/>
                    <w:snapToGrid w:val="0"/>
                    <w:spacing w:line="360" w:lineRule="exact"/>
                    <w:jc w:val="center"/>
                    <w:rPr>
                      <w:rFonts w:hint="eastAsia" w:cs="Times New Roman"/>
                      <w:color w:val="auto"/>
                      <w:szCs w:val="21"/>
                      <w:lang w:val="en-US" w:eastAsia="zh-CN"/>
                    </w:rPr>
                  </w:pPr>
                  <w:r>
                    <w:rPr>
                      <w:rFonts w:hint="eastAsia" w:cs="Times New Roman"/>
                      <w:color w:val="auto"/>
                      <w:szCs w:val="21"/>
                      <w:lang w:val="en-US" w:eastAsia="zh-CN"/>
                    </w:rPr>
                    <w:t>颗粒物</w:t>
                  </w:r>
                </w:p>
              </w:tc>
              <w:tc>
                <w:tcPr>
                  <w:tcW w:w="2314" w:type="pct"/>
                  <w:vAlign w:val="center"/>
                </w:tcPr>
                <w:p w14:paraId="0B32247B">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szCs w:val="21"/>
                      <w:lang w:eastAsia="zh-CN"/>
                    </w:rPr>
                    <w:t>无组织排放</w:t>
                  </w:r>
                </w:p>
              </w:tc>
            </w:tr>
            <w:tr w14:paraId="49804C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55EFCE19">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69424C34">
                  <w:pPr>
                    <w:adjustRightInd w:val="0"/>
                    <w:snapToGrid w:val="0"/>
                    <w:spacing w:line="360" w:lineRule="exact"/>
                    <w:jc w:val="center"/>
                    <w:rPr>
                      <w:rFonts w:hint="eastAsia" w:ascii="Times New Roman" w:hAnsi="Times New Roman" w:eastAsia="宋体" w:cs="Times New Roman"/>
                      <w:color w:val="auto"/>
                      <w:w w:val="80"/>
                      <w:kern w:val="2"/>
                      <w:sz w:val="21"/>
                      <w:szCs w:val="21"/>
                      <w:lang w:val="en-US" w:eastAsia="zh-CN" w:bidi="ar-SA"/>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w:t>
                  </w:r>
                  <w:r>
                    <w:rPr>
                      <w:rFonts w:hint="eastAsia" w:ascii="Times New Roman" w:hAnsi="Times New Roman" w:cs="Times New Roman"/>
                      <w:color w:val="auto"/>
                      <w:w w:val="80"/>
                      <w:szCs w:val="21"/>
                      <w:lang w:val="en-US" w:eastAsia="zh-CN"/>
                    </w:rPr>
                    <w:t>3</w:t>
                  </w:r>
                </w:p>
              </w:tc>
              <w:tc>
                <w:tcPr>
                  <w:tcW w:w="676" w:type="pct"/>
                  <w:shd w:val="clear" w:color="auto" w:fill="auto"/>
                  <w:vAlign w:val="center"/>
                </w:tcPr>
                <w:p w14:paraId="00A4CE9C">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轴芯清洗</w:t>
                  </w:r>
                </w:p>
              </w:tc>
              <w:tc>
                <w:tcPr>
                  <w:tcW w:w="1185" w:type="pct"/>
                  <w:shd w:val="clear" w:color="auto" w:fill="auto"/>
                  <w:vAlign w:val="center"/>
                </w:tcPr>
                <w:p w14:paraId="27FDA0A3">
                  <w:pPr>
                    <w:adjustRightInd w:val="0"/>
                    <w:snapToGrid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2314" w:type="pct"/>
                  <w:vMerge w:val="restart"/>
                  <w:vAlign w:val="center"/>
                </w:tcPr>
                <w:p w14:paraId="6292AD09">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eastAsia="zh-CN"/>
                    </w:rPr>
                    <w:t>密闭车间</w:t>
                  </w:r>
                  <w:r>
                    <w:rPr>
                      <w:rFonts w:hint="default" w:ascii="Times New Roman" w:hAnsi="Times New Roman" w:eastAsia="宋体" w:cs="Times New Roman"/>
                      <w:color w:val="auto"/>
                      <w:szCs w:val="21"/>
                    </w:rPr>
                    <w:t>负压收集+</w:t>
                  </w:r>
                  <w:r>
                    <w:rPr>
                      <w:rFonts w:hint="eastAsia" w:ascii="Times New Roman" w:hAnsi="Times New Roman" w:eastAsia="宋体" w:cs="Times New Roman"/>
                      <w:color w:val="auto"/>
                      <w:szCs w:val="21"/>
                      <w:lang w:eastAsia="zh-CN"/>
                    </w:rPr>
                    <w:t>“水喷淋</w:t>
                  </w:r>
                  <w:r>
                    <w:rPr>
                      <w:rFonts w:hint="eastAsia" w:ascii="Times New Roman" w:hAnsi="Times New Roman" w:eastAsia="宋体" w:cs="Times New Roman"/>
                      <w:color w:val="auto"/>
                      <w:szCs w:val="21"/>
                      <w:lang w:val="en-US" w:eastAsia="zh-CN"/>
                    </w:rPr>
                    <w:t>+二级活性炭吸附装置</w:t>
                  </w:r>
                  <w:r>
                    <w:rPr>
                      <w:rFonts w:hint="eastAsia"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w:t>
                  </w:r>
                  <w:r>
                    <w:rPr>
                      <w:rFonts w:hint="eastAsia"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default"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排气筒（DA002）排放</w:t>
                  </w:r>
                </w:p>
              </w:tc>
            </w:tr>
            <w:tr w14:paraId="366558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E091FC8">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56CAB0E2">
                  <w:pPr>
                    <w:adjustRightInd w:val="0"/>
                    <w:snapToGrid w:val="0"/>
                    <w:spacing w:line="360" w:lineRule="exact"/>
                    <w:jc w:val="center"/>
                    <w:rPr>
                      <w:rFonts w:hint="default" w:ascii="Times New Roman" w:hAnsi="Times New Roman" w:eastAsia="宋体" w:cs="Times New Roman"/>
                      <w:color w:val="auto"/>
                      <w:w w:val="80"/>
                      <w:szCs w:val="21"/>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2-4</w:t>
                  </w:r>
                </w:p>
              </w:tc>
              <w:tc>
                <w:tcPr>
                  <w:tcW w:w="676" w:type="pct"/>
                  <w:shd w:val="clear" w:color="auto" w:fill="auto"/>
                  <w:vAlign w:val="center"/>
                </w:tcPr>
                <w:p w14:paraId="7A7F34BE">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轴芯</w:t>
                  </w:r>
                  <w:r>
                    <w:rPr>
                      <w:rFonts w:hint="eastAsia" w:cs="Times New Roman"/>
                      <w:color w:val="auto"/>
                      <w:szCs w:val="21"/>
                      <w:lang w:eastAsia="zh-CN"/>
                    </w:rPr>
                    <w:t>涂胶</w:t>
                  </w:r>
                </w:p>
              </w:tc>
              <w:tc>
                <w:tcPr>
                  <w:tcW w:w="1185" w:type="pct"/>
                  <w:shd w:val="clear" w:color="auto" w:fill="auto"/>
                  <w:vAlign w:val="center"/>
                </w:tcPr>
                <w:p w14:paraId="3EDFC7A8">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w w:val="100"/>
                      <w:kern w:val="2"/>
                      <w:sz w:val="21"/>
                      <w:szCs w:val="21"/>
                      <w:lang w:val="en-US" w:eastAsia="zh-CN" w:bidi="ar-SA"/>
                    </w:rPr>
                    <w:t>挥发性有机物</w:t>
                  </w:r>
                  <w:r>
                    <w:rPr>
                      <w:rFonts w:hint="eastAsia" w:ascii="Times New Roman" w:hAnsi="Times New Roman" w:eastAsia="宋体" w:cs="Times New Roman"/>
                      <w:color w:val="auto"/>
                      <w:szCs w:val="21"/>
                      <w:lang w:eastAsia="zh-CN"/>
                    </w:rPr>
                    <w:t>、二甲苯</w:t>
                  </w:r>
                </w:p>
              </w:tc>
              <w:tc>
                <w:tcPr>
                  <w:tcW w:w="2314" w:type="pct"/>
                  <w:vMerge w:val="continue"/>
                  <w:vAlign w:val="center"/>
                </w:tcPr>
                <w:p w14:paraId="01E471D8">
                  <w:pPr>
                    <w:adjustRightInd w:val="0"/>
                    <w:snapToGrid w:val="0"/>
                    <w:spacing w:line="360" w:lineRule="exact"/>
                    <w:jc w:val="center"/>
                    <w:rPr>
                      <w:rFonts w:hint="default" w:ascii="Times New Roman" w:hAnsi="Times New Roman" w:eastAsia="宋体" w:cs="Times New Roman"/>
                      <w:color w:val="auto"/>
                      <w:szCs w:val="21"/>
                      <w:lang w:eastAsia="zh-CN"/>
                    </w:rPr>
                  </w:pPr>
                </w:p>
              </w:tc>
            </w:tr>
            <w:tr w14:paraId="0A4DABD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4A7B9B84">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DA36B6D">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2-5</w:t>
                  </w:r>
                </w:p>
              </w:tc>
              <w:tc>
                <w:tcPr>
                  <w:tcW w:w="676" w:type="pct"/>
                  <w:vAlign w:val="center"/>
                </w:tcPr>
                <w:p w14:paraId="3743A266">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硫化</w:t>
                  </w:r>
                </w:p>
              </w:tc>
              <w:tc>
                <w:tcPr>
                  <w:tcW w:w="1185" w:type="pct"/>
                  <w:vAlign w:val="center"/>
                </w:tcPr>
                <w:p w14:paraId="582C0229">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w w:val="100"/>
                      <w:kern w:val="2"/>
                      <w:sz w:val="21"/>
                      <w:szCs w:val="21"/>
                      <w:lang w:val="en-US" w:eastAsia="zh-CN" w:bidi="ar-SA"/>
                    </w:rPr>
                    <w:t>挥发性有机物</w:t>
                  </w:r>
                  <w:r>
                    <w:rPr>
                      <w:rFonts w:hint="eastAsia" w:ascii="Times New Roman" w:hAnsi="Times New Roman" w:eastAsia="宋体" w:cs="Times New Roman"/>
                      <w:color w:val="auto"/>
                      <w:szCs w:val="21"/>
                      <w:lang w:eastAsia="zh-CN"/>
                    </w:rPr>
                    <w:t>、硫化氢和臭气浓度</w:t>
                  </w:r>
                </w:p>
              </w:tc>
              <w:tc>
                <w:tcPr>
                  <w:tcW w:w="2314" w:type="pct"/>
                  <w:vAlign w:val="center"/>
                </w:tcPr>
                <w:p w14:paraId="416BAAD2">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eastAsia="zh-CN"/>
                    </w:rPr>
                    <w:t>密闭管道</w:t>
                  </w:r>
                  <w:r>
                    <w:rPr>
                      <w:rFonts w:hint="default" w:ascii="Times New Roman" w:hAnsi="Times New Roman" w:eastAsia="宋体" w:cs="Times New Roman"/>
                      <w:color w:val="auto"/>
                      <w:szCs w:val="21"/>
                    </w:rPr>
                    <w:t>负压收集+</w:t>
                  </w:r>
                  <w:r>
                    <w:rPr>
                      <w:rFonts w:hint="default" w:ascii="Times New Roman" w:hAnsi="Times New Roman" w:eastAsia="宋体" w:cs="Times New Roman"/>
                      <w:color w:val="auto"/>
                      <w:szCs w:val="21"/>
                      <w:lang w:eastAsia="zh-CN"/>
                    </w:rPr>
                    <w:t>“水喷淋</w:t>
                  </w:r>
                  <w:r>
                    <w:rPr>
                      <w:rFonts w:hint="default" w:ascii="Times New Roman" w:hAnsi="Times New Roman" w:eastAsia="宋体" w:cs="Times New Roman"/>
                      <w:color w:val="auto"/>
                      <w:szCs w:val="21"/>
                      <w:lang w:val="en-US" w:eastAsia="zh-CN"/>
                    </w:rPr>
                    <w:t>+二级活性炭吸附装置</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w:t>
                  </w:r>
                  <w:r>
                    <w:rPr>
                      <w:rFonts w:hint="default"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default"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排气筒（DA002）排放</w:t>
                  </w:r>
                </w:p>
              </w:tc>
            </w:tr>
            <w:tr w14:paraId="3571F9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1FCAA448">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6026E9EF">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2-6</w:t>
                  </w:r>
                </w:p>
              </w:tc>
              <w:tc>
                <w:tcPr>
                  <w:tcW w:w="676" w:type="pct"/>
                  <w:vAlign w:val="center"/>
                </w:tcPr>
                <w:p w14:paraId="6A43A0E5">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粗磨和精磨</w:t>
                  </w:r>
                </w:p>
              </w:tc>
              <w:tc>
                <w:tcPr>
                  <w:tcW w:w="1185" w:type="pct"/>
                  <w:vAlign w:val="center"/>
                </w:tcPr>
                <w:p w14:paraId="7E46B9B6">
                  <w:pPr>
                    <w:keepNext w:val="0"/>
                    <w:keepLines w:val="0"/>
                    <w:pageBreakBefore w:val="0"/>
                    <w:widowControl w:val="0"/>
                    <w:kinsoku/>
                    <w:wordWrap w:val="0"/>
                    <w:overflowPunct/>
                    <w:topLinePunct w:val="0"/>
                    <w:autoSpaceDE/>
                    <w:autoSpaceDN/>
                    <w:bidi w:val="0"/>
                    <w:adjustRightInd w:val="0"/>
                    <w:snapToGrid w:val="0"/>
                    <w:spacing w:line="360" w:lineRule="exact"/>
                    <w:jc w:val="center"/>
                    <w:textAlignment w:val="auto"/>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颗粒物</w:t>
                  </w:r>
                </w:p>
              </w:tc>
              <w:tc>
                <w:tcPr>
                  <w:tcW w:w="2314" w:type="pct"/>
                  <w:vAlign w:val="center"/>
                </w:tcPr>
                <w:p w14:paraId="57DB1AB2">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Times New Roman"/>
                      <w:color w:val="auto"/>
                      <w:szCs w:val="21"/>
                      <w:lang w:eastAsia="zh-CN"/>
                    </w:rPr>
                  </w:pPr>
                  <w:r>
                    <w:rPr>
                      <w:rFonts w:hint="eastAsia" w:cs="Times New Roman"/>
                      <w:color w:val="auto"/>
                      <w:szCs w:val="21"/>
                      <w:lang w:eastAsia="zh-CN"/>
                    </w:rPr>
                    <w:t>密闭管道</w:t>
                  </w:r>
                  <w:r>
                    <w:rPr>
                      <w:rFonts w:hint="default" w:ascii="Times New Roman" w:hAnsi="Times New Roman" w:eastAsia="宋体" w:cs="Times New Roman"/>
                      <w:color w:val="auto"/>
                      <w:szCs w:val="21"/>
                    </w:rPr>
                    <w:t>负压收集+</w:t>
                  </w:r>
                  <w:r>
                    <w:rPr>
                      <w:rFonts w:hint="eastAsia" w:ascii="Times New Roman" w:hAnsi="Times New Roman" w:eastAsia="宋体" w:cs="Times New Roman"/>
                      <w:color w:val="auto"/>
                      <w:szCs w:val="21"/>
                      <w:lang w:eastAsia="zh-CN"/>
                    </w:rPr>
                    <w:t>“布袋除尘器”+</w:t>
                  </w:r>
                  <w:r>
                    <w:rPr>
                      <w:rFonts w:hint="eastAsia" w:ascii="Times New Roman" w:hAnsi="Times New Roman" w:eastAsia="宋体" w:cs="Times New Roman"/>
                      <w:color w:val="auto"/>
                      <w:szCs w:val="21"/>
                      <w:lang w:val="en-US" w:eastAsia="zh-CN"/>
                    </w:rPr>
                    <w:t>15</w:t>
                  </w:r>
                  <w:r>
                    <w:rPr>
                      <w:rFonts w:hint="eastAsia" w:ascii="Times New Roman" w:hAnsi="Times New Roman" w:eastAsia="宋体" w:cs="Times New Roman"/>
                      <w:color w:val="auto"/>
                      <w:szCs w:val="21"/>
                      <w:lang w:eastAsia="zh-CN"/>
                    </w:rPr>
                    <w:t>米高排气筒（DA00</w:t>
                  </w:r>
                  <w:r>
                    <w:rPr>
                      <w:rFonts w:hint="eastAsia" w:ascii="Times New Roman" w:hAnsi="Times New Roman" w:eastAsia="宋体" w:cs="Times New Roman"/>
                      <w:color w:val="auto"/>
                      <w:szCs w:val="21"/>
                      <w:lang w:val="en-US" w:eastAsia="zh-CN"/>
                    </w:rPr>
                    <w:t>4/DA005/DA006/DA007/</w:t>
                  </w:r>
                  <w:r>
                    <w:rPr>
                      <w:rFonts w:hint="eastAsia" w:cs="Times New Roman"/>
                      <w:color w:val="auto"/>
                      <w:szCs w:val="21"/>
                      <w:lang w:val="en-US" w:eastAsia="zh-CN"/>
                    </w:rPr>
                    <w:t xml:space="preserve"> </w:t>
                  </w:r>
                  <w:r>
                    <w:rPr>
                      <w:rFonts w:hint="eastAsia" w:ascii="Times New Roman" w:hAnsi="Times New Roman" w:eastAsia="宋体" w:cs="Times New Roman"/>
                      <w:color w:val="auto"/>
                      <w:szCs w:val="21"/>
                      <w:lang w:val="en-US" w:eastAsia="zh-CN"/>
                    </w:rPr>
                    <w:t>DA008</w:t>
                  </w:r>
                  <w:r>
                    <w:rPr>
                      <w:rFonts w:hint="eastAsia" w:ascii="Times New Roman" w:hAnsi="Times New Roman" w:eastAsia="宋体" w:cs="Times New Roman"/>
                      <w:color w:val="auto"/>
                      <w:szCs w:val="21"/>
                      <w:lang w:eastAsia="zh-CN"/>
                    </w:rPr>
                    <w:t>）排放</w:t>
                  </w:r>
                </w:p>
              </w:tc>
            </w:tr>
            <w:tr w14:paraId="3EAA6F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A62A793">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6DD62467">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2-7</w:t>
                  </w:r>
                </w:p>
              </w:tc>
              <w:tc>
                <w:tcPr>
                  <w:tcW w:w="676" w:type="pct"/>
                  <w:vAlign w:val="center"/>
                </w:tcPr>
                <w:p w14:paraId="66C88149">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喷涂</w:t>
                  </w:r>
                </w:p>
              </w:tc>
              <w:tc>
                <w:tcPr>
                  <w:tcW w:w="1185" w:type="pct"/>
                  <w:vAlign w:val="center"/>
                </w:tcPr>
                <w:p w14:paraId="3D12E2C0">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w w:val="100"/>
                      <w:kern w:val="2"/>
                      <w:sz w:val="21"/>
                      <w:szCs w:val="21"/>
                      <w:lang w:val="en-US" w:eastAsia="zh-CN" w:bidi="ar-SA"/>
                    </w:rPr>
                    <w:t>挥发性有机物</w:t>
                  </w:r>
                </w:p>
              </w:tc>
              <w:tc>
                <w:tcPr>
                  <w:tcW w:w="2314" w:type="pct"/>
                  <w:vMerge w:val="restart"/>
                  <w:vAlign w:val="center"/>
                </w:tcPr>
                <w:p w14:paraId="455D8765">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eastAsia="zh-CN"/>
                    </w:rPr>
                    <w:t>密闭车间</w:t>
                  </w:r>
                  <w:r>
                    <w:rPr>
                      <w:rFonts w:hint="default" w:ascii="Times New Roman" w:hAnsi="Times New Roman" w:eastAsia="宋体" w:cs="Times New Roman"/>
                      <w:color w:val="auto"/>
                      <w:szCs w:val="21"/>
                    </w:rPr>
                    <w:t>负压收集+</w:t>
                  </w:r>
                  <w:r>
                    <w:rPr>
                      <w:rFonts w:hint="default" w:ascii="Times New Roman" w:hAnsi="Times New Roman" w:eastAsia="宋体" w:cs="Times New Roman"/>
                      <w:color w:val="auto"/>
                      <w:szCs w:val="21"/>
                      <w:lang w:eastAsia="zh-CN"/>
                    </w:rPr>
                    <w:t>“水喷淋</w:t>
                  </w:r>
                  <w:r>
                    <w:rPr>
                      <w:rFonts w:hint="default" w:ascii="Times New Roman" w:hAnsi="Times New Roman" w:eastAsia="宋体" w:cs="Times New Roman"/>
                      <w:color w:val="auto"/>
                      <w:szCs w:val="21"/>
                      <w:lang w:val="en-US" w:eastAsia="zh-CN"/>
                    </w:rPr>
                    <w:t>+</w:t>
                  </w:r>
                  <w:r>
                    <w:rPr>
                      <w:rFonts w:hint="eastAsia" w:cs="Times New Roman"/>
                      <w:color w:val="auto"/>
                      <w:szCs w:val="21"/>
                      <w:lang w:val="en-US" w:eastAsia="zh-CN"/>
                    </w:rPr>
                    <w:t>活性炭吸附脱附+</w:t>
                  </w:r>
                  <w:r>
                    <w:rPr>
                      <w:rFonts w:hint="eastAsia" w:ascii="Times New Roman" w:hAnsi="Times New Roman" w:eastAsia="宋体" w:cs="Times New Roman"/>
                      <w:color w:val="auto"/>
                      <w:szCs w:val="21"/>
                      <w:lang w:val="en-US" w:eastAsia="zh-CN"/>
                    </w:rPr>
                    <w:t>RCO</w:t>
                  </w:r>
                  <w:r>
                    <w:rPr>
                      <w:rFonts w:hint="default" w:ascii="Times New Roman" w:hAnsi="Times New Roman" w:eastAsia="宋体" w:cs="Times New Roman"/>
                      <w:color w:val="auto"/>
                      <w:szCs w:val="21"/>
                      <w:lang w:val="en-US" w:eastAsia="zh-CN"/>
                    </w:rPr>
                    <w:t>装置</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w:t>
                  </w:r>
                  <w:r>
                    <w:rPr>
                      <w:rFonts w:hint="default" w:ascii="Times New Roman" w:hAnsi="Times New Roman" w:eastAsia="宋体" w:cs="Times New Roman"/>
                      <w:color w:val="auto"/>
                      <w:szCs w:val="21"/>
                      <w:lang w:val="en-US" w:eastAsia="zh-CN"/>
                    </w:rPr>
                    <w:t>15</w:t>
                  </w:r>
                  <w:r>
                    <w:rPr>
                      <w:rFonts w:hint="default" w:ascii="Times New Roman" w:hAnsi="Times New Roman" w:eastAsia="宋体" w:cs="Times New Roman"/>
                      <w:color w:val="auto"/>
                      <w:szCs w:val="21"/>
                    </w:rPr>
                    <w:t>米</w:t>
                  </w:r>
                  <w:r>
                    <w:rPr>
                      <w:rFonts w:hint="default" w:ascii="Times New Roman" w:hAnsi="Times New Roman" w:eastAsia="宋体" w:cs="Times New Roman"/>
                      <w:color w:val="auto"/>
                      <w:szCs w:val="21"/>
                      <w:lang w:eastAsia="zh-CN"/>
                    </w:rPr>
                    <w:t>高</w:t>
                  </w:r>
                  <w:r>
                    <w:rPr>
                      <w:rFonts w:hint="default" w:ascii="Times New Roman" w:hAnsi="Times New Roman" w:eastAsia="宋体" w:cs="Times New Roman"/>
                      <w:color w:val="auto"/>
                      <w:szCs w:val="21"/>
                    </w:rPr>
                    <w:t>排气筒（DA00</w:t>
                  </w:r>
                  <w:r>
                    <w:rPr>
                      <w:rFonts w:hint="eastAsia" w:ascii="Times New Roman" w:hAnsi="Times New Roman" w:eastAsia="宋体" w:cs="Times New Roman"/>
                      <w:color w:val="auto"/>
                      <w:szCs w:val="21"/>
                      <w:lang w:val="en-US" w:eastAsia="zh-CN"/>
                    </w:rPr>
                    <w:t>3</w:t>
                  </w:r>
                  <w:r>
                    <w:rPr>
                      <w:rFonts w:hint="default" w:ascii="Times New Roman" w:hAnsi="Times New Roman" w:eastAsia="宋体" w:cs="Times New Roman"/>
                      <w:color w:val="auto"/>
                      <w:szCs w:val="21"/>
                    </w:rPr>
                    <w:t>）排放</w:t>
                  </w:r>
                </w:p>
              </w:tc>
            </w:tr>
            <w:tr w14:paraId="7074DE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7BC4D200">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616DCD6">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G</w:t>
                  </w:r>
                  <w:r>
                    <w:rPr>
                      <w:rFonts w:hint="eastAsia" w:cs="Times New Roman"/>
                      <w:color w:val="auto"/>
                      <w:w w:val="80"/>
                      <w:szCs w:val="21"/>
                      <w:lang w:val="en-US" w:eastAsia="zh-CN"/>
                    </w:rPr>
                    <w:t>2-8</w:t>
                  </w:r>
                </w:p>
              </w:tc>
              <w:tc>
                <w:tcPr>
                  <w:tcW w:w="676" w:type="pct"/>
                  <w:vAlign w:val="center"/>
                </w:tcPr>
                <w:p w14:paraId="552832AD">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加热</w:t>
                  </w:r>
                </w:p>
              </w:tc>
              <w:tc>
                <w:tcPr>
                  <w:tcW w:w="1185" w:type="pct"/>
                  <w:vAlign w:val="center"/>
                </w:tcPr>
                <w:p w14:paraId="6F1E0D3B">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w w:val="100"/>
                      <w:kern w:val="2"/>
                      <w:sz w:val="21"/>
                      <w:szCs w:val="21"/>
                      <w:lang w:val="en-US" w:eastAsia="zh-CN" w:bidi="ar-SA"/>
                    </w:rPr>
                    <w:t>挥发性有机物</w:t>
                  </w:r>
                </w:p>
              </w:tc>
              <w:tc>
                <w:tcPr>
                  <w:tcW w:w="2314" w:type="pct"/>
                  <w:vMerge w:val="continue"/>
                  <w:vAlign w:val="center"/>
                </w:tcPr>
                <w:p w14:paraId="52544764">
                  <w:pPr>
                    <w:adjustRightInd w:val="0"/>
                    <w:snapToGrid w:val="0"/>
                    <w:spacing w:line="360" w:lineRule="exact"/>
                    <w:jc w:val="center"/>
                    <w:rPr>
                      <w:rFonts w:hint="default" w:ascii="Times New Roman" w:hAnsi="Times New Roman" w:eastAsia="宋体" w:cs="Times New Roman"/>
                      <w:color w:val="auto"/>
                      <w:szCs w:val="21"/>
                    </w:rPr>
                  </w:pPr>
                </w:p>
              </w:tc>
            </w:tr>
            <w:tr w14:paraId="01CCA0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restart"/>
                  <w:vAlign w:val="center"/>
                </w:tcPr>
                <w:p w14:paraId="058B3601">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废水</w:t>
                  </w:r>
                </w:p>
              </w:tc>
              <w:tc>
                <w:tcPr>
                  <w:tcW w:w="575" w:type="pct"/>
                  <w:vAlign w:val="center"/>
                </w:tcPr>
                <w:p w14:paraId="3DA9B9BF">
                  <w:pPr>
                    <w:adjustRightInd w:val="0"/>
                    <w:snapToGrid w:val="0"/>
                    <w:spacing w:line="360" w:lineRule="exact"/>
                    <w:jc w:val="center"/>
                    <w:rPr>
                      <w:rFonts w:hint="default" w:ascii="Times New Roman" w:hAnsi="Times New Roman" w:eastAsia="宋体" w:cs="Times New Roman"/>
                      <w:bCs/>
                      <w:color w:val="auto"/>
                      <w:w w:val="80"/>
                      <w:szCs w:val="21"/>
                      <w:lang w:val="en-US" w:eastAsia="zh-CN"/>
                    </w:rPr>
                  </w:pPr>
                  <w:r>
                    <w:rPr>
                      <w:rFonts w:hint="eastAsia" w:ascii="Times New Roman" w:hAnsi="Times New Roman" w:eastAsia="宋体" w:cs="Times New Roman"/>
                      <w:bCs/>
                      <w:color w:val="auto"/>
                      <w:w w:val="80"/>
                      <w:szCs w:val="21"/>
                      <w:lang w:val="en-US" w:eastAsia="zh-CN"/>
                    </w:rPr>
                    <w:t>W1</w:t>
                  </w:r>
                  <w:r>
                    <w:rPr>
                      <w:rFonts w:hint="eastAsia" w:cs="Times New Roman"/>
                      <w:bCs/>
                      <w:color w:val="auto"/>
                      <w:w w:val="80"/>
                      <w:szCs w:val="21"/>
                      <w:lang w:val="en-US" w:eastAsia="zh-CN"/>
                    </w:rPr>
                    <w:t>-1、</w:t>
                  </w:r>
                  <w:r>
                    <w:rPr>
                      <w:rFonts w:hint="eastAsia" w:ascii="Times New Roman" w:hAnsi="Times New Roman" w:eastAsia="宋体" w:cs="Times New Roman"/>
                      <w:bCs/>
                      <w:color w:val="auto"/>
                      <w:w w:val="80"/>
                      <w:szCs w:val="21"/>
                      <w:lang w:val="en-US" w:eastAsia="zh-CN"/>
                    </w:rPr>
                    <w:t>W</w:t>
                  </w:r>
                  <w:r>
                    <w:rPr>
                      <w:rFonts w:hint="eastAsia" w:cs="Times New Roman"/>
                      <w:bCs/>
                      <w:color w:val="auto"/>
                      <w:w w:val="80"/>
                      <w:szCs w:val="21"/>
                      <w:lang w:val="en-US" w:eastAsia="zh-CN"/>
                    </w:rPr>
                    <w:t>2-1</w:t>
                  </w:r>
                </w:p>
              </w:tc>
              <w:tc>
                <w:tcPr>
                  <w:tcW w:w="676" w:type="pct"/>
                  <w:vAlign w:val="center"/>
                </w:tcPr>
                <w:p w14:paraId="7AFFCFCC">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间接循环水</w:t>
                  </w:r>
                </w:p>
              </w:tc>
              <w:tc>
                <w:tcPr>
                  <w:tcW w:w="1185" w:type="pct"/>
                  <w:vAlign w:val="center"/>
                </w:tcPr>
                <w:p w14:paraId="3153FF2C">
                  <w:pPr>
                    <w:adjustRightInd w:val="0"/>
                    <w:snapToGrid w:val="0"/>
                    <w:spacing w:line="360" w:lineRule="exact"/>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2314" w:type="pct"/>
                  <w:vAlign w:val="center"/>
                </w:tcPr>
                <w:p w14:paraId="406B75E2">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循环使用，不外排</w:t>
                  </w:r>
                </w:p>
              </w:tc>
            </w:tr>
            <w:tr w14:paraId="635740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BD54B9B">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613F2FAF">
                  <w:pPr>
                    <w:adjustRightInd w:val="0"/>
                    <w:snapToGrid w:val="0"/>
                    <w:spacing w:line="360" w:lineRule="exact"/>
                    <w:jc w:val="center"/>
                    <w:rPr>
                      <w:rFonts w:hint="default" w:ascii="Times New Roman" w:hAnsi="Times New Roman" w:eastAsia="宋体" w:cs="Times New Roman"/>
                      <w:bCs/>
                      <w:color w:val="auto"/>
                      <w:w w:val="80"/>
                      <w:kern w:val="2"/>
                      <w:sz w:val="21"/>
                      <w:szCs w:val="21"/>
                      <w:lang w:val="en-US" w:eastAsia="zh-CN" w:bidi="ar-SA"/>
                    </w:rPr>
                  </w:pPr>
                  <w:r>
                    <w:rPr>
                      <w:rFonts w:hint="eastAsia" w:ascii="Times New Roman" w:hAnsi="Times New Roman" w:eastAsia="宋体" w:cs="Times New Roman"/>
                      <w:bCs/>
                      <w:color w:val="auto"/>
                      <w:w w:val="80"/>
                      <w:szCs w:val="21"/>
                      <w:lang w:val="en-US" w:eastAsia="zh-CN"/>
                    </w:rPr>
                    <w:t>W</w:t>
                  </w:r>
                  <w:r>
                    <w:rPr>
                      <w:rFonts w:hint="eastAsia" w:cs="Times New Roman"/>
                      <w:bCs/>
                      <w:color w:val="auto"/>
                      <w:w w:val="80"/>
                      <w:szCs w:val="21"/>
                      <w:lang w:val="en-US" w:eastAsia="zh-CN"/>
                    </w:rPr>
                    <w:t>2-</w:t>
                  </w:r>
                  <w:r>
                    <w:rPr>
                      <w:rFonts w:hint="eastAsia" w:ascii="Times New Roman" w:hAnsi="Times New Roman" w:eastAsia="宋体" w:cs="Times New Roman"/>
                      <w:bCs/>
                      <w:color w:val="auto"/>
                      <w:w w:val="80"/>
                      <w:szCs w:val="21"/>
                      <w:lang w:val="en-US" w:eastAsia="zh-CN"/>
                    </w:rPr>
                    <w:t>2</w:t>
                  </w:r>
                </w:p>
              </w:tc>
              <w:tc>
                <w:tcPr>
                  <w:tcW w:w="676" w:type="pct"/>
                  <w:shd w:val="clear" w:color="auto" w:fill="auto"/>
                  <w:vAlign w:val="center"/>
                </w:tcPr>
                <w:p w14:paraId="598F8EFF">
                  <w:pPr>
                    <w:adjustRightInd w:val="0"/>
                    <w:snapToGrid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清洗废水</w:t>
                  </w:r>
                </w:p>
              </w:tc>
              <w:tc>
                <w:tcPr>
                  <w:tcW w:w="1185" w:type="pct"/>
                  <w:shd w:val="clear" w:color="auto" w:fill="auto"/>
                  <w:vAlign w:val="center"/>
                </w:tcPr>
                <w:p w14:paraId="6A858605">
                  <w:pPr>
                    <w:adjustRightInd w:val="0"/>
                    <w:snapToGrid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w:t>
                  </w:r>
                </w:p>
              </w:tc>
              <w:tc>
                <w:tcPr>
                  <w:tcW w:w="2314" w:type="pct"/>
                  <w:shd w:val="clear" w:color="auto" w:fill="auto"/>
                  <w:vAlign w:val="center"/>
                </w:tcPr>
                <w:p w14:paraId="4004A9B0">
                  <w:pPr>
                    <w:adjustRightInd w:val="0"/>
                    <w:snapToGrid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定期过滤后循环使用，不外排</w:t>
                  </w:r>
                </w:p>
              </w:tc>
            </w:tr>
            <w:tr w14:paraId="6180B2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28AE9BF9">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182874E">
                  <w:pPr>
                    <w:adjustRightInd w:val="0"/>
                    <w:snapToGrid w:val="0"/>
                    <w:spacing w:line="360" w:lineRule="exact"/>
                    <w:jc w:val="center"/>
                    <w:rPr>
                      <w:rFonts w:hint="eastAsia" w:ascii="Times New Roman" w:hAnsi="Times New Roman" w:eastAsia="宋体" w:cs="Times New Roman"/>
                      <w:bCs/>
                      <w:color w:val="auto"/>
                      <w:w w:val="80"/>
                      <w:szCs w:val="21"/>
                      <w:lang w:val="en-US" w:eastAsia="zh-CN"/>
                    </w:rPr>
                  </w:pPr>
                  <w:r>
                    <w:rPr>
                      <w:rFonts w:hint="eastAsia" w:ascii="Times New Roman" w:hAnsi="Times New Roman" w:eastAsia="宋体" w:cs="Times New Roman"/>
                      <w:bCs/>
                      <w:color w:val="auto"/>
                      <w:w w:val="80"/>
                      <w:szCs w:val="21"/>
                      <w:lang w:val="en-US" w:eastAsia="zh-CN"/>
                    </w:rPr>
                    <w:t>/</w:t>
                  </w:r>
                </w:p>
              </w:tc>
              <w:tc>
                <w:tcPr>
                  <w:tcW w:w="676" w:type="pct"/>
                  <w:vAlign w:val="center"/>
                </w:tcPr>
                <w:p w14:paraId="02420192">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废气治理</w:t>
                  </w:r>
                </w:p>
              </w:tc>
              <w:tc>
                <w:tcPr>
                  <w:tcW w:w="1185" w:type="pct"/>
                  <w:vAlign w:val="center"/>
                </w:tcPr>
                <w:p w14:paraId="19D92C23">
                  <w:pPr>
                    <w:adjustRightInd w:val="0"/>
                    <w:snapToGrid w:val="0"/>
                    <w:spacing w:line="360" w:lineRule="exact"/>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水喷淋废水</w:t>
                  </w:r>
                </w:p>
              </w:tc>
              <w:tc>
                <w:tcPr>
                  <w:tcW w:w="2314" w:type="pct"/>
                  <w:vAlign w:val="center"/>
                </w:tcPr>
                <w:p w14:paraId="031DD8D8">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定期委托有资质单位处置</w:t>
                  </w:r>
                </w:p>
              </w:tc>
            </w:tr>
            <w:tr w14:paraId="39C46E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5F05CE38">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DEA0BE4">
                  <w:pPr>
                    <w:adjustRightInd w:val="0"/>
                    <w:snapToGrid w:val="0"/>
                    <w:spacing w:line="360" w:lineRule="exact"/>
                    <w:jc w:val="center"/>
                    <w:rPr>
                      <w:rFonts w:hint="default" w:ascii="Times New Roman" w:hAnsi="Times New Roman" w:eastAsia="宋体" w:cs="Times New Roman"/>
                      <w:color w:val="auto"/>
                      <w:w w:val="80"/>
                      <w:szCs w:val="21"/>
                    </w:rPr>
                  </w:pPr>
                  <w:r>
                    <w:rPr>
                      <w:rFonts w:hint="default" w:ascii="Times New Roman" w:hAnsi="Times New Roman" w:eastAsia="宋体" w:cs="Times New Roman"/>
                      <w:bCs/>
                      <w:color w:val="auto"/>
                      <w:w w:val="80"/>
                      <w:szCs w:val="21"/>
                    </w:rPr>
                    <w:t>/</w:t>
                  </w:r>
                </w:p>
              </w:tc>
              <w:tc>
                <w:tcPr>
                  <w:tcW w:w="676" w:type="pct"/>
                  <w:vAlign w:val="center"/>
                </w:tcPr>
                <w:p w14:paraId="48D63338">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员工生活</w:t>
                  </w:r>
                </w:p>
              </w:tc>
              <w:tc>
                <w:tcPr>
                  <w:tcW w:w="1185" w:type="pct"/>
                  <w:vAlign w:val="center"/>
                </w:tcPr>
                <w:p w14:paraId="281B5669">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COD、SS、氨氮、总氮、总磷</w:t>
                  </w:r>
                </w:p>
              </w:tc>
              <w:tc>
                <w:tcPr>
                  <w:tcW w:w="2314" w:type="pct"/>
                  <w:vAlign w:val="center"/>
                </w:tcPr>
                <w:p w14:paraId="44418305">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default" w:ascii="Times New Roman" w:hAnsi="Times New Roman" w:eastAsia="宋体" w:cs="Times New Roman"/>
                      <w:color w:val="auto"/>
                      <w:szCs w:val="21"/>
                    </w:rPr>
                    <w:t>化粪池</w:t>
                  </w:r>
                  <w:r>
                    <w:rPr>
                      <w:rFonts w:hint="eastAsia" w:ascii="Times New Roman" w:hAnsi="Times New Roman" w:eastAsia="宋体" w:cs="Times New Roman"/>
                      <w:color w:val="auto"/>
                      <w:szCs w:val="21"/>
                      <w:lang w:eastAsia="zh-CN"/>
                    </w:rPr>
                    <w:t>处理后接管徐溜镇污水处理厂处理</w:t>
                  </w:r>
                </w:p>
              </w:tc>
            </w:tr>
            <w:tr w14:paraId="15B963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restart"/>
                  <w:vAlign w:val="center"/>
                </w:tcPr>
                <w:p w14:paraId="10A2AF97">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固废</w:t>
                  </w:r>
                </w:p>
              </w:tc>
              <w:tc>
                <w:tcPr>
                  <w:tcW w:w="575" w:type="pct"/>
                  <w:shd w:val="clear" w:color="auto" w:fill="auto"/>
                  <w:vAlign w:val="center"/>
                </w:tcPr>
                <w:p w14:paraId="2EE8498D">
                  <w:pPr>
                    <w:adjustRightInd w:val="0"/>
                    <w:snapToGrid w:val="0"/>
                    <w:spacing w:line="360" w:lineRule="exact"/>
                    <w:jc w:val="center"/>
                    <w:rPr>
                      <w:rFonts w:hint="default" w:ascii="Times New Roman" w:hAnsi="Times New Roman" w:eastAsia="宋体" w:cs="Times New Roman"/>
                      <w:color w:val="auto"/>
                      <w:w w:val="80"/>
                      <w:kern w:val="2"/>
                      <w:sz w:val="21"/>
                      <w:szCs w:val="21"/>
                      <w:lang w:val="en-US" w:eastAsia="zh-CN" w:bidi="ar-SA"/>
                    </w:rPr>
                  </w:pP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1-1、</w:t>
                  </w: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2-</w:t>
                  </w:r>
                  <w:r>
                    <w:rPr>
                      <w:rFonts w:hint="eastAsia" w:ascii="Times New Roman" w:hAnsi="Times New Roman" w:eastAsia="宋体" w:cs="Times New Roman"/>
                      <w:color w:val="auto"/>
                      <w:w w:val="80"/>
                      <w:szCs w:val="21"/>
                      <w:lang w:val="en-US" w:eastAsia="zh-CN"/>
                    </w:rPr>
                    <w:t>1</w:t>
                  </w:r>
                </w:p>
              </w:tc>
              <w:tc>
                <w:tcPr>
                  <w:tcW w:w="676" w:type="pct"/>
                  <w:shd w:val="clear" w:color="auto" w:fill="auto"/>
                  <w:vAlign w:val="center"/>
                </w:tcPr>
                <w:p w14:paraId="5A03EECD">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过滤</w:t>
                  </w:r>
                </w:p>
              </w:tc>
              <w:tc>
                <w:tcPr>
                  <w:tcW w:w="1185" w:type="pct"/>
                  <w:shd w:val="clear" w:color="auto" w:fill="auto"/>
                  <w:vAlign w:val="center"/>
                </w:tcPr>
                <w:p w14:paraId="7B2C37D5">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szCs w:val="21"/>
                      <w:lang w:val="en-US" w:eastAsia="zh-CN"/>
                    </w:rPr>
                    <w:t>杂质</w:t>
                  </w:r>
                </w:p>
              </w:tc>
              <w:tc>
                <w:tcPr>
                  <w:tcW w:w="2314" w:type="pct"/>
                  <w:vMerge w:val="restart"/>
                  <w:vAlign w:val="center"/>
                </w:tcPr>
                <w:p w14:paraId="769C7ADE">
                  <w:pPr>
                    <w:adjustRightInd w:val="0"/>
                    <w:snapToGrid w:val="0"/>
                    <w:spacing w:line="360" w:lineRule="exact"/>
                    <w:jc w:val="center"/>
                    <w:rPr>
                      <w:rFonts w:hint="eastAsia" w:cs="Times New Roman"/>
                      <w:color w:val="auto"/>
                      <w:szCs w:val="21"/>
                      <w:lang w:val="en-US" w:eastAsia="zh-CN"/>
                    </w:rPr>
                  </w:pPr>
                  <w:r>
                    <w:rPr>
                      <w:rFonts w:hint="eastAsia" w:cs="Times New Roman"/>
                      <w:color w:val="auto"/>
                      <w:szCs w:val="21"/>
                      <w:lang w:val="en-US" w:eastAsia="zh-CN"/>
                    </w:rPr>
                    <w:t>收集外售</w:t>
                  </w:r>
                </w:p>
              </w:tc>
            </w:tr>
            <w:tr w14:paraId="328687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7A1A89CF">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2C5287E">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1-3</w:t>
                  </w:r>
                </w:p>
              </w:tc>
              <w:tc>
                <w:tcPr>
                  <w:tcW w:w="676" w:type="pct"/>
                  <w:vAlign w:val="center"/>
                </w:tcPr>
                <w:p w14:paraId="2AB5435D">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覆布</w:t>
                  </w:r>
                </w:p>
              </w:tc>
              <w:tc>
                <w:tcPr>
                  <w:tcW w:w="1185" w:type="pct"/>
                  <w:vAlign w:val="center"/>
                </w:tcPr>
                <w:p w14:paraId="0D103485">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废布条</w:t>
                  </w:r>
                </w:p>
              </w:tc>
              <w:tc>
                <w:tcPr>
                  <w:tcW w:w="2314" w:type="pct"/>
                  <w:vMerge w:val="continue"/>
                  <w:vAlign w:val="center"/>
                </w:tcPr>
                <w:p w14:paraId="08AB2AC7">
                  <w:pPr>
                    <w:adjustRightInd w:val="0"/>
                    <w:snapToGrid w:val="0"/>
                    <w:spacing w:line="360" w:lineRule="exact"/>
                    <w:jc w:val="center"/>
                    <w:rPr>
                      <w:rFonts w:hint="default" w:ascii="Times New Roman" w:hAnsi="Times New Roman" w:eastAsia="宋体" w:cs="Times New Roman"/>
                      <w:color w:val="auto"/>
                      <w:szCs w:val="21"/>
                    </w:rPr>
                  </w:pPr>
                </w:p>
              </w:tc>
            </w:tr>
            <w:tr w14:paraId="73D806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B0FFB5F">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5BB75935">
                  <w:pPr>
                    <w:adjustRightInd w:val="0"/>
                    <w:snapToGrid w:val="0"/>
                    <w:spacing w:line="360" w:lineRule="exact"/>
                    <w:jc w:val="center"/>
                    <w:rPr>
                      <w:rFonts w:hint="default" w:ascii="Times New Roman" w:hAnsi="Times New Roman" w:eastAsia="宋体" w:cs="Times New Roman"/>
                      <w:color w:val="auto"/>
                      <w:w w:val="80"/>
                      <w:szCs w:val="21"/>
                      <w:lang w:val="en-US"/>
                    </w:rPr>
                  </w:pP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1-2</w:t>
                  </w:r>
                </w:p>
              </w:tc>
              <w:tc>
                <w:tcPr>
                  <w:tcW w:w="676" w:type="pct"/>
                  <w:vAlign w:val="center"/>
                </w:tcPr>
                <w:p w14:paraId="585D559A">
                  <w:pPr>
                    <w:adjustRightInd w:val="0"/>
                    <w:snapToGrid w:val="0"/>
                    <w:spacing w:line="360" w:lineRule="exact"/>
                    <w:jc w:val="center"/>
                    <w:rPr>
                      <w:rFonts w:hint="default" w:ascii="Times New Roman" w:hAnsi="Times New Roman" w:eastAsia="宋体" w:cs="Times New Roman"/>
                      <w:color w:val="auto"/>
                      <w:szCs w:val="21"/>
                      <w:lang w:eastAsia="zh-CN"/>
                    </w:rPr>
                  </w:pPr>
                  <w:r>
                    <w:rPr>
                      <w:rFonts w:hint="eastAsia" w:cs="Times New Roman"/>
                      <w:color w:val="auto"/>
                      <w:szCs w:val="21"/>
                      <w:lang w:eastAsia="zh-CN"/>
                    </w:rPr>
                    <w:t>涂胶</w:t>
                  </w:r>
                </w:p>
              </w:tc>
              <w:tc>
                <w:tcPr>
                  <w:tcW w:w="1185" w:type="pct"/>
                  <w:vAlign w:val="center"/>
                </w:tcPr>
                <w:p w14:paraId="691F52F9">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废胶水</w:t>
                  </w:r>
                </w:p>
              </w:tc>
              <w:tc>
                <w:tcPr>
                  <w:tcW w:w="2314" w:type="pct"/>
                  <w:vMerge w:val="restart"/>
                  <w:vAlign w:val="center"/>
                </w:tcPr>
                <w:p w14:paraId="4B21DF27">
                  <w:pPr>
                    <w:adjustRightInd w:val="0"/>
                    <w:snapToGrid w:val="0"/>
                    <w:spacing w:line="360" w:lineRule="exact"/>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委托有资质单位处置</w:t>
                  </w:r>
                </w:p>
              </w:tc>
            </w:tr>
            <w:tr w14:paraId="713DAD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7CEC7A14">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43BF862E">
                  <w:pPr>
                    <w:adjustRightInd w:val="0"/>
                    <w:snapToGrid w:val="0"/>
                    <w:spacing w:line="360" w:lineRule="exact"/>
                    <w:jc w:val="center"/>
                    <w:rPr>
                      <w:rFonts w:hint="default" w:ascii="Times New Roman" w:hAnsi="Times New Roman" w:eastAsia="宋体" w:cs="Times New Roman"/>
                      <w:color w:val="auto"/>
                      <w:w w:val="80"/>
                      <w:kern w:val="2"/>
                      <w:sz w:val="21"/>
                      <w:szCs w:val="21"/>
                      <w:lang w:val="en-US" w:eastAsia="zh-CN" w:bidi="ar-SA"/>
                    </w:rPr>
                  </w:pP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2-2</w:t>
                  </w:r>
                </w:p>
              </w:tc>
              <w:tc>
                <w:tcPr>
                  <w:tcW w:w="676" w:type="pct"/>
                  <w:shd w:val="clear" w:color="auto" w:fill="auto"/>
                  <w:vAlign w:val="center"/>
                </w:tcPr>
                <w:p w14:paraId="7A2AAF3C">
                  <w:pPr>
                    <w:adjustRightInd w:val="0"/>
                    <w:snapToGrid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Cs w:val="21"/>
                      <w:lang w:eastAsia="zh-CN"/>
                    </w:rPr>
                    <w:t>轴芯</w:t>
                  </w:r>
                  <w:r>
                    <w:rPr>
                      <w:rFonts w:hint="eastAsia" w:cs="Times New Roman"/>
                      <w:color w:val="auto"/>
                      <w:szCs w:val="21"/>
                      <w:lang w:eastAsia="zh-CN"/>
                    </w:rPr>
                    <w:t>清洗</w:t>
                  </w:r>
                </w:p>
              </w:tc>
              <w:tc>
                <w:tcPr>
                  <w:tcW w:w="1185" w:type="pct"/>
                  <w:shd w:val="clear" w:color="auto" w:fill="auto"/>
                  <w:vAlign w:val="center"/>
                </w:tcPr>
                <w:p w14:paraId="6C357176">
                  <w:pPr>
                    <w:adjustRightInd w:val="0"/>
                    <w:snapToGrid w:val="0"/>
                    <w:spacing w:line="360" w:lineRule="exac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szCs w:val="21"/>
                      <w:lang w:eastAsia="zh-CN"/>
                    </w:rPr>
                    <w:t>废清洗液</w:t>
                  </w:r>
                </w:p>
              </w:tc>
              <w:tc>
                <w:tcPr>
                  <w:tcW w:w="2314" w:type="pct"/>
                  <w:vMerge w:val="continue"/>
                  <w:vAlign w:val="center"/>
                </w:tcPr>
                <w:p w14:paraId="092ECE7C">
                  <w:pPr>
                    <w:adjustRightInd w:val="0"/>
                    <w:snapToGrid w:val="0"/>
                    <w:spacing w:line="360" w:lineRule="exact"/>
                    <w:jc w:val="center"/>
                    <w:rPr>
                      <w:rFonts w:hint="eastAsia" w:ascii="Times New Roman" w:hAnsi="Times New Roman" w:eastAsia="宋体" w:cs="Times New Roman"/>
                      <w:color w:val="auto"/>
                      <w:szCs w:val="21"/>
                      <w:lang w:eastAsia="zh-CN"/>
                    </w:rPr>
                  </w:pPr>
                </w:p>
              </w:tc>
            </w:tr>
            <w:tr w14:paraId="1A8728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25BE528D">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34536D63">
                  <w:pPr>
                    <w:adjustRightInd w:val="0"/>
                    <w:snapToGrid w:val="0"/>
                    <w:spacing w:line="360" w:lineRule="exact"/>
                    <w:jc w:val="center"/>
                    <w:rPr>
                      <w:rFonts w:hint="default" w:ascii="Times New Roman" w:hAnsi="Times New Roman" w:eastAsia="宋体" w:cs="Times New Roman"/>
                      <w:color w:val="auto"/>
                      <w:w w:val="80"/>
                      <w:kern w:val="2"/>
                      <w:sz w:val="21"/>
                      <w:szCs w:val="21"/>
                      <w:lang w:val="en-US" w:eastAsia="zh-CN" w:bidi="ar-SA"/>
                    </w:rPr>
                  </w:pPr>
                  <w:r>
                    <w:rPr>
                      <w:rFonts w:hint="default" w:ascii="Times New Roman" w:hAnsi="Times New Roman" w:eastAsia="宋体" w:cs="Times New Roman"/>
                      <w:color w:val="auto"/>
                      <w:w w:val="80"/>
                      <w:szCs w:val="21"/>
                    </w:rPr>
                    <w:t>S</w:t>
                  </w:r>
                  <w:r>
                    <w:rPr>
                      <w:rFonts w:hint="eastAsia" w:ascii="Times New Roman" w:hAnsi="Times New Roman" w:eastAsia="宋体" w:cs="Times New Roman"/>
                      <w:color w:val="auto"/>
                      <w:w w:val="80"/>
                      <w:szCs w:val="21"/>
                      <w:lang w:val="en-US" w:eastAsia="zh-CN"/>
                    </w:rPr>
                    <w:t>2</w:t>
                  </w:r>
                  <w:r>
                    <w:rPr>
                      <w:rFonts w:hint="eastAsia" w:cs="Times New Roman"/>
                      <w:color w:val="auto"/>
                      <w:w w:val="80"/>
                      <w:szCs w:val="21"/>
                      <w:lang w:val="en-US" w:eastAsia="zh-CN"/>
                    </w:rPr>
                    <w:t>-3</w:t>
                  </w:r>
                </w:p>
              </w:tc>
              <w:tc>
                <w:tcPr>
                  <w:tcW w:w="676" w:type="pct"/>
                  <w:vAlign w:val="center"/>
                </w:tcPr>
                <w:p w14:paraId="2465223D">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eastAsia="zh-CN"/>
                    </w:rPr>
                    <w:t>轴芯涂胶</w:t>
                  </w:r>
                </w:p>
              </w:tc>
              <w:tc>
                <w:tcPr>
                  <w:tcW w:w="1185" w:type="pct"/>
                  <w:vAlign w:val="center"/>
                </w:tcPr>
                <w:p w14:paraId="0D7C3B6F">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cs="Times New Roman"/>
                      <w:color w:val="auto"/>
                      <w:szCs w:val="21"/>
                      <w:lang w:eastAsia="zh-CN"/>
                    </w:rPr>
                    <w:t>废涂液</w:t>
                  </w:r>
                </w:p>
              </w:tc>
              <w:tc>
                <w:tcPr>
                  <w:tcW w:w="2314" w:type="pct"/>
                  <w:vMerge w:val="continue"/>
                  <w:vAlign w:val="center"/>
                </w:tcPr>
                <w:p w14:paraId="165C91C0">
                  <w:pPr>
                    <w:adjustRightInd w:val="0"/>
                    <w:snapToGrid w:val="0"/>
                    <w:spacing w:line="360" w:lineRule="exact"/>
                    <w:jc w:val="center"/>
                    <w:rPr>
                      <w:rFonts w:hint="default" w:ascii="Times New Roman" w:hAnsi="Times New Roman" w:eastAsia="宋体" w:cs="Times New Roman"/>
                      <w:color w:val="auto"/>
                      <w:szCs w:val="21"/>
                    </w:rPr>
                  </w:pPr>
                </w:p>
              </w:tc>
            </w:tr>
            <w:tr w14:paraId="5E9EC4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7C489D7C">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5468B4DA">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S</w:t>
                  </w:r>
                  <w:r>
                    <w:rPr>
                      <w:rFonts w:hint="eastAsia" w:ascii="Times New Roman" w:hAnsi="Times New Roman" w:eastAsia="宋体" w:cs="Times New Roman"/>
                      <w:color w:val="auto"/>
                      <w:w w:val="80"/>
                      <w:szCs w:val="21"/>
                      <w:lang w:val="en-US" w:eastAsia="zh-CN"/>
                    </w:rPr>
                    <w:t>2-4</w:t>
                  </w:r>
                </w:p>
              </w:tc>
              <w:tc>
                <w:tcPr>
                  <w:tcW w:w="676" w:type="pct"/>
                  <w:vAlign w:val="center"/>
                </w:tcPr>
                <w:p w14:paraId="32BA04D3">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切边</w:t>
                  </w:r>
                </w:p>
              </w:tc>
              <w:tc>
                <w:tcPr>
                  <w:tcW w:w="1185" w:type="pct"/>
                  <w:vAlign w:val="center"/>
                </w:tcPr>
                <w:p w14:paraId="69131862">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废边角料</w:t>
                  </w:r>
                </w:p>
              </w:tc>
              <w:tc>
                <w:tcPr>
                  <w:tcW w:w="2314" w:type="pct"/>
                  <w:vMerge w:val="restart"/>
                  <w:vAlign w:val="center"/>
                </w:tcPr>
                <w:p w14:paraId="64288253">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val="en-US" w:eastAsia="zh-CN"/>
                    </w:rPr>
                    <w:t>收集外售</w:t>
                  </w:r>
                </w:p>
              </w:tc>
            </w:tr>
            <w:tr w14:paraId="53776B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4B9F2F21">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1B37786C">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S</w:t>
                  </w:r>
                  <w:r>
                    <w:rPr>
                      <w:rFonts w:hint="eastAsia" w:ascii="Times New Roman" w:hAnsi="Times New Roman" w:eastAsia="宋体" w:cs="Times New Roman"/>
                      <w:color w:val="auto"/>
                      <w:w w:val="80"/>
                      <w:szCs w:val="21"/>
                      <w:lang w:val="en-US" w:eastAsia="zh-CN"/>
                    </w:rPr>
                    <w:t>2-5</w:t>
                  </w:r>
                </w:p>
              </w:tc>
              <w:tc>
                <w:tcPr>
                  <w:tcW w:w="676" w:type="pct"/>
                  <w:vAlign w:val="center"/>
                </w:tcPr>
                <w:p w14:paraId="74DCEC07">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粗磨和精磨</w:t>
                  </w:r>
                </w:p>
              </w:tc>
              <w:tc>
                <w:tcPr>
                  <w:tcW w:w="1185" w:type="pct"/>
                  <w:vAlign w:val="center"/>
                </w:tcPr>
                <w:p w14:paraId="2609F282">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eastAsia="zh-CN"/>
                    </w:rPr>
                    <w:t>废边角料</w:t>
                  </w:r>
                </w:p>
              </w:tc>
              <w:tc>
                <w:tcPr>
                  <w:tcW w:w="2314" w:type="pct"/>
                  <w:vMerge w:val="continue"/>
                  <w:vAlign w:val="center"/>
                </w:tcPr>
                <w:p w14:paraId="4EC1022A">
                  <w:pPr>
                    <w:adjustRightInd w:val="0"/>
                    <w:snapToGrid w:val="0"/>
                    <w:spacing w:line="360" w:lineRule="exact"/>
                    <w:jc w:val="center"/>
                    <w:rPr>
                      <w:rFonts w:hint="default" w:ascii="Times New Roman" w:hAnsi="Times New Roman" w:eastAsia="宋体" w:cs="Times New Roman"/>
                      <w:color w:val="auto"/>
                      <w:szCs w:val="21"/>
                      <w:lang w:val="en-US" w:eastAsia="zh-CN"/>
                    </w:rPr>
                  </w:pPr>
                </w:p>
              </w:tc>
            </w:tr>
            <w:tr w14:paraId="4519D0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A49C862">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3687F67F">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S</w:t>
                  </w:r>
                  <w:r>
                    <w:rPr>
                      <w:rFonts w:hint="eastAsia" w:ascii="Times New Roman" w:hAnsi="Times New Roman" w:eastAsia="宋体" w:cs="Times New Roman"/>
                      <w:color w:val="auto"/>
                      <w:w w:val="80"/>
                      <w:szCs w:val="21"/>
                      <w:lang w:val="en-US" w:eastAsia="zh-CN"/>
                    </w:rPr>
                    <w:t>2-6</w:t>
                  </w:r>
                </w:p>
              </w:tc>
              <w:tc>
                <w:tcPr>
                  <w:tcW w:w="676" w:type="pct"/>
                  <w:vAlign w:val="center"/>
                </w:tcPr>
                <w:p w14:paraId="6B38DC7F">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喷涂</w:t>
                  </w:r>
                </w:p>
              </w:tc>
              <w:tc>
                <w:tcPr>
                  <w:tcW w:w="1185" w:type="pct"/>
                  <w:vAlign w:val="center"/>
                </w:tcPr>
                <w:p w14:paraId="06DF1349">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eastAsia="zh-CN"/>
                    </w:rPr>
                    <w:t>废</w:t>
                  </w:r>
                  <w:r>
                    <w:rPr>
                      <w:rFonts w:hint="eastAsia" w:cs="Times New Roman"/>
                      <w:color w:val="auto"/>
                      <w:szCs w:val="21"/>
                      <w:lang w:val="en-US" w:eastAsia="zh-CN"/>
                    </w:rPr>
                    <w:t>渣</w:t>
                  </w:r>
                </w:p>
              </w:tc>
              <w:tc>
                <w:tcPr>
                  <w:tcW w:w="2314" w:type="pct"/>
                  <w:vAlign w:val="center"/>
                </w:tcPr>
                <w:p w14:paraId="784E9891">
                  <w:pPr>
                    <w:adjustRightInd w:val="0"/>
                    <w:snapToGrid w:val="0"/>
                    <w:spacing w:line="360" w:lineRule="exact"/>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委托有资质单位处置</w:t>
                  </w:r>
                </w:p>
              </w:tc>
            </w:tr>
            <w:tr w14:paraId="4992E1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436BDEC">
                  <w:pPr>
                    <w:adjustRightInd w:val="0"/>
                    <w:snapToGrid w:val="0"/>
                    <w:spacing w:line="360" w:lineRule="exact"/>
                    <w:jc w:val="center"/>
                    <w:rPr>
                      <w:rFonts w:hint="default" w:ascii="Times New Roman" w:hAnsi="Times New Roman" w:eastAsia="宋体" w:cs="Times New Roman"/>
                      <w:color w:val="auto"/>
                      <w:szCs w:val="21"/>
                    </w:rPr>
                  </w:pPr>
                </w:p>
              </w:tc>
              <w:tc>
                <w:tcPr>
                  <w:tcW w:w="575" w:type="pct"/>
                  <w:shd w:val="clear" w:color="auto" w:fill="auto"/>
                  <w:vAlign w:val="center"/>
                </w:tcPr>
                <w:p w14:paraId="26BEAAE4">
                  <w:pPr>
                    <w:adjustRightInd w:val="0"/>
                    <w:snapToGrid w:val="0"/>
                    <w:spacing w:line="360" w:lineRule="exact"/>
                    <w:jc w:val="center"/>
                    <w:rPr>
                      <w:rFonts w:hint="default" w:ascii="Times New Roman" w:hAnsi="Times New Roman" w:eastAsia="宋体" w:cs="Times New Roman"/>
                      <w:color w:val="auto"/>
                      <w:w w:val="80"/>
                      <w:szCs w:val="21"/>
                      <w:lang w:val="en-US" w:eastAsia="zh-CN"/>
                    </w:rPr>
                  </w:pPr>
                  <w:r>
                    <w:rPr>
                      <w:rFonts w:hint="default" w:ascii="Times New Roman" w:hAnsi="Times New Roman" w:eastAsia="宋体" w:cs="Times New Roman"/>
                      <w:color w:val="auto"/>
                      <w:w w:val="80"/>
                      <w:szCs w:val="21"/>
                    </w:rPr>
                    <w:t>S</w:t>
                  </w:r>
                  <w:r>
                    <w:rPr>
                      <w:rFonts w:hint="eastAsia" w:cs="Times New Roman"/>
                      <w:color w:val="auto"/>
                      <w:w w:val="80"/>
                      <w:szCs w:val="21"/>
                      <w:lang w:val="en-US" w:eastAsia="zh-CN"/>
                    </w:rPr>
                    <w:t>1-4、</w:t>
                  </w:r>
                  <w:r>
                    <w:rPr>
                      <w:rFonts w:hint="default" w:ascii="Times New Roman" w:hAnsi="Times New Roman" w:eastAsia="宋体" w:cs="Times New Roman"/>
                      <w:color w:val="auto"/>
                      <w:w w:val="80"/>
                      <w:szCs w:val="21"/>
                    </w:rPr>
                    <w:t>S</w:t>
                  </w:r>
                  <w:r>
                    <w:rPr>
                      <w:rFonts w:hint="eastAsia" w:ascii="Times New Roman" w:hAnsi="Times New Roman" w:eastAsia="宋体" w:cs="Times New Roman"/>
                      <w:color w:val="auto"/>
                      <w:w w:val="80"/>
                      <w:szCs w:val="21"/>
                      <w:lang w:val="en-US" w:eastAsia="zh-CN"/>
                    </w:rPr>
                    <w:t>2-7</w:t>
                  </w:r>
                </w:p>
              </w:tc>
              <w:tc>
                <w:tcPr>
                  <w:tcW w:w="676" w:type="pct"/>
                  <w:vAlign w:val="center"/>
                </w:tcPr>
                <w:p w14:paraId="74EEDF91">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检验</w:t>
                  </w:r>
                </w:p>
              </w:tc>
              <w:tc>
                <w:tcPr>
                  <w:tcW w:w="1185" w:type="pct"/>
                  <w:vAlign w:val="center"/>
                </w:tcPr>
                <w:p w14:paraId="0444158B">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不合格品</w:t>
                  </w:r>
                </w:p>
              </w:tc>
              <w:tc>
                <w:tcPr>
                  <w:tcW w:w="2314" w:type="pct"/>
                  <w:vAlign w:val="center"/>
                </w:tcPr>
                <w:p w14:paraId="35FC95BA">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收集外售</w:t>
                  </w:r>
                </w:p>
              </w:tc>
            </w:tr>
            <w:tr w14:paraId="7EB197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443D3843">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8C7FAE6">
                  <w:pPr>
                    <w:adjustRightInd w:val="0"/>
                    <w:snapToGrid w:val="0"/>
                    <w:spacing w:line="360" w:lineRule="exact"/>
                    <w:jc w:val="center"/>
                    <w:rPr>
                      <w:rFonts w:hint="default"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w:t>
                  </w:r>
                </w:p>
              </w:tc>
              <w:tc>
                <w:tcPr>
                  <w:tcW w:w="676" w:type="pct"/>
                  <w:vAlign w:val="center"/>
                </w:tcPr>
                <w:p w14:paraId="12686C3D">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清洗废水过滤</w:t>
                  </w:r>
                </w:p>
              </w:tc>
              <w:tc>
                <w:tcPr>
                  <w:tcW w:w="1185" w:type="pct"/>
                  <w:vAlign w:val="center"/>
                </w:tcPr>
                <w:p w14:paraId="21C70D59">
                  <w:pPr>
                    <w:adjustRightInd w:val="0"/>
                    <w:snapToGrid w:val="0"/>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沉渣</w:t>
                  </w:r>
                </w:p>
              </w:tc>
              <w:tc>
                <w:tcPr>
                  <w:tcW w:w="2314" w:type="pct"/>
                  <w:vAlign w:val="center"/>
                </w:tcPr>
                <w:p w14:paraId="0B56AA09">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val="en-US" w:eastAsia="zh-CN"/>
                    </w:rPr>
                    <w:t>收集外售</w:t>
                  </w:r>
                </w:p>
              </w:tc>
            </w:tr>
            <w:tr w14:paraId="324286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0B7A84B2">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766867F">
                  <w:pPr>
                    <w:adjustRightInd w:val="0"/>
                    <w:snapToGrid w:val="0"/>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w:t>
                  </w:r>
                </w:p>
              </w:tc>
              <w:tc>
                <w:tcPr>
                  <w:tcW w:w="676" w:type="pct"/>
                  <w:vMerge w:val="restart"/>
                  <w:vAlign w:val="center"/>
                </w:tcPr>
                <w:p w14:paraId="359B19AA">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废气治理</w:t>
                  </w:r>
                </w:p>
              </w:tc>
              <w:tc>
                <w:tcPr>
                  <w:tcW w:w="1185" w:type="pct"/>
                  <w:vAlign w:val="center"/>
                </w:tcPr>
                <w:p w14:paraId="4DA123A7">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除尘器收尘</w:t>
                  </w:r>
                </w:p>
              </w:tc>
              <w:tc>
                <w:tcPr>
                  <w:tcW w:w="2314" w:type="pct"/>
                  <w:vAlign w:val="center"/>
                </w:tcPr>
                <w:p w14:paraId="26A3B60D">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val="en-US" w:eastAsia="zh-CN"/>
                    </w:rPr>
                    <w:t>收集外售</w:t>
                  </w:r>
                </w:p>
              </w:tc>
            </w:tr>
            <w:tr w14:paraId="6AEAB6E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6B62CDE">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EAE545F">
                  <w:pPr>
                    <w:adjustRightInd w:val="0"/>
                    <w:snapToGrid w:val="0"/>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w:t>
                  </w:r>
                </w:p>
              </w:tc>
              <w:tc>
                <w:tcPr>
                  <w:tcW w:w="676" w:type="pct"/>
                  <w:vMerge w:val="continue"/>
                  <w:vAlign w:val="center"/>
                </w:tcPr>
                <w:p w14:paraId="03A12120">
                  <w:pPr>
                    <w:adjustRightInd w:val="0"/>
                    <w:snapToGrid w:val="0"/>
                    <w:spacing w:line="360" w:lineRule="exact"/>
                    <w:jc w:val="center"/>
                    <w:rPr>
                      <w:rFonts w:hint="default" w:ascii="Times New Roman" w:hAnsi="Times New Roman" w:eastAsia="宋体" w:cs="Times New Roman"/>
                      <w:color w:val="auto"/>
                      <w:szCs w:val="21"/>
                    </w:rPr>
                  </w:pPr>
                </w:p>
              </w:tc>
              <w:tc>
                <w:tcPr>
                  <w:tcW w:w="1185" w:type="pct"/>
                  <w:vAlign w:val="center"/>
                </w:tcPr>
                <w:p w14:paraId="0FB260E8">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废活性炭</w:t>
                  </w:r>
                </w:p>
              </w:tc>
              <w:tc>
                <w:tcPr>
                  <w:tcW w:w="2314" w:type="pct"/>
                  <w:vAlign w:val="center"/>
                </w:tcPr>
                <w:p w14:paraId="15FE9790">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委托有资质单位安全处置</w:t>
                  </w:r>
                </w:p>
              </w:tc>
            </w:tr>
            <w:tr w14:paraId="0A655D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9646466">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285FB6D">
                  <w:pPr>
                    <w:adjustRightInd w:val="0"/>
                    <w:snapToGrid w:val="0"/>
                    <w:spacing w:line="360" w:lineRule="exact"/>
                    <w:jc w:val="center"/>
                    <w:rPr>
                      <w:rFonts w:hint="eastAsia" w:ascii="Times New Roman" w:hAnsi="Times New Roman" w:eastAsia="宋体" w:cs="Times New Roman"/>
                      <w:bCs/>
                      <w:color w:val="auto"/>
                      <w:szCs w:val="21"/>
                      <w:lang w:val="en-US" w:eastAsia="zh-CN"/>
                    </w:rPr>
                  </w:pPr>
                  <w:r>
                    <w:rPr>
                      <w:rFonts w:hint="eastAsia" w:cs="Times New Roman"/>
                      <w:bCs/>
                      <w:color w:val="auto"/>
                      <w:szCs w:val="21"/>
                      <w:lang w:val="en-US" w:eastAsia="zh-CN"/>
                    </w:rPr>
                    <w:t>/</w:t>
                  </w:r>
                </w:p>
              </w:tc>
              <w:tc>
                <w:tcPr>
                  <w:tcW w:w="676" w:type="pct"/>
                  <w:vMerge w:val="continue"/>
                  <w:vAlign w:val="center"/>
                </w:tcPr>
                <w:p w14:paraId="4B96BE4B">
                  <w:pPr>
                    <w:adjustRightInd w:val="0"/>
                    <w:snapToGrid w:val="0"/>
                    <w:spacing w:line="360" w:lineRule="exact"/>
                    <w:jc w:val="center"/>
                    <w:rPr>
                      <w:rFonts w:hint="default" w:ascii="Times New Roman" w:hAnsi="Times New Roman" w:eastAsia="宋体" w:cs="Times New Roman"/>
                      <w:color w:val="auto"/>
                      <w:szCs w:val="21"/>
                    </w:rPr>
                  </w:pPr>
                </w:p>
              </w:tc>
              <w:tc>
                <w:tcPr>
                  <w:tcW w:w="1185" w:type="pct"/>
                  <w:vAlign w:val="center"/>
                </w:tcPr>
                <w:p w14:paraId="5F9EDA3A">
                  <w:pPr>
                    <w:adjustRightInd w:val="0"/>
                    <w:snapToGrid w:val="0"/>
                    <w:spacing w:line="360" w:lineRule="exact"/>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废布袋</w:t>
                  </w:r>
                </w:p>
              </w:tc>
              <w:tc>
                <w:tcPr>
                  <w:tcW w:w="2314" w:type="pct"/>
                  <w:vAlign w:val="center"/>
                </w:tcPr>
                <w:p w14:paraId="08B1A7CE">
                  <w:pPr>
                    <w:adjustRightInd w:val="0"/>
                    <w:snapToGri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val="en-US" w:eastAsia="zh-CN"/>
                    </w:rPr>
                    <w:t>收集外售</w:t>
                  </w:r>
                </w:p>
              </w:tc>
            </w:tr>
            <w:tr w14:paraId="194D3C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427F5494">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52EFAC92">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w:t>
                  </w:r>
                </w:p>
              </w:tc>
              <w:tc>
                <w:tcPr>
                  <w:tcW w:w="676" w:type="pct"/>
                  <w:vAlign w:val="center"/>
                </w:tcPr>
                <w:p w14:paraId="19BD3AE5">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原料包装</w:t>
                  </w:r>
                </w:p>
              </w:tc>
              <w:tc>
                <w:tcPr>
                  <w:tcW w:w="1185" w:type="pct"/>
                  <w:vAlign w:val="center"/>
                </w:tcPr>
                <w:p w14:paraId="51DD364E">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废包装物</w:t>
                  </w:r>
                </w:p>
              </w:tc>
              <w:tc>
                <w:tcPr>
                  <w:tcW w:w="2314" w:type="pct"/>
                  <w:vAlign w:val="center"/>
                </w:tcPr>
                <w:p w14:paraId="34710FAD">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外售综合利用</w:t>
                  </w:r>
                </w:p>
              </w:tc>
            </w:tr>
            <w:tr w14:paraId="786EF2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35CF7F7">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1467DDBB">
                  <w:pPr>
                    <w:adjustRightInd w:val="0"/>
                    <w:snapToGrid w:val="0"/>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w:t>
                  </w:r>
                </w:p>
              </w:tc>
              <w:tc>
                <w:tcPr>
                  <w:tcW w:w="676" w:type="pct"/>
                  <w:vMerge w:val="restart"/>
                  <w:vAlign w:val="center"/>
                </w:tcPr>
                <w:p w14:paraId="0AD17468">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设备维修</w:t>
                  </w:r>
                </w:p>
              </w:tc>
              <w:tc>
                <w:tcPr>
                  <w:tcW w:w="1185" w:type="pct"/>
                  <w:vAlign w:val="center"/>
                </w:tcPr>
                <w:p w14:paraId="5B8E31D5">
                  <w:pPr>
                    <w:adjustRightInd w:val="0"/>
                    <w:snapToGrid w:val="0"/>
                    <w:spacing w:line="360" w:lineRule="exact"/>
                    <w:jc w:val="center"/>
                    <w:rPr>
                      <w:rFonts w:hint="eastAsia" w:ascii="Times New Roman" w:hAnsi="Times New Roman" w:eastAsia="宋体" w:cs="Times New Roman"/>
                      <w:bCs/>
                      <w:color w:val="auto"/>
                      <w:szCs w:val="21"/>
                      <w:lang w:eastAsia="zh-CN"/>
                    </w:rPr>
                  </w:pPr>
                  <w:r>
                    <w:rPr>
                      <w:rFonts w:hint="default" w:ascii="Times New Roman" w:hAnsi="Times New Roman" w:eastAsia="宋体" w:cs="Times New Roman"/>
                      <w:color w:val="auto"/>
                      <w:szCs w:val="21"/>
                    </w:rPr>
                    <w:t>废</w:t>
                  </w:r>
                  <w:r>
                    <w:rPr>
                      <w:rFonts w:hint="eastAsia" w:ascii="Times New Roman" w:hAnsi="Times New Roman" w:eastAsia="宋体" w:cs="Times New Roman"/>
                      <w:color w:val="auto"/>
                      <w:szCs w:val="21"/>
                      <w:lang w:eastAsia="zh-CN"/>
                    </w:rPr>
                    <w:t>机油</w:t>
                  </w:r>
                </w:p>
              </w:tc>
              <w:tc>
                <w:tcPr>
                  <w:tcW w:w="2314" w:type="pct"/>
                  <w:vMerge w:val="restart"/>
                  <w:vAlign w:val="center"/>
                </w:tcPr>
                <w:p w14:paraId="781543C3">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委托有资质单位安全处置</w:t>
                  </w:r>
                </w:p>
              </w:tc>
            </w:tr>
            <w:tr w14:paraId="28A58C8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66BB46BF">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0A427EB4">
                  <w:pPr>
                    <w:adjustRightInd w:val="0"/>
                    <w:snapToGrid w:val="0"/>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w:t>
                  </w:r>
                </w:p>
              </w:tc>
              <w:tc>
                <w:tcPr>
                  <w:tcW w:w="676" w:type="pct"/>
                  <w:vMerge w:val="continue"/>
                  <w:vAlign w:val="center"/>
                </w:tcPr>
                <w:p w14:paraId="687E3A2F">
                  <w:pPr>
                    <w:adjustRightInd w:val="0"/>
                    <w:snapToGrid w:val="0"/>
                    <w:spacing w:line="360" w:lineRule="exact"/>
                    <w:jc w:val="center"/>
                    <w:rPr>
                      <w:rFonts w:hint="default" w:ascii="Times New Roman" w:hAnsi="Times New Roman" w:eastAsia="宋体" w:cs="Times New Roman"/>
                      <w:color w:val="auto"/>
                      <w:szCs w:val="21"/>
                    </w:rPr>
                  </w:pPr>
                </w:p>
              </w:tc>
              <w:tc>
                <w:tcPr>
                  <w:tcW w:w="1185" w:type="pct"/>
                  <w:vAlign w:val="center"/>
                </w:tcPr>
                <w:p w14:paraId="51004223">
                  <w:pPr>
                    <w:adjustRightInd w:val="0"/>
                    <w:snapToGrid w:val="0"/>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废油桶</w:t>
                  </w:r>
                </w:p>
              </w:tc>
              <w:tc>
                <w:tcPr>
                  <w:tcW w:w="2314" w:type="pct"/>
                  <w:vMerge w:val="continue"/>
                  <w:vAlign w:val="center"/>
                </w:tcPr>
                <w:p w14:paraId="700842AE">
                  <w:pPr>
                    <w:adjustRightInd w:val="0"/>
                    <w:snapToGrid w:val="0"/>
                    <w:spacing w:line="360" w:lineRule="exact"/>
                    <w:jc w:val="center"/>
                    <w:rPr>
                      <w:rFonts w:hint="default" w:ascii="Times New Roman" w:hAnsi="Times New Roman" w:eastAsia="宋体" w:cs="Times New Roman"/>
                      <w:color w:val="auto"/>
                      <w:szCs w:val="21"/>
                    </w:rPr>
                  </w:pPr>
                </w:p>
              </w:tc>
            </w:tr>
            <w:tr w14:paraId="524EC2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3D65CB7B">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4DCD4CF1">
                  <w:pPr>
                    <w:adjustRightInd w:val="0"/>
                    <w:snapToGrid w:val="0"/>
                    <w:spacing w:line="360" w:lineRule="exact"/>
                    <w:jc w:val="center"/>
                    <w:rPr>
                      <w:rFonts w:hint="eastAsia" w:ascii="Times New Roman" w:hAnsi="Times New Roman" w:eastAsia="宋体" w:cs="Times New Roman"/>
                      <w:bCs/>
                      <w:color w:val="auto"/>
                      <w:szCs w:val="21"/>
                      <w:lang w:val="en-US" w:eastAsia="zh-CN"/>
                    </w:rPr>
                  </w:pPr>
                  <w:r>
                    <w:rPr>
                      <w:rFonts w:hint="eastAsia" w:cs="Times New Roman"/>
                      <w:bCs/>
                      <w:color w:val="auto"/>
                      <w:szCs w:val="21"/>
                      <w:lang w:val="en-US" w:eastAsia="zh-CN"/>
                    </w:rPr>
                    <w:t>/</w:t>
                  </w:r>
                </w:p>
              </w:tc>
              <w:tc>
                <w:tcPr>
                  <w:tcW w:w="676" w:type="pct"/>
                  <w:vAlign w:val="center"/>
                </w:tcPr>
                <w:p w14:paraId="17EF07F3">
                  <w:pPr>
                    <w:adjustRightInd w:val="0"/>
                    <w:snapToGrid w:val="0"/>
                    <w:spacing w:line="360" w:lineRule="exac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硫化罐加热</w:t>
                  </w:r>
                </w:p>
              </w:tc>
              <w:tc>
                <w:tcPr>
                  <w:tcW w:w="1185" w:type="pct"/>
                  <w:vAlign w:val="center"/>
                </w:tcPr>
                <w:p w14:paraId="112F3489">
                  <w:pPr>
                    <w:adjustRightInd w:val="0"/>
                    <w:snapToGrid w:val="0"/>
                    <w:spacing w:line="360" w:lineRule="exact"/>
                    <w:jc w:val="center"/>
                    <w:rPr>
                      <w:rFonts w:hint="default" w:ascii="Times New Roman" w:hAnsi="Times New Roman" w:eastAsia="宋体" w:cs="Times New Roman"/>
                      <w:bCs/>
                      <w:color w:val="auto"/>
                      <w:szCs w:val="21"/>
                      <w:lang w:val="en-US" w:eastAsia="zh-CN"/>
                    </w:rPr>
                  </w:pPr>
                  <w:r>
                    <w:rPr>
                      <w:rFonts w:hint="eastAsia" w:cs="Times New Roman"/>
                      <w:bCs/>
                      <w:color w:val="auto"/>
                      <w:szCs w:val="21"/>
                      <w:lang w:val="en-US" w:eastAsia="zh-CN"/>
                    </w:rPr>
                    <w:t>废导热油</w:t>
                  </w:r>
                </w:p>
              </w:tc>
              <w:tc>
                <w:tcPr>
                  <w:tcW w:w="2314" w:type="pct"/>
                  <w:vMerge w:val="continue"/>
                  <w:vAlign w:val="center"/>
                </w:tcPr>
                <w:p w14:paraId="67F1541E">
                  <w:pPr>
                    <w:adjustRightInd w:val="0"/>
                    <w:snapToGrid w:val="0"/>
                    <w:spacing w:line="360" w:lineRule="exact"/>
                    <w:jc w:val="center"/>
                    <w:rPr>
                      <w:rFonts w:hint="default" w:ascii="Times New Roman" w:hAnsi="Times New Roman" w:eastAsia="宋体" w:cs="Times New Roman"/>
                      <w:color w:val="auto"/>
                      <w:szCs w:val="21"/>
                    </w:rPr>
                  </w:pPr>
                </w:p>
              </w:tc>
            </w:tr>
            <w:tr w14:paraId="7F180E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Merge w:val="continue"/>
                  <w:vAlign w:val="center"/>
                </w:tcPr>
                <w:p w14:paraId="1E49CF9E">
                  <w:pPr>
                    <w:adjustRightInd w:val="0"/>
                    <w:snapToGrid w:val="0"/>
                    <w:spacing w:line="360" w:lineRule="exact"/>
                    <w:jc w:val="center"/>
                    <w:rPr>
                      <w:rFonts w:hint="default" w:ascii="Times New Roman" w:hAnsi="Times New Roman" w:eastAsia="宋体" w:cs="Times New Roman"/>
                      <w:color w:val="auto"/>
                      <w:szCs w:val="21"/>
                    </w:rPr>
                  </w:pPr>
                </w:p>
              </w:tc>
              <w:tc>
                <w:tcPr>
                  <w:tcW w:w="575" w:type="pct"/>
                  <w:vAlign w:val="center"/>
                </w:tcPr>
                <w:p w14:paraId="342E522D">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w:t>
                  </w:r>
                </w:p>
              </w:tc>
              <w:tc>
                <w:tcPr>
                  <w:tcW w:w="676" w:type="pct"/>
                  <w:vAlign w:val="center"/>
                </w:tcPr>
                <w:p w14:paraId="426257DB">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员工生活</w:t>
                  </w:r>
                </w:p>
              </w:tc>
              <w:tc>
                <w:tcPr>
                  <w:tcW w:w="1185" w:type="pct"/>
                  <w:vAlign w:val="center"/>
                </w:tcPr>
                <w:p w14:paraId="0282F194">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果皮、纸屑等</w:t>
                  </w:r>
                </w:p>
              </w:tc>
              <w:tc>
                <w:tcPr>
                  <w:tcW w:w="2314" w:type="pct"/>
                  <w:vAlign w:val="center"/>
                </w:tcPr>
                <w:p w14:paraId="4BC927DB">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环卫部门定期清运</w:t>
                  </w:r>
                </w:p>
              </w:tc>
            </w:tr>
            <w:tr w14:paraId="4CD04E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54" w:hRule="atLeast"/>
                <w:jc w:val="center"/>
              </w:trPr>
              <w:tc>
                <w:tcPr>
                  <w:tcW w:w="249" w:type="pct"/>
                  <w:vAlign w:val="center"/>
                </w:tcPr>
                <w:p w14:paraId="38BEC72B">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噪声</w:t>
                  </w:r>
                </w:p>
              </w:tc>
              <w:tc>
                <w:tcPr>
                  <w:tcW w:w="575" w:type="pct"/>
                  <w:vAlign w:val="center"/>
                </w:tcPr>
                <w:p w14:paraId="78867375">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N</w:t>
                  </w:r>
                </w:p>
              </w:tc>
              <w:tc>
                <w:tcPr>
                  <w:tcW w:w="676" w:type="pct"/>
                  <w:vAlign w:val="center"/>
                </w:tcPr>
                <w:p w14:paraId="07512261">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生产设备</w:t>
                  </w:r>
                </w:p>
              </w:tc>
              <w:tc>
                <w:tcPr>
                  <w:tcW w:w="1185" w:type="pct"/>
                  <w:vAlign w:val="center"/>
                </w:tcPr>
                <w:p w14:paraId="132A3ECE">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w:t>
                  </w:r>
                </w:p>
              </w:tc>
              <w:tc>
                <w:tcPr>
                  <w:tcW w:w="2314" w:type="pct"/>
                  <w:vAlign w:val="center"/>
                </w:tcPr>
                <w:p w14:paraId="76E48E4A">
                  <w:pPr>
                    <w:adjustRightInd w:val="0"/>
                    <w:snapToGrid w:val="0"/>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隔声、减震</w:t>
                  </w:r>
                </w:p>
              </w:tc>
            </w:tr>
          </w:tbl>
          <w:p w14:paraId="56D9FB7F">
            <w:pPr>
              <w:pStyle w:val="34"/>
              <w:keepNext w:val="0"/>
              <w:keepLines w:val="0"/>
              <w:pageBreakBefore w:val="0"/>
              <w:widowControl w:val="0"/>
              <w:kinsoku/>
              <w:wordWrap/>
              <w:overflowPunct/>
              <w:topLinePunct w:val="0"/>
              <w:autoSpaceDE w:val="0"/>
              <w:autoSpaceDN w:val="0"/>
              <w:bidi w:val="0"/>
              <w:adjustRightInd/>
              <w:snapToGrid/>
              <w:ind w:firstLine="482" w:firstLineChars="200"/>
              <w:textAlignment w:val="auto"/>
              <w:outlineLvl w:val="9"/>
              <w:rPr>
                <w:rFonts w:hint="default"/>
                <w:color w:val="auto"/>
                <w:lang w:eastAsia="zh-CN"/>
              </w:rPr>
            </w:pPr>
          </w:p>
        </w:tc>
      </w:tr>
    </w:tbl>
    <w:p w14:paraId="39E34BF1">
      <w:pPr>
        <w:pStyle w:val="31"/>
        <w:jc w:val="center"/>
        <w:rPr>
          <w:rFonts w:ascii="黑体" w:hAnsi="黑体" w:eastAsia="黑体"/>
          <w:snapToGrid w:val="0"/>
          <w:color w:val="auto"/>
          <w:sz w:val="36"/>
          <w:szCs w:val="36"/>
        </w:rPr>
        <w:sectPr>
          <w:pgSz w:w="11906" w:h="16838"/>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08"/>
        <w:gridCol w:w="9076"/>
      </w:tblGrid>
      <w:tr w14:paraId="632F2B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4" w:type="pct"/>
            <w:tcBorders>
              <w:tl2br w:val="nil"/>
              <w:tr2bl w:val="nil"/>
            </w:tcBorders>
            <w:noWrap w:val="0"/>
            <w:tcMar>
              <w:top w:w="0" w:type="dxa"/>
              <w:left w:w="28" w:type="dxa"/>
              <w:bottom w:w="0" w:type="dxa"/>
              <w:right w:w="28" w:type="dxa"/>
            </w:tcMar>
            <w:vAlign w:val="center"/>
          </w:tcPr>
          <w:p w14:paraId="63EE3A13">
            <w:pPr>
              <w:pStyle w:val="31"/>
              <w:keepNext w:val="0"/>
              <w:keepLines w:val="0"/>
              <w:pageBreakBefore w:val="0"/>
              <w:widowControl w:val="0"/>
              <w:kinsoku/>
              <w:wordWrap/>
              <w:overflowPunct/>
              <w:topLinePunct w:val="0"/>
              <w:bidi w:val="0"/>
              <w:adjustRightInd w:val="0"/>
              <w:snapToGrid w:val="0"/>
              <w:spacing w:before="0" w:beforeAutospacing="0" w:after="0" w:afterAutospacing="0" w:line="500" w:lineRule="exact"/>
              <w:ind w:left="0"/>
              <w:jc w:val="center"/>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kern w:val="2"/>
                <w:sz w:val="22"/>
                <w:szCs w:val="22"/>
              </w:rPr>
              <w:t>与项目有关的原有环境污染问题</w:t>
            </w:r>
          </w:p>
        </w:tc>
        <w:tc>
          <w:tcPr>
            <w:tcW w:w="4685" w:type="pct"/>
            <w:tcBorders>
              <w:tl2br w:val="nil"/>
              <w:tr2bl w:val="nil"/>
            </w:tcBorders>
            <w:noWrap w:val="0"/>
            <w:tcMar>
              <w:top w:w="0" w:type="dxa"/>
              <w:left w:w="28" w:type="dxa"/>
              <w:bottom w:w="0" w:type="dxa"/>
              <w:right w:w="28" w:type="dxa"/>
            </w:tcMar>
            <w:vAlign w:val="top"/>
          </w:tcPr>
          <w:p w14:paraId="20CBB02A">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2" w:firstLineChars="200"/>
              <w:jc w:val="left"/>
              <w:textAlignment w:val="auto"/>
              <w:outlineLvl w:val="9"/>
              <w:rPr>
                <w:rFonts w:hint="default" w:ascii="Times New Roman" w:hAnsi="Times New Roman" w:eastAsia="宋体" w:cs="Times New Roman"/>
                <w:b/>
                <w:bCs w:val="0"/>
                <w:color w:val="auto"/>
                <w:sz w:val="22"/>
                <w:szCs w:val="22"/>
                <w:lang w:val="en-US" w:eastAsia="zh-CN"/>
              </w:rPr>
            </w:pPr>
            <w:r>
              <w:rPr>
                <w:rFonts w:hint="eastAsia" w:cs="Times New Roman"/>
                <w:b/>
                <w:bCs w:val="0"/>
                <w:color w:val="auto"/>
                <w:sz w:val="22"/>
                <w:szCs w:val="22"/>
                <w:lang w:val="en-US" w:eastAsia="zh-CN"/>
              </w:rPr>
              <w:t>1.</w:t>
            </w:r>
            <w:r>
              <w:rPr>
                <w:rFonts w:hint="default" w:ascii="Times New Roman" w:hAnsi="Times New Roman" w:eastAsia="宋体" w:cs="Times New Roman"/>
                <w:b/>
                <w:bCs w:val="0"/>
                <w:color w:val="auto"/>
                <w:sz w:val="22"/>
                <w:szCs w:val="22"/>
                <w:lang w:val="en-US" w:eastAsia="zh-CN"/>
              </w:rPr>
              <w:t>现有项目概况</w:t>
            </w:r>
          </w:p>
          <w:p w14:paraId="38070112">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现有建设项目年生产300天，每</w:t>
            </w:r>
            <w:r>
              <w:rPr>
                <w:rFonts w:hint="eastAsia" w:ascii="Times New Roman" w:hAnsi="Times New Roman" w:eastAsia="宋体" w:cs="Times New Roman"/>
                <w:color w:val="auto"/>
                <w:sz w:val="22"/>
                <w:szCs w:val="22"/>
                <w:lang w:val="en-US" w:eastAsia="zh-CN"/>
              </w:rPr>
              <w:t>班</w:t>
            </w:r>
            <w:r>
              <w:rPr>
                <w:rFonts w:hint="default" w:ascii="Times New Roman" w:hAnsi="Times New Roman" w:eastAsia="宋体" w:cs="Times New Roman"/>
                <w:color w:val="auto"/>
                <w:sz w:val="22"/>
                <w:szCs w:val="22"/>
                <w:lang w:val="en-US" w:eastAsia="zh-CN"/>
              </w:rPr>
              <w:t>生产8小时，</w:t>
            </w:r>
            <w:r>
              <w:rPr>
                <w:rFonts w:hint="eastAsia" w:ascii="Times New Roman" w:hAnsi="Times New Roman" w:eastAsia="宋体" w:cs="Times New Roman"/>
                <w:color w:val="auto"/>
                <w:sz w:val="22"/>
                <w:szCs w:val="22"/>
                <w:lang w:val="en-US" w:eastAsia="zh-CN"/>
              </w:rPr>
              <w:t>2班制，</w:t>
            </w:r>
            <w:r>
              <w:rPr>
                <w:rFonts w:hint="default" w:ascii="Times New Roman" w:hAnsi="Times New Roman" w:eastAsia="宋体" w:cs="Times New Roman"/>
                <w:color w:val="auto"/>
                <w:sz w:val="22"/>
                <w:szCs w:val="22"/>
                <w:lang w:val="en-US" w:eastAsia="zh-CN"/>
              </w:rPr>
              <w:t>项目定员为</w:t>
            </w:r>
            <w:r>
              <w:rPr>
                <w:rFonts w:hint="eastAsia" w:ascii="Times New Roman" w:hAnsi="Times New Roman" w:eastAsia="宋体" w:cs="Times New Roman"/>
                <w:color w:val="auto"/>
                <w:sz w:val="22"/>
                <w:szCs w:val="22"/>
                <w:lang w:val="en-US" w:eastAsia="zh-CN"/>
              </w:rPr>
              <w:t>100</w:t>
            </w:r>
            <w:r>
              <w:rPr>
                <w:rFonts w:hint="default" w:ascii="Times New Roman" w:hAnsi="Times New Roman" w:eastAsia="宋体" w:cs="Times New Roman"/>
                <w:color w:val="auto"/>
                <w:sz w:val="22"/>
                <w:szCs w:val="22"/>
                <w:lang w:val="en-US" w:eastAsia="zh-CN"/>
              </w:rPr>
              <w:t>人。</w:t>
            </w:r>
          </w:p>
          <w:p w14:paraId="5FBD723E">
            <w:pPr>
              <w:keepNext w:val="0"/>
              <w:keepLines w:val="0"/>
              <w:pageBreakBefore w:val="0"/>
              <w:widowControl w:val="0"/>
              <w:kinsoku/>
              <w:wordWrap/>
              <w:overflowPunct/>
              <w:topLinePunct w:val="0"/>
              <w:autoSpaceDE/>
              <w:autoSpaceDN/>
              <w:bidi w:val="0"/>
              <w:adjustRightInd w:val="0"/>
              <w:snapToGrid w:val="0"/>
              <w:spacing w:line="500" w:lineRule="exact"/>
              <w:ind w:left="0" w:firstLine="440" w:firstLineChars="200"/>
              <w:jc w:val="both"/>
              <w:textAlignment w:val="auto"/>
              <w:outlineLvl w:val="9"/>
              <w:rPr>
                <w:rFonts w:hint="default" w:ascii="Times New Roman" w:hAnsi="Times New Roman" w:eastAsia="宋体" w:cs="Times New Roman"/>
                <w:bCs/>
                <w:color w:val="auto"/>
                <w:sz w:val="22"/>
                <w:szCs w:val="22"/>
                <w:lang w:val="en-US" w:eastAsia="zh-CN"/>
              </w:rPr>
            </w:pPr>
            <w:r>
              <w:rPr>
                <w:rFonts w:hint="default" w:ascii="Times New Roman" w:hAnsi="Times New Roman" w:eastAsia="宋体" w:cs="Times New Roman"/>
                <w:color w:val="auto"/>
                <w:sz w:val="22"/>
                <w:szCs w:val="22"/>
                <w:lang w:val="en-US" w:eastAsia="zh-CN"/>
              </w:rPr>
              <w:t>现环评</w:t>
            </w:r>
            <w:r>
              <w:rPr>
                <w:rFonts w:hint="default" w:ascii="Times New Roman" w:hAnsi="Times New Roman" w:eastAsia="宋体" w:cs="Times New Roman"/>
                <w:bCs/>
                <w:color w:val="auto"/>
                <w:sz w:val="22"/>
                <w:szCs w:val="22"/>
                <w:lang w:eastAsia="zh-CN"/>
              </w:rPr>
              <w:t>主要原辅材料见表</w:t>
            </w:r>
            <w:r>
              <w:rPr>
                <w:rFonts w:hint="default" w:ascii="Times New Roman" w:hAnsi="Times New Roman" w:eastAsia="宋体" w:cs="Times New Roman"/>
                <w:bCs/>
                <w:color w:val="auto"/>
                <w:sz w:val="22"/>
                <w:szCs w:val="22"/>
                <w:lang w:val="en-US" w:eastAsia="zh-CN"/>
              </w:rPr>
              <w:t>2-</w:t>
            </w:r>
            <w:r>
              <w:rPr>
                <w:rFonts w:hint="eastAsia" w:cs="Times New Roman"/>
                <w:bCs/>
                <w:color w:val="auto"/>
                <w:sz w:val="22"/>
                <w:szCs w:val="22"/>
                <w:lang w:val="en-US" w:eastAsia="zh-CN"/>
              </w:rPr>
              <w:t>8</w:t>
            </w:r>
            <w:r>
              <w:rPr>
                <w:rFonts w:hint="default" w:ascii="Times New Roman" w:hAnsi="Times New Roman" w:eastAsia="宋体" w:cs="Times New Roman"/>
                <w:bCs/>
                <w:color w:val="auto"/>
                <w:sz w:val="22"/>
                <w:szCs w:val="22"/>
                <w:lang w:val="en-US" w:eastAsia="zh-CN"/>
              </w:rPr>
              <w:t>，</w:t>
            </w:r>
            <w:r>
              <w:rPr>
                <w:rFonts w:hint="default" w:ascii="Times New Roman" w:hAnsi="Times New Roman" w:eastAsia="宋体" w:cs="Times New Roman"/>
                <w:bCs/>
                <w:color w:val="auto"/>
                <w:sz w:val="22"/>
                <w:szCs w:val="22"/>
                <w:lang w:eastAsia="zh-CN"/>
              </w:rPr>
              <w:t>主要生产设备见表</w:t>
            </w:r>
            <w:r>
              <w:rPr>
                <w:rFonts w:hint="default" w:ascii="Times New Roman" w:hAnsi="Times New Roman" w:eastAsia="宋体" w:cs="Times New Roman"/>
                <w:bCs/>
                <w:color w:val="auto"/>
                <w:sz w:val="22"/>
                <w:szCs w:val="22"/>
                <w:lang w:val="en-US" w:eastAsia="zh-CN"/>
              </w:rPr>
              <w:t>2-</w:t>
            </w:r>
            <w:r>
              <w:rPr>
                <w:rFonts w:hint="eastAsia" w:cs="Times New Roman"/>
                <w:bCs/>
                <w:color w:val="auto"/>
                <w:sz w:val="22"/>
                <w:szCs w:val="22"/>
                <w:lang w:val="en-US" w:eastAsia="zh-CN"/>
              </w:rPr>
              <w:t>9</w:t>
            </w:r>
            <w:r>
              <w:rPr>
                <w:rFonts w:hint="default" w:ascii="Times New Roman" w:hAnsi="Times New Roman" w:eastAsia="宋体" w:cs="Times New Roman"/>
                <w:bCs/>
                <w:color w:val="auto"/>
                <w:sz w:val="22"/>
                <w:szCs w:val="22"/>
                <w:lang w:val="en-US" w:eastAsia="zh-CN"/>
              </w:rPr>
              <w:t>，产品方案见表2-</w:t>
            </w:r>
            <w:r>
              <w:rPr>
                <w:rFonts w:hint="eastAsia" w:cs="Times New Roman"/>
                <w:bCs/>
                <w:color w:val="auto"/>
                <w:sz w:val="22"/>
                <w:szCs w:val="22"/>
                <w:lang w:val="en-US" w:eastAsia="zh-CN"/>
              </w:rPr>
              <w:t>10</w:t>
            </w:r>
            <w:r>
              <w:rPr>
                <w:rFonts w:hint="default" w:ascii="Times New Roman" w:hAnsi="Times New Roman" w:eastAsia="宋体" w:cs="Times New Roman"/>
                <w:bCs/>
                <w:color w:val="auto"/>
                <w:sz w:val="22"/>
                <w:szCs w:val="22"/>
                <w:lang w:val="en-US" w:eastAsia="zh-CN"/>
              </w:rPr>
              <w:t>。</w:t>
            </w:r>
          </w:p>
          <w:p w14:paraId="47386130">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0" w:firstLineChars="0"/>
              <w:jc w:val="center"/>
              <w:textAlignment w:val="auto"/>
              <w:outlineLvl w:val="9"/>
              <w:rPr>
                <w:rFonts w:hint="default" w:ascii="Times New Roman" w:hAnsi="Times New Roman" w:eastAsia="宋体" w:cs="Times New Roman"/>
                <w:b/>
                <w:bCs w:val="0"/>
                <w:color w:val="auto"/>
                <w:sz w:val="22"/>
                <w:szCs w:val="22"/>
                <w:lang w:val="en-US" w:eastAsia="zh-CN"/>
              </w:rPr>
            </w:pPr>
            <w:r>
              <w:rPr>
                <w:rFonts w:hint="default" w:ascii="Times New Roman" w:hAnsi="Times New Roman" w:eastAsia="宋体" w:cs="Times New Roman"/>
                <w:b/>
                <w:bCs w:val="0"/>
                <w:color w:val="auto"/>
                <w:sz w:val="22"/>
                <w:szCs w:val="22"/>
                <w:lang w:eastAsia="zh-CN"/>
              </w:rPr>
              <w:t>表</w:t>
            </w:r>
            <w:r>
              <w:rPr>
                <w:rFonts w:hint="default" w:ascii="Times New Roman" w:hAnsi="Times New Roman" w:eastAsia="宋体" w:cs="Times New Roman"/>
                <w:b/>
                <w:bCs w:val="0"/>
                <w:color w:val="auto"/>
                <w:sz w:val="22"/>
                <w:szCs w:val="22"/>
                <w:lang w:val="en-US" w:eastAsia="zh-CN"/>
              </w:rPr>
              <w:t>2-</w:t>
            </w:r>
            <w:r>
              <w:rPr>
                <w:rFonts w:hint="eastAsia" w:cs="Times New Roman"/>
                <w:b/>
                <w:bCs w:val="0"/>
                <w:color w:val="auto"/>
                <w:sz w:val="22"/>
                <w:szCs w:val="22"/>
                <w:lang w:val="en-US" w:eastAsia="zh-CN"/>
              </w:rPr>
              <w:t>8</w:t>
            </w:r>
            <w:r>
              <w:rPr>
                <w:rFonts w:hint="default" w:ascii="Times New Roman" w:hAnsi="Times New Roman" w:eastAsia="宋体" w:cs="Times New Roman"/>
                <w:b/>
                <w:bCs w:val="0"/>
                <w:color w:val="auto"/>
                <w:sz w:val="22"/>
                <w:szCs w:val="22"/>
                <w:lang w:val="en-US" w:eastAsia="zh-CN"/>
              </w:rPr>
              <w:t xml:space="preserve">  现有项目主要原辅材料一览表</w:t>
            </w:r>
            <w:r>
              <w:rPr>
                <w:rFonts w:hint="eastAsia" w:cs="Times New Roman"/>
                <w:b/>
                <w:bCs w:val="0"/>
                <w:color w:val="auto"/>
                <w:sz w:val="22"/>
                <w:szCs w:val="22"/>
                <w:lang w:val="en-US" w:eastAsia="zh-CN"/>
              </w:rPr>
              <w:t xml:space="preserve"> </w:t>
            </w:r>
          </w:p>
          <w:tbl>
            <w:tblPr>
              <w:tblStyle w:val="43"/>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542"/>
              <w:gridCol w:w="2854"/>
              <w:gridCol w:w="2192"/>
              <w:gridCol w:w="2428"/>
            </w:tblGrid>
            <w:tr w14:paraId="69DD4CC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55A461E5">
                  <w:pPr>
                    <w:pStyle w:val="80"/>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序号</w:t>
                  </w:r>
                </w:p>
              </w:tc>
              <w:tc>
                <w:tcPr>
                  <w:tcW w:w="1582" w:type="pct"/>
                  <w:noWrap w:val="0"/>
                  <w:vAlign w:val="center"/>
                </w:tcPr>
                <w:p w14:paraId="2B457898">
                  <w:pPr>
                    <w:pStyle w:val="80"/>
                    <w:keepNext w:val="0"/>
                    <w:keepLines w:val="0"/>
                    <w:pageBreakBefore w:val="0"/>
                    <w:widowControl w:val="0"/>
                    <w:kinsoku/>
                    <w:wordWrap w:val="0"/>
                    <w:overflowPunct/>
                    <w:topLinePunct w:val="0"/>
                    <w:autoSpaceDE w:val="0"/>
                    <w:autoSpaceDN w:val="0"/>
                    <w:bidi w:val="0"/>
                    <w:snapToGrid/>
                    <w:spacing w:line="360" w:lineRule="atLeast"/>
                    <w:ind w:firstLine="103" w:firstLineChars="49"/>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名称</w:t>
                  </w:r>
                </w:p>
              </w:tc>
              <w:tc>
                <w:tcPr>
                  <w:tcW w:w="1215" w:type="pct"/>
                  <w:noWrap w:val="0"/>
                  <w:vAlign w:val="center"/>
                </w:tcPr>
                <w:p w14:paraId="5B14476C">
                  <w:pPr>
                    <w:keepNext w:val="0"/>
                    <w:keepLines w:val="0"/>
                    <w:pageBreakBefore w:val="0"/>
                    <w:widowControl w:val="0"/>
                    <w:kinsoku/>
                    <w:wordWrap w:val="0"/>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bCs/>
                      <w:color w:val="auto"/>
                      <w:sz w:val="21"/>
                      <w:szCs w:val="21"/>
                      <w:lang w:eastAsia="zh-CN"/>
                    </w:rPr>
                  </w:pPr>
                  <w:r>
                    <w:rPr>
                      <w:rFonts w:hint="default" w:ascii="Times New Roman" w:hAnsi="Times New Roman" w:eastAsia="宋体" w:cs="Times New Roman"/>
                      <w:b/>
                      <w:bCs/>
                      <w:color w:val="auto"/>
                      <w:w w:val="100"/>
                      <w:sz w:val="21"/>
                      <w:szCs w:val="21"/>
                    </w:rPr>
                    <w:t>年消耗量</w:t>
                  </w:r>
                </w:p>
              </w:tc>
              <w:tc>
                <w:tcPr>
                  <w:tcW w:w="1346" w:type="pct"/>
                  <w:noWrap w:val="0"/>
                  <w:vAlign w:val="center"/>
                </w:tcPr>
                <w:p w14:paraId="4FF905EF">
                  <w:pPr>
                    <w:keepNext w:val="0"/>
                    <w:keepLines w:val="0"/>
                    <w:pageBreakBefore w:val="0"/>
                    <w:widowControl w:val="0"/>
                    <w:kinsoku/>
                    <w:wordWrap w:val="0"/>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单位</w:t>
                  </w:r>
                </w:p>
              </w:tc>
            </w:tr>
            <w:tr w14:paraId="3C42AD6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353BC47D">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w:t>
                  </w:r>
                </w:p>
              </w:tc>
              <w:tc>
                <w:tcPr>
                  <w:tcW w:w="1582" w:type="pct"/>
                  <w:noWrap w:val="0"/>
                  <w:vAlign w:val="center"/>
                </w:tcPr>
                <w:p w14:paraId="28FDDD6C">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混炼橡胶</w:t>
                  </w:r>
                </w:p>
              </w:tc>
              <w:tc>
                <w:tcPr>
                  <w:tcW w:w="1215" w:type="pct"/>
                  <w:noWrap w:val="0"/>
                  <w:vAlign w:val="center"/>
                </w:tcPr>
                <w:p w14:paraId="2DC27588">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650</w:t>
                  </w:r>
                </w:p>
              </w:tc>
              <w:tc>
                <w:tcPr>
                  <w:tcW w:w="1346" w:type="pct"/>
                  <w:noWrap w:val="0"/>
                  <w:vAlign w:val="center"/>
                </w:tcPr>
                <w:p w14:paraId="654FF568">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b w:val="0"/>
                      <w:bCs/>
                      <w:color w:val="auto"/>
                      <w:sz w:val="21"/>
                      <w:szCs w:val="21"/>
                      <w:lang w:val="en-US" w:eastAsia="zh-CN"/>
                    </w:rPr>
                    <w:t>t/a</w:t>
                  </w:r>
                </w:p>
              </w:tc>
            </w:tr>
            <w:tr w14:paraId="28D1D32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348FE35F">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1582" w:type="pct"/>
                  <w:noWrap w:val="0"/>
                  <w:vAlign w:val="center"/>
                </w:tcPr>
                <w:p w14:paraId="1FAECFA1">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涂料</w:t>
                  </w:r>
                </w:p>
              </w:tc>
              <w:tc>
                <w:tcPr>
                  <w:tcW w:w="1215" w:type="pct"/>
                  <w:noWrap w:val="0"/>
                  <w:vAlign w:val="center"/>
                </w:tcPr>
                <w:p w14:paraId="4B661E1B">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20</w:t>
                  </w:r>
                </w:p>
              </w:tc>
              <w:tc>
                <w:tcPr>
                  <w:tcW w:w="1346" w:type="pct"/>
                  <w:noWrap w:val="0"/>
                  <w:vAlign w:val="center"/>
                </w:tcPr>
                <w:p w14:paraId="5BEBAEBB">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b w:val="0"/>
                      <w:bCs/>
                      <w:color w:val="auto"/>
                      <w:sz w:val="21"/>
                      <w:szCs w:val="21"/>
                      <w:lang w:val="en-US" w:eastAsia="zh-CN"/>
                    </w:rPr>
                    <w:t>t/a</w:t>
                  </w:r>
                </w:p>
              </w:tc>
            </w:tr>
            <w:tr w14:paraId="04D58C9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5A8D98BA">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w:t>
                  </w:r>
                </w:p>
              </w:tc>
              <w:tc>
                <w:tcPr>
                  <w:tcW w:w="1582" w:type="pct"/>
                  <w:noWrap w:val="0"/>
                  <w:vAlign w:val="center"/>
                </w:tcPr>
                <w:p w14:paraId="69750FEB">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芯棒</w:t>
                  </w:r>
                </w:p>
              </w:tc>
              <w:tc>
                <w:tcPr>
                  <w:tcW w:w="1215" w:type="pct"/>
                  <w:noWrap w:val="0"/>
                  <w:vAlign w:val="center"/>
                </w:tcPr>
                <w:p w14:paraId="1E688917">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1800</w:t>
                  </w:r>
                </w:p>
              </w:tc>
              <w:tc>
                <w:tcPr>
                  <w:tcW w:w="1346" w:type="pct"/>
                  <w:noWrap w:val="0"/>
                  <w:vAlign w:val="center"/>
                </w:tcPr>
                <w:p w14:paraId="2B9E8878">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万支/a</w:t>
                  </w:r>
                </w:p>
              </w:tc>
            </w:tr>
            <w:tr w14:paraId="411B0D3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7AD8B04F">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w:t>
                  </w:r>
                </w:p>
              </w:tc>
              <w:tc>
                <w:tcPr>
                  <w:tcW w:w="1582" w:type="pct"/>
                  <w:noWrap w:val="0"/>
                  <w:vAlign w:val="center"/>
                </w:tcPr>
                <w:p w14:paraId="1A6A3AD1">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 xml:space="preserve">纸箱 </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包材</w:t>
                  </w:r>
                  <w:r>
                    <w:rPr>
                      <w:rFonts w:hint="eastAsia" w:cs="Times New Roman"/>
                      <w:color w:val="auto"/>
                      <w:sz w:val="21"/>
                      <w:szCs w:val="21"/>
                      <w:lang w:val="en-US" w:eastAsia="zh-CN"/>
                    </w:rPr>
                    <w:t>）</w:t>
                  </w:r>
                </w:p>
              </w:tc>
              <w:tc>
                <w:tcPr>
                  <w:tcW w:w="1215" w:type="pct"/>
                  <w:noWrap w:val="0"/>
                  <w:vAlign w:val="center"/>
                </w:tcPr>
                <w:p w14:paraId="4156CF3F">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11</w:t>
                  </w:r>
                </w:p>
              </w:tc>
              <w:tc>
                <w:tcPr>
                  <w:tcW w:w="1346" w:type="pct"/>
                  <w:noWrap w:val="0"/>
                  <w:vAlign w:val="center"/>
                </w:tcPr>
                <w:p w14:paraId="0524F55F">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万个/a</w:t>
                  </w:r>
                </w:p>
              </w:tc>
            </w:tr>
            <w:tr w14:paraId="08D8108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05925316">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5</w:t>
                  </w:r>
                </w:p>
              </w:tc>
              <w:tc>
                <w:tcPr>
                  <w:tcW w:w="1582" w:type="pct"/>
                  <w:noWrap w:val="0"/>
                  <w:vAlign w:val="center"/>
                </w:tcPr>
                <w:p w14:paraId="6FCD8128">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吸塑盒</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包材</w:t>
                  </w:r>
                  <w:r>
                    <w:rPr>
                      <w:rFonts w:hint="eastAsia" w:cs="Times New Roman"/>
                      <w:color w:val="auto"/>
                      <w:sz w:val="21"/>
                      <w:szCs w:val="21"/>
                      <w:lang w:val="en-US" w:eastAsia="zh-CN"/>
                    </w:rPr>
                    <w:t>）</w:t>
                  </w:r>
                </w:p>
              </w:tc>
              <w:tc>
                <w:tcPr>
                  <w:tcW w:w="1215" w:type="pct"/>
                  <w:noWrap w:val="0"/>
                  <w:vAlign w:val="center"/>
                </w:tcPr>
                <w:p w14:paraId="04A2B367">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242</w:t>
                  </w:r>
                </w:p>
              </w:tc>
              <w:tc>
                <w:tcPr>
                  <w:tcW w:w="1346" w:type="pct"/>
                  <w:noWrap w:val="0"/>
                  <w:vAlign w:val="center"/>
                </w:tcPr>
                <w:p w14:paraId="1DA987D3">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万个/a</w:t>
                  </w:r>
                </w:p>
              </w:tc>
            </w:tr>
            <w:tr w14:paraId="6DB2937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3BDE67C3">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w:t>
                  </w:r>
                </w:p>
              </w:tc>
              <w:tc>
                <w:tcPr>
                  <w:tcW w:w="1582" w:type="pct"/>
                  <w:noWrap w:val="0"/>
                  <w:vAlign w:val="center"/>
                </w:tcPr>
                <w:p w14:paraId="41FA40D4">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乙醇</w:t>
                  </w:r>
                </w:p>
              </w:tc>
              <w:tc>
                <w:tcPr>
                  <w:tcW w:w="1215" w:type="pct"/>
                  <w:noWrap w:val="0"/>
                  <w:vAlign w:val="center"/>
                </w:tcPr>
                <w:p w14:paraId="72FAF7CC">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2</w:t>
                  </w:r>
                </w:p>
              </w:tc>
              <w:tc>
                <w:tcPr>
                  <w:tcW w:w="1346" w:type="pct"/>
                  <w:noWrap w:val="0"/>
                  <w:vAlign w:val="center"/>
                </w:tcPr>
                <w:p w14:paraId="74E5CAF9">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b w:val="0"/>
                      <w:bCs/>
                      <w:color w:val="auto"/>
                      <w:sz w:val="21"/>
                      <w:szCs w:val="21"/>
                      <w:lang w:val="en-US" w:eastAsia="zh-CN"/>
                    </w:rPr>
                    <w:t>t/a</w:t>
                  </w:r>
                </w:p>
              </w:tc>
            </w:tr>
            <w:tr w14:paraId="11C38DC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0BEE6390">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w:t>
                  </w:r>
                </w:p>
              </w:tc>
              <w:tc>
                <w:tcPr>
                  <w:tcW w:w="1582" w:type="pct"/>
                  <w:noWrap w:val="0"/>
                  <w:vAlign w:val="center"/>
                </w:tcPr>
                <w:p w14:paraId="1289104B">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美沙克灵</w:t>
                  </w:r>
                </w:p>
              </w:tc>
              <w:tc>
                <w:tcPr>
                  <w:tcW w:w="1215" w:type="pct"/>
                  <w:noWrap w:val="0"/>
                  <w:vAlign w:val="center"/>
                </w:tcPr>
                <w:p w14:paraId="69C019A4">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50</w:t>
                  </w:r>
                </w:p>
              </w:tc>
              <w:tc>
                <w:tcPr>
                  <w:tcW w:w="1346" w:type="pct"/>
                  <w:noWrap w:val="0"/>
                  <w:vAlign w:val="center"/>
                </w:tcPr>
                <w:p w14:paraId="2FE6A78D">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b w:val="0"/>
                      <w:bCs/>
                      <w:color w:val="auto"/>
                      <w:sz w:val="21"/>
                      <w:szCs w:val="21"/>
                      <w:lang w:val="en-US" w:eastAsia="zh-CN"/>
                    </w:rPr>
                    <w:t>t/a</w:t>
                  </w:r>
                </w:p>
              </w:tc>
            </w:tr>
            <w:tr w14:paraId="40D445C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2FC01C0A">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8</w:t>
                  </w:r>
                </w:p>
              </w:tc>
              <w:tc>
                <w:tcPr>
                  <w:tcW w:w="1582" w:type="pct"/>
                  <w:noWrap w:val="0"/>
                  <w:vAlign w:val="center"/>
                </w:tcPr>
                <w:p w14:paraId="602E7AED">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二甲苯</w:t>
                  </w:r>
                </w:p>
              </w:tc>
              <w:tc>
                <w:tcPr>
                  <w:tcW w:w="1215" w:type="pct"/>
                  <w:noWrap w:val="0"/>
                  <w:vAlign w:val="center"/>
                </w:tcPr>
                <w:p w14:paraId="2060F802">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13</w:t>
                  </w:r>
                </w:p>
              </w:tc>
              <w:tc>
                <w:tcPr>
                  <w:tcW w:w="1346" w:type="pct"/>
                  <w:noWrap w:val="0"/>
                  <w:vAlign w:val="center"/>
                </w:tcPr>
                <w:p w14:paraId="3575D0A8">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b w:val="0"/>
                      <w:bCs/>
                      <w:color w:val="auto"/>
                      <w:sz w:val="21"/>
                      <w:szCs w:val="21"/>
                      <w:lang w:val="en-US" w:eastAsia="zh-CN"/>
                    </w:rPr>
                    <w:t>t/a</w:t>
                  </w:r>
                </w:p>
              </w:tc>
            </w:tr>
            <w:tr w14:paraId="095874E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855" w:type="pct"/>
                  <w:noWrap w:val="0"/>
                  <w:vAlign w:val="center"/>
                </w:tcPr>
                <w:p w14:paraId="61E70284">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9</w:t>
                  </w:r>
                </w:p>
              </w:tc>
              <w:tc>
                <w:tcPr>
                  <w:tcW w:w="1582" w:type="pct"/>
                  <w:noWrap w:val="0"/>
                  <w:vAlign w:val="center"/>
                </w:tcPr>
                <w:p w14:paraId="321E7464">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醋酸乙酯</w:t>
                  </w:r>
                </w:p>
              </w:tc>
              <w:tc>
                <w:tcPr>
                  <w:tcW w:w="1215" w:type="pct"/>
                  <w:noWrap w:val="0"/>
                  <w:vAlign w:val="center"/>
                </w:tcPr>
                <w:p w14:paraId="5B80210F">
                  <w:pPr>
                    <w:keepNext w:val="0"/>
                    <w:keepLines w:val="0"/>
                    <w:pageBreakBefore w:val="0"/>
                    <w:widowControl w:val="0"/>
                    <w:kinsoku/>
                    <w:wordWrap w:val="0"/>
                    <w:overflowPunct/>
                    <w:topLinePunct w:val="0"/>
                    <w:autoSpaceDE w:val="0"/>
                    <w:autoSpaceDN w:val="0"/>
                    <w:bidi w:val="0"/>
                    <w:adjustRightInd w:val="0"/>
                    <w:snapToGri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rPr>
                    <w:t>30</w:t>
                  </w:r>
                </w:p>
              </w:tc>
              <w:tc>
                <w:tcPr>
                  <w:tcW w:w="1346" w:type="pct"/>
                  <w:noWrap w:val="0"/>
                  <w:vAlign w:val="center"/>
                </w:tcPr>
                <w:p w14:paraId="060C9E67">
                  <w:pPr>
                    <w:keepNext w:val="0"/>
                    <w:keepLines w:val="0"/>
                    <w:pageBreakBefore w:val="0"/>
                    <w:widowControl w:val="0"/>
                    <w:kinsoku/>
                    <w:wordWrap w:val="0"/>
                    <w:overflowPunct/>
                    <w:topLinePunct w:val="0"/>
                    <w:autoSpaceDE w:val="0"/>
                    <w:autoSpaceDN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b w:val="0"/>
                      <w:bCs/>
                      <w:color w:val="auto"/>
                      <w:sz w:val="21"/>
                      <w:szCs w:val="21"/>
                      <w:lang w:val="en-US" w:eastAsia="zh-CN"/>
                    </w:rPr>
                    <w:t>t/a</w:t>
                  </w:r>
                </w:p>
              </w:tc>
            </w:tr>
          </w:tbl>
          <w:p w14:paraId="6CDAB2B0">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0" w:firstLineChars="0"/>
              <w:jc w:val="center"/>
              <w:textAlignment w:val="auto"/>
              <w:outlineLvl w:val="9"/>
              <w:rPr>
                <w:rFonts w:hint="default" w:ascii="Times New Roman" w:hAnsi="Times New Roman" w:eastAsia="宋体" w:cs="Times New Roman"/>
                <w:b/>
                <w:bCs w:val="0"/>
                <w:color w:val="auto"/>
                <w:sz w:val="22"/>
                <w:szCs w:val="22"/>
                <w:lang w:val="en-US" w:eastAsia="zh-CN"/>
              </w:rPr>
            </w:pPr>
            <w:r>
              <w:rPr>
                <w:rFonts w:hint="default" w:ascii="Times New Roman" w:hAnsi="Times New Roman" w:eastAsia="宋体" w:cs="Times New Roman"/>
                <w:b/>
                <w:bCs w:val="0"/>
                <w:color w:val="auto"/>
                <w:sz w:val="22"/>
                <w:szCs w:val="22"/>
                <w:lang w:eastAsia="zh-CN"/>
              </w:rPr>
              <w:t>表</w:t>
            </w:r>
            <w:r>
              <w:rPr>
                <w:rFonts w:hint="default" w:ascii="Times New Roman" w:hAnsi="Times New Roman" w:eastAsia="宋体" w:cs="Times New Roman"/>
                <w:b/>
                <w:bCs w:val="0"/>
                <w:color w:val="auto"/>
                <w:sz w:val="22"/>
                <w:szCs w:val="22"/>
                <w:lang w:val="en-US" w:eastAsia="zh-CN"/>
              </w:rPr>
              <w:t>2-</w:t>
            </w:r>
            <w:r>
              <w:rPr>
                <w:rFonts w:hint="eastAsia" w:cs="Times New Roman"/>
                <w:b/>
                <w:bCs w:val="0"/>
                <w:color w:val="auto"/>
                <w:sz w:val="22"/>
                <w:szCs w:val="22"/>
                <w:lang w:val="en-US" w:eastAsia="zh-CN"/>
              </w:rPr>
              <w:t>9</w:t>
            </w:r>
            <w:r>
              <w:rPr>
                <w:rFonts w:hint="default" w:ascii="Times New Roman" w:hAnsi="Times New Roman" w:eastAsia="宋体" w:cs="Times New Roman"/>
                <w:b/>
                <w:bCs w:val="0"/>
                <w:color w:val="auto"/>
                <w:sz w:val="22"/>
                <w:szCs w:val="22"/>
                <w:lang w:val="en-US" w:eastAsia="zh-CN"/>
              </w:rPr>
              <w:t xml:space="preserve">  现有项目生产设备一览表</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267"/>
              <w:gridCol w:w="2284"/>
              <w:gridCol w:w="2816"/>
              <w:gridCol w:w="2648"/>
            </w:tblGrid>
            <w:tr w14:paraId="0E96F62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0530B8D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序号</w:t>
                  </w:r>
                </w:p>
              </w:tc>
              <w:tc>
                <w:tcPr>
                  <w:tcW w:w="1266" w:type="pct"/>
                  <w:noWrap w:val="0"/>
                  <w:vAlign w:val="center"/>
                </w:tcPr>
                <w:p w14:paraId="07246C3C">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名称</w:t>
                  </w:r>
                </w:p>
              </w:tc>
              <w:tc>
                <w:tcPr>
                  <w:tcW w:w="1561" w:type="pct"/>
                  <w:noWrap w:val="0"/>
                  <w:vAlign w:val="center"/>
                </w:tcPr>
                <w:p w14:paraId="1592DD7B">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b/>
                      <w:bCs/>
                      <w:color w:val="auto"/>
                      <w:w w:val="100"/>
                      <w:sz w:val="21"/>
                      <w:szCs w:val="21"/>
                      <w:lang w:val="en-US" w:eastAsia="zh-CN" w:bidi="ar-SA"/>
                    </w:rPr>
                  </w:pPr>
                  <w:r>
                    <w:rPr>
                      <w:rFonts w:hint="default" w:ascii="Times New Roman" w:hAnsi="Times New Roman" w:eastAsia="宋体" w:cs="Times New Roman"/>
                      <w:b/>
                      <w:bCs/>
                      <w:color w:val="auto"/>
                      <w:w w:val="100"/>
                      <w:sz w:val="21"/>
                      <w:szCs w:val="21"/>
                      <w:lang w:eastAsia="zh-CN"/>
                    </w:rPr>
                    <w:t>型号</w:t>
                  </w:r>
                  <w:r>
                    <w:rPr>
                      <w:rFonts w:hint="default" w:ascii="Times New Roman" w:hAnsi="Times New Roman" w:eastAsia="宋体" w:cs="Times New Roman"/>
                      <w:b/>
                      <w:bCs/>
                      <w:color w:val="auto"/>
                      <w:w w:val="100"/>
                      <w:sz w:val="21"/>
                      <w:szCs w:val="21"/>
                      <w:lang w:val="en-US" w:eastAsia="zh-CN"/>
                    </w:rPr>
                    <w:t>/规格</w:t>
                  </w:r>
                </w:p>
              </w:tc>
              <w:tc>
                <w:tcPr>
                  <w:tcW w:w="1468" w:type="pct"/>
                  <w:noWrap w:val="0"/>
                  <w:vAlign w:val="center"/>
                </w:tcPr>
                <w:p w14:paraId="0D18B530">
                  <w:pPr>
                    <w:keepNext w:val="0"/>
                    <w:keepLines w:val="0"/>
                    <w:pageBreakBefore w:val="0"/>
                    <w:widowControl w:val="0"/>
                    <w:kinsoku/>
                    <w:wordWrap w:val="0"/>
                    <w:overflowPunct/>
                    <w:topLinePunct w:val="0"/>
                    <w:autoSpaceDE w:val="0"/>
                    <w:autoSpaceDN w:val="0"/>
                    <w:bidi w:val="0"/>
                    <w:adjustRightInd w:val="0"/>
                    <w:snapToGrid/>
                    <w:spacing w:line="360" w:lineRule="exact"/>
                    <w:ind w:firstLine="0" w:firstLineChars="0"/>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数量</w:t>
                  </w:r>
                  <w:r>
                    <w:rPr>
                      <w:rFonts w:hint="eastAsia" w:cs="Times New Roman"/>
                      <w:b/>
                      <w:bCs/>
                      <w:color w:val="auto"/>
                      <w:w w:val="100"/>
                      <w:sz w:val="21"/>
                      <w:szCs w:val="21"/>
                      <w:lang w:val="en-US" w:eastAsia="zh-CN"/>
                    </w:rPr>
                    <w:t>（</w:t>
                  </w:r>
                  <w:r>
                    <w:rPr>
                      <w:rFonts w:hint="default" w:ascii="Times New Roman" w:hAnsi="Times New Roman" w:eastAsia="宋体" w:cs="Times New Roman"/>
                      <w:b/>
                      <w:bCs/>
                      <w:color w:val="auto"/>
                      <w:w w:val="100"/>
                      <w:sz w:val="21"/>
                      <w:szCs w:val="21"/>
                      <w:lang w:val="en-US" w:eastAsia="zh-CN"/>
                    </w:rPr>
                    <w:t>台/套</w:t>
                  </w:r>
                  <w:r>
                    <w:rPr>
                      <w:rFonts w:hint="eastAsia" w:cs="Times New Roman"/>
                      <w:b/>
                      <w:bCs/>
                      <w:color w:val="auto"/>
                      <w:w w:val="100"/>
                      <w:sz w:val="21"/>
                      <w:szCs w:val="21"/>
                      <w:lang w:val="en-US" w:eastAsia="zh-CN"/>
                    </w:rPr>
                    <w:t>）</w:t>
                  </w:r>
                </w:p>
              </w:tc>
            </w:tr>
            <w:tr w14:paraId="3CBA050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2AA99D7D">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1</w:t>
                  </w:r>
                </w:p>
              </w:tc>
              <w:tc>
                <w:tcPr>
                  <w:tcW w:w="1266" w:type="pct"/>
                  <w:noWrap w:val="0"/>
                  <w:vAlign w:val="center"/>
                </w:tcPr>
                <w:p w14:paraId="62AE7D14">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薄通机</w:t>
                  </w:r>
                </w:p>
              </w:tc>
              <w:tc>
                <w:tcPr>
                  <w:tcW w:w="1561" w:type="pct"/>
                  <w:noWrap w:val="0"/>
                  <w:vAlign w:val="center"/>
                </w:tcPr>
                <w:p w14:paraId="22B2B31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SK-400</w:t>
                  </w:r>
                </w:p>
              </w:tc>
              <w:tc>
                <w:tcPr>
                  <w:tcW w:w="1468" w:type="pct"/>
                  <w:noWrap w:val="0"/>
                  <w:vAlign w:val="center"/>
                </w:tcPr>
                <w:p w14:paraId="7A4A0C28">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4</w:t>
                  </w:r>
                </w:p>
              </w:tc>
            </w:tr>
            <w:tr w14:paraId="4DE973D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4FC36800">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2</w:t>
                  </w:r>
                </w:p>
              </w:tc>
              <w:tc>
                <w:tcPr>
                  <w:tcW w:w="1266" w:type="pct"/>
                  <w:noWrap w:val="0"/>
                  <w:vAlign w:val="center"/>
                </w:tcPr>
                <w:p w14:paraId="3AF70031">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过滤机</w:t>
                  </w:r>
                </w:p>
              </w:tc>
              <w:tc>
                <w:tcPr>
                  <w:tcW w:w="1561" w:type="pct"/>
                  <w:noWrap w:val="0"/>
                  <w:vAlign w:val="center"/>
                </w:tcPr>
                <w:p w14:paraId="3EB8F7F2">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4A8449FD">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w:t>
                  </w:r>
                </w:p>
              </w:tc>
            </w:tr>
            <w:tr w14:paraId="3B5D665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49AB6263">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3</w:t>
                  </w:r>
                </w:p>
              </w:tc>
              <w:tc>
                <w:tcPr>
                  <w:tcW w:w="1266" w:type="pct"/>
                  <w:noWrap w:val="0"/>
                  <w:vAlign w:val="center"/>
                </w:tcPr>
                <w:p w14:paraId="5AE5A4A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裁断机</w:t>
                  </w:r>
                </w:p>
              </w:tc>
              <w:tc>
                <w:tcPr>
                  <w:tcW w:w="1561" w:type="pct"/>
                  <w:noWrap w:val="0"/>
                  <w:vAlign w:val="center"/>
                </w:tcPr>
                <w:p w14:paraId="025697DC">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16DA6C48">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2</w:t>
                  </w:r>
                </w:p>
              </w:tc>
            </w:tr>
            <w:tr w14:paraId="394D33C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64D78322">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rPr>
                    <w:t>4</w:t>
                  </w:r>
                </w:p>
              </w:tc>
              <w:tc>
                <w:tcPr>
                  <w:tcW w:w="1266" w:type="pct"/>
                  <w:noWrap w:val="0"/>
                  <w:vAlign w:val="center"/>
                </w:tcPr>
                <w:p w14:paraId="7D04C34D">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轴芯清洗机</w:t>
                  </w:r>
                </w:p>
              </w:tc>
              <w:tc>
                <w:tcPr>
                  <w:tcW w:w="1561" w:type="pct"/>
                  <w:noWrap w:val="0"/>
                  <w:vAlign w:val="center"/>
                </w:tcPr>
                <w:p w14:paraId="2B86479B">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HQXR2803</w:t>
                  </w:r>
                </w:p>
              </w:tc>
              <w:tc>
                <w:tcPr>
                  <w:tcW w:w="1468" w:type="pct"/>
                  <w:noWrap w:val="0"/>
                  <w:vAlign w:val="center"/>
                </w:tcPr>
                <w:p w14:paraId="2B797A0F">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3</w:t>
                  </w:r>
                </w:p>
              </w:tc>
            </w:tr>
            <w:tr w14:paraId="05B1FF6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00E0ADF8">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5</w:t>
                  </w:r>
                </w:p>
              </w:tc>
              <w:tc>
                <w:tcPr>
                  <w:tcW w:w="1266" w:type="pct"/>
                  <w:noWrap w:val="0"/>
                  <w:vAlign w:val="center"/>
                </w:tcPr>
                <w:p w14:paraId="3A997A79">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轴芯涂胶机</w:t>
                  </w:r>
                </w:p>
              </w:tc>
              <w:tc>
                <w:tcPr>
                  <w:tcW w:w="1561" w:type="pct"/>
                  <w:noWrap w:val="0"/>
                  <w:vAlign w:val="center"/>
                </w:tcPr>
                <w:p w14:paraId="16684D4A">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7F9F7F6A">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3</w:t>
                  </w:r>
                </w:p>
              </w:tc>
            </w:tr>
            <w:tr w14:paraId="50AD83E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021D2933">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6</w:t>
                  </w:r>
                </w:p>
              </w:tc>
              <w:tc>
                <w:tcPr>
                  <w:tcW w:w="1266" w:type="pct"/>
                  <w:noWrap w:val="0"/>
                  <w:vAlign w:val="center"/>
                </w:tcPr>
                <w:p w14:paraId="1B0802E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挤出机</w:t>
                  </w:r>
                </w:p>
              </w:tc>
              <w:tc>
                <w:tcPr>
                  <w:tcW w:w="1561" w:type="pct"/>
                  <w:noWrap w:val="0"/>
                  <w:vAlign w:val="center"/>
                </w:tcPr>
                <w:p w14:paraId="51572F25">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LCD-90</w:t>
                  </w:r>
                </w:p>
              </w:tc>
              <w:tc>
                <w:tcPr>
                  <w:tcW w:w="1468" w:type="pct"/>
                  <w:noWrap w:val="0"/>
                  <w:vAlign w:val="center"/>
                </w:tcPr>
                <w:p w14:paraId="6803686C">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5</w:t>
                  </w:r>
                </w:p>
              </w:tc>
            </w:tr>
            <w:tr w14:paraId="0DA1424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4F37DBAB">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7</w:t>
                  </w:r>
                </w:p>
              </w:tc>
              <w:tc>
                <w:tcPr>
                  <w:tcW w:w="1266" w:type="pct"/>
                  <w:noWrap w:val="0"/>
                  <w:vAlign w:val="center"/>
                </w:tcPr>
                <w:p w14:paraId="10473361">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蒸缸</w:t>
                  </w:r>
                  <w:r>
                    <w:rPr>
                      <w:rFonts w:hint="eastAsia" w:cs="Times New Roman"/>
                      <w:color w:val="auto"/>
                      <w:w w:val="100"/>
                      <w:sz w:val="21"/>
                      <w:szCs w:val="21"/>
                      <w:lang w:val="en-US" w:eastAsia="zh-CN"/>
                    </w:rPr>
                    <w:t>（</w:t>
                  </w:r>
                  <w:r>
                    <w:rPr>
                      <w:rFonts w:hint="default" w:ascii="Times New Roman" w:hAnsi="Times New Roman" w:eastAsia="宋体" w:cs="Times New Roman"/>
                      <w:color w:val="auto"/>
                      <w:w w:val="100"/>
                      <w:sz w:val="21"/>
                      <w:szCs w:val="21"/>
                      <w:lang w:val="en-US" w:eastAsia="zh-CN"/>
                    </w:rPr>
                    <w:t>加热罐</w:t>
                  </w:r>
                  <w:r>
                    <w:rPr>
                      <w:rFonts w:hint="eastAsia" w:cs="Times New Roman"/>
                      <w:color w:val="auto"/>
                      <w:w w:val="100"/>
                      <w:sz w:val="21"/>
                      <w:szCs w:val="21"/>
                      <w:lang w:val="en-US" w:eastAsia="zh-CN"/>
                    </w:rPr>
                    <w:t>）</w:t>
                  </w:r>
                </w:p>
              </w:tc>
              <w:tc>
                <w:tcPr>
                  <w:tcW w:w="1561" w:type="pct"/>
                  <w:noWrap w:val="0"/>
                  <w:vAlign w:val="center"/>
                </w:tcPr>
                <w:p w14:paraId="2A2DDFD1">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26F995BB">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2</w:t>
                  </w:r>
                </w:p>
              </w:tc>
            </w:tr>
            <w:tr w14:paraId="363889C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5AA08ABE">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8</w:t>
                  </w:r>
                </w:p>
              </w:tc>
              <w:tc>
                <w:tcPr>
                  <w:tcW w:w="1266" w:type="pct"/>
                  <w:noWrap w:val="0"/>
                  <w:vAlign w:val="center"/>
                </w:tcPr>
                <w:p w14:paraId="022E38CF">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恒温烘箱</w:t>
                  </w:r>
                </w:p>
              </w:tc>
              <w:tc>
                <w:tcPr>
                  <w:tcW w:w="1561" w:type="pct"/>
                  <w:noWrap w:val="0"/>
                  <w:vAlign w:val="center"/>
                </w:tcPr>
                <w:p w14:paraId="127DA03C">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38D84EB1">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16</w:t>
                  </w:r>
                </w:p>
              </w:tc>
            </w:tr>
            <w:tr w14:paraId="3677E39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5490812C">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9</w:t>
                  </w:r>
                </w:p>
              </w:tc>
              <w:tc>
                <w:tcPr>
                  <w:tcW w:w="1266" w:type="pct"/>
                  <w:noWrap w:val="0"/>
                  <w:vAlign w:val="center"/>
                </w:tcPr>
                <w:p w14:paraId="218A1020">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切拔机</w:t>
                  </w:r>
                </w:p>
              </w:tc>
              <w:tc>
                <w:tcPr>
                  <w:tcW w:w="1561" w:type="pct"/>
                  <w:noWrap w:val="0"/>
                  <w:vAlign w:val="center"/>
                </w:tcPr>
                <w:p w14:paraId="7FAF1BDB">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5A814901">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12</w:t>
                  </w:r>
                </w:p>
              </w:tc>
            </w:tr>
            <w:tr w14:paraId="06F514A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5B396588">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10</w:t>
                  </w:r>
                </w:p>
              </w:tc>
              <w:tc>
                <w:tcPr>
                  <w:tcW w:w="1266" w:type="pct"/>
                  <w:noWrap w:val="0"/>
                  <w:vAlign w:val="center"/>
                </w:tcPr>
                <w:p w14:paraId="2613E2B6">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研磨机</w:t>
                  </w:r>
                </w:p>
              </w:tc>
              <w:tc>
                <w:tcPr>
                  <w:tcW w:w="1561" w:type="pct"/>
                  <w:noWrap w:val="0"/>
                  <w:vAlign w:val="center"/>
                </w:tcPr>
                <w:p w14:paraId="42FAE47F">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161AB6E7">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101</w:t>
                  </w:r>
                </w:p>
              </w:tc>
            </w:tr>
            <w:tr w14:paraId="3BAEC8F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01DDE5CC">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11</w:t>
                  </w:r>
                </w:p>
              </w:tc>
              <w:tc>
                <w:tcPr>
                  <w:tcW w:w="1266" w:type="pct"/>
                  <w:noWrap w:val="0"/>
                  <w:vAlign w:val="center"/>
                </w:tcPr>
                <w:p w14:paraId="7DB7605A">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水洗机</w:t>
                  </w:r>
                </w:p>
              </w:tc>
              <w:tc>
                <w:tcPr>
                  <w:tcW w:w="1561" w:type="pct"/>
                  <w:noWrap w:val="0"/>
                  <w:vAlign w:val="center"/>
                </w:tcPr>
                <w:p w14:paraId="00B539D5">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7105EC2F">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2</w:t>
                  </w:r>
                </w:p>
              </w:tc>
            </w:tr>
            <w:tr w14:paraId="4725BD1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0831336B">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12</w:t>
                  </w:r>
                </w:p>
              </w:tc>
              <w:tc>
                <w:tcPr>
                  <w:tcW w:w="1266" w:type="pct"/>
                  <w:noWrap w:val="0"/>
                  <w:vAlign w:val="center"/>
                </w:tcPr>
                <w:p w14:paraId="42B883EC">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UV照射机</w:t>
                  </w:r>
                </w:p>
              </w:tc>
              <w:tc>
                <w:tcPr>
                  <w:tcW w:w="1561" w:type="pct"/>
                  <w:noWrap w:val="0"/>
                  <w:vAlign w:val="center"/>
                </w:tcPr>
                <w:p w14:paraId="78145519">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7B5785E2">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7</w:t>
                  </w:r>
                </w:p>
              </w:tc>
            </w:tr>
            <w:tr w14:paraId="5D402BF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3" w:type="pct"/>
                  <w:noWrap w:val="0"/>
                  <w:vAlign w:val="center"/>
                </w:tcPr>
                <w:p w14:paraId="7EDAEE60">
                  <w:pPr>
                    <w:keepNext w:val="0"/>
                    <w:keepLines w:val="0"/>
                    <w:pageBreakBefore w:val="0"/>
                    <w:widowControl w:val="0"/>
                    <w:kinsoku/>
                    <w:wordWrap w:val="0"/>
                    <w:overflowPunct/>
                    <w:topLinePunct w:val="0"/>
                    <w:autoSpaceDE w:val="0"/>
                    <w:autoSpaceDN w:val="0"/>
                    <w:bidi w:val="0"/>
                    <w:adjustRightInd/>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13</w:t>
                  </w:r>
                </w:p>
              </w:tc>
              <w:tc>
                <w:tcPr>
                  <w:tcW w:w="1266" w:type="pct"/>
                  <w:noWrap w:val="0"/>
                  <w:vAlign w:val="center"/>
                </w:tcPr>
                <w:p w14:paraId="2E2BD06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喷涂机</w:t>
                  </w:r>
                </w:p>
              </w:tc>
              <w:tc>
                <w:tcPr>
                  <w:tcW w:w="1561" w:type="pct"/>
                  <w:noWrap w:val="0"/>
                  <w:vAlign w:val="center"/>
                </w:tcPr>
                <w:p w14:paraId="2689C873">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w:t>
                  </w:r>
                </w:p>
              </w:tc>
              <w:tc>
                <w:tcPr>
                  <w:tcW w:w="1468" w:type="pct"/>
                  <w:noWrap w:val="0"/>
                  <w:vAlign w:val="center"/>
                </w:tcPr>
                <w:p w14:paraId="2052642D">
                  <w:pPr>
                    <w:keepNext w:val="0"/>
                    <w:keepLines w:val="0"/>
                    <w:pageBreakBefore w:val="0"/>
                    <w:widowControl w:val="0"/>
                    <w:kinsoku/>
                    <w:wordWrap w:val="0"/>
                    <w:overflowPunct/>
                    <w:topLinePunct w:val="0"/>
                    <w:autoSpaceDE w:val="0"/>
                    <w:autoSpaceDN w:val="0"/>
                    <w:bidi w:val="0"/>
                    <w:snapToGrid/>
                    <w:spacing w:line="360" w:lineRule="exact"/>
                    <w:ind w:firstLine="0" w:firstLineChars="0"/>
                    <w:jc w:val="center"/>
                    <w:textAlignment w:val="auto"/>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rPr>
                    <w:t>9</w:t>
                  </w:r>
                </w:p>
              </w:tc>
            </w:tr>
          </w:tbl>
          <w:p w14:paraId="70A35FB4">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0" w:firstLineChars="0"/>
              <w:jc w:val="center"/>
              <w:textAlignment w:val="auto"/>
              <w:outlineLvl w:val="9"/>
              <w:rPr>
                <w:rFonts w:hint="default" w:ascii="Times New Roman" w:hAnsi="Times New Roman" w:eastAsia="宋体" w:cs="Times New Roman"/>
                <w:b/>
                <w:bCs w:val="0"/>
                <w:color w:val="auto"/>
                <w:sz w:val="22"/>
                <w:szCs w:val="22"/>
                <w:lang w:val="en-US" w:eastAsia="zh-CN"/>
              </w:rPr>
            </w:pPr>
            <w:r>
              <w:rPr>
                <w:rFonts w:hint="default" w:ascii="Times New Roman" w:hAnsi="Times New Roman" w:eastAsia="宋体" w:cs="Times New Roman"/>
                <w:b/>
                <w:bCs w:val="0"/>
                <w:color w:val="auto"/>
                <w:sz w:val="22"/>
                <w:szCs w:val="22"/>
                <w:lang w:val="en-US" w:eastAsia="zh-CN"/>
              </w:rPr>
              <w:t>表2-</w:t>
            </w:r>
            <w:r>
              <w:rPr>
                <w:rFonts w:hint="eastAsia" w:cs="Times New Roman"/>
                <w:b/>
                <w:bCs w:val="0"/>
                <w:color w:val="auto"/>
                <w:sz w:val="22"/>
                <w:szCs w:val="22"/>
                <w:lang w:val="en-US" w:eastAsia="zh-CN"/>
              </w:rPr>
              <w:t>10</w:t>
            </w:r>
            <w:r>
              <w:rPr>
                <w:rFonts w:hint="default" w:ascii="Times New Roman" w:hAnsi="Times New Roman" w:eastAsia="宋体" w:cs="Times New Roman"/>
                <w:b/>
                <w:bCs w:val="0"/>
                <w:color w:val="auto"/>
                <w:sz w:val="22"/>
                <w:szCs w:val="22"/>
                <w:lang w:val="en-US" w:eastAsia="zh-CN"/>
              </w:rPr>
              <w:t xml:space="preserve">  产品方案</w:t>
            </w:r>
          </w:p>
          <w:tbl>
            <w:tblPr>
              <w:tblStyle w:val="43"/>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920"/>
              <w:gridCol w:w="2666"/>
              <w:gridCol w:w="2715"/>
              <w:gridCol w:w="2715"/>
            </w:tblGrid>
            <w:tr w14:paraId="78858D2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510" w:type="pct"/>
                  <w:noWrap w:val="0"/>
                  <w:vAlign w:val="center"/>
                </w:tcPr>
                <w:p w14:paraId="3362D58C">
                  <w:pPr>
                    <w:pStyle w:val="80"/>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w w:val="100"/>
                      <w:kern w:val="2"/>
                      <w:sz w:val="21"/>
                      <w:szCs w:val="21"/>
                    </w:rPr>
                  </w:pPr>
                  <w:r>
                    <w:rPr>
                      <w:rFonts w:hint="default" w:ascii="Times New Roman" w:hAnsi="Times New Roman" w:eastAsia="宋体" w:cs="Times New Roman"/>
                      <w:b/>
                      <w:bCs/>
                      <w:color w:val="auto"/>
                      <w:w w:val="100"/>
                      <w:kern w:val="2"/>
                      <w:sz w:val="21"/>
                      <w:szCs w:val="21"/>
                    </w:rPr>
                    <w:t>序号</w:t>
                  </w:r>
                </w:p>
              </w:tc>
              <w:tc>
                <w:tcPr>
                  <w:tcW w:w="1478" w:type="pct"/>
                  <w:noWrap w:val="0"/>
                  <w:vAlign w:val="center"/>
                </w:tcPr>
                <w:p w14:paraId="27F0FAE6">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产品名称及规格</w:t>
                  </w:r>
                </w:p>
              </w:tc>
              <w:tc>
                <w:tcPr>
                  <w:tcW w:w="1505" w:type="pct"/>
                  <w:noWrap w:val="0"/>
                  <w:vAlign w:val="center"/>
                </w:tcPr>
                <w:p w14:paraId="2552566F">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设计生产能力</w:t>
                  </w:r>
                </w:p>
              </w:tc>
              <w:tc>
                <w:tcPr>
                  <w:tcW w:w="1505" w:type="pct"/>
                  <w:noWrap w:val="0"/>
                  <w:vAlign w:val="center"/>
                </w:tcPr>
                <w:p w14:paraId="639D858C">
                  <w:pPr>
                    <w:keepNext w:val="0"/>
                    <w:keepLines w:val="0"/>
                    <w:pageBreakBefore w:val="0"/>
                    <w:widowControl w:val="0"/>
                    <w:kinsoku/>
                    <w:wordWrap w:val="0"/>
                    <w:overflowPunct/>
                    <w:topLinePunct w:val="0"/>
                    <w:autoSpaceDE w:val="0"/>
                    <w:autoSpaceDN w:val="0"/>
                    <w:bidi w:val="0"/>
                    <w:adjustRightInd w:val="0"/>
                    <w:snapToGrid/>
                    <w:spacing w:line="360" w:lineRule="exact"/>
                    <w:ind w:left="0"/>
                    <w:jc w:val="center"/>
                    <w:textAlignment w:val="auto"/>
                    <w:outlineLvl w:val="9"/>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年运行时数</w:t>
                  </w:r>
                </w:p>
              </w:tc>
            </w:tr>
            <w:tr w14:paraId="6F9358A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510" w:type="pct"/>
                  <w:noWrap w:val="0"/>
                  <w:vAlign w:val="center"/>
                </w:tcPr>
                <w:p w14:paraId="63EA93A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1478" w:type="pct"/>
                  <w:noWrap w:val="0"/>
                  <w:vAlign w:val="center"/>
                </w:tcPr>
                <w:p w14:paraId="1BA1E3F5">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color w:val="auto"/>
                      <w:w w:val="100"/>
                      <w:sz w:val="21"/>
                      <w:szCs w:val="21"/>
                      <w:lang w:eastAsia="zh-CN"/>
                    </w:rPr>
                    <w:t>导电辊、显影辊</w:t>
                  </w:r>
                </w:p>
              </w:tc>
              <w:tc>
                <w:tcPr>
                  <w:tcW w:w="1505" w:type="pct"/>
                  <w:noWrap w:val="0"/>
                  <w:vAlign w:val="center"/>
                </w:tcPr>
                <w:p w14:paraId="2CB07792">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1800万支/a</w:t>
                  </w:r>
                </w:p>
              </w:tc>
              <w:tc>
                <w:tcPr>
                  <w:tcW w:w="1505" w:type="pct"/>
                  <w:noWrap w:val="0"/>
                  <w:vAlign w:val="center"/>
                </w:tcPr>
                <w:p w14:paraId="4D42BF41">
                  <w:pPr>
                    <w:keepNext w:val="0"/>
                    <w:keepLines w:val="0"/>
                    <w:pageBreakBefore w:val="0"/>
                    <w:widowControl w:val="0"/>
                    <w:kinsoku/>
                    <w:wordWrap w:val="0"/>
                    <w:overflowPunct/>
                    <w:topLinePunct w:val="0"/>
                    <w:autoSpaceDE w:val="0"/>
                    <w:autoSpaceDN w:val="0"/>
                    <w:bidi w:val="0"/>
                    <w:adjustRightInd w:val="0"/>
                    <w:snapToGrid w:val="0"/>
                    <w:spacing w:line="360" w:lineRule="exact"/>
                    <w:ind w:left="0"/>
                    <w:jc w:val="center"/>
                    <w:textAlignment w:val="auto"/>
                    <w:outlineLvl w:val="9"/>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48</w:t>
                  </w:r>
                  <w:r>
                    <w:rPr>
                      <w:rFonts w:hint="default" w:ascii="Times New Roman" w:hAnsi="Times New Roman" w:eastAsia="宋体" w:cs="Times New Roman"/>
                      <w:b w:val="0"/>
                      <w:bCs w:val="0"/>
                      <w:color w:val="auto"/>
                      <w:sz w:val="21"/>
                      <w:szCs w:val="21"/>
                      <w:vertAlign w:val="baseline"/>
                      <w:lang w:val="en-US" w:eastAsia="zh-CN"/>
                    </w:rPr>
                    <w:t>00h</w:t>
                  </w:r>
                </w:p>
              </w:tc>
            </w:tr>
          </w:tbl>
          <w:p w14:paraId="7EA9148B">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2" w:firstLineChars="200"/>
              <w:jc w:val="left"/>
              <w:textAlignment w:val="auto"/>
              <w:outlineLvl w:val="9"/>
              <w:rPr>
                <w:rFonts w:hint="default" w:ascii="Times New Roman" w:hAnsi="Times New Roman" w:eastAsia="宋体" w:cs="Times New Roman"/>
                <w:bCs/>
                <w:color w:val="auto"/>
                <w:sz w:val="22"/>
                <w:szCs w:val="22"/>
                <w:lang w:val="en-US" w:eastAsia="zh-CN"/>
              </w:rPr>
            </w:pPr>
            <w:r>
              <w:rPr>
                <w:rFonts w:hint="eastAsia" w:cs="Times New Roman"/>
                <w:b/>
                <w:bCs w:val="0"/>
                <w:color w:val="auto"/>
                <w:sz w:val="22"/>
                <w:szCs w:val="22"/>
                <w:lang w:val="en-US" w:eastAsia="zh-CN"/>
              </w:rPr>
              <w:t>2.</w:t>
            </w:r>
            <w:r>
              <w:rPr>
                <w:rFonts w:hint="default" w:ascii="Times New Roman" w:hAnsi="Times New Roman" w:eastAsia="宋体" w:cs="Times New Roman"/>
                <w:b/>
                <w:bCs w:val="0"/>
                <w:color w:val="auto"/>
                <w:sz w:val="22"/>
                <w:szCs w:val="22"/>
                <w:lang w:val="en-US" w:eastAsia="zh-CN"/>
              </w:rPr>
              <w:t>现有项目生产工艺流程</w:t>
            </w:r>
          </w:p>
          <w:p w14:paraId="23F87E0C">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sz w:val="22"/>
                <w:szCs w:val="22"/>
                <w:vertAlign w:val="baseline"/>
              </w:rPr>
            </w:pPr>
            <w:r>
              <w:rPr>
                <w:rFonts w:hint="default" w:ascii="Times New Roman" w:hAnsi="Times New Roman" w:eastAsia="宋体" w:cs="Times New Roman"/>
                <w:bCs/>
                <w:color w:val="auto"/>
                <w:sz w:val="22"/>
                <w:szCs w:val="22"/>
                <w:lang w:eastAsia="zh-CN"/>
              </w:rPr>
              <w:t>生产工艺流程见图</w:t>
            </w:r>
            <w:r>
              <w:rPr>
                <w:rFonts w:hint="default" w:ascii="Times New Roman" w:hAnsi="Times New Roman" w:eastAsia="宋体" w:cs="Times New Roman"/>
                <w:bCs/>
                <w:color w:val="auto"/>
                <w:sz w:val="22"/>
                <w:szCs w:val="22"/>
                <w:lang w:val="en-US" w:eastAsia="zh-CN"/>
              </w:rPr>
              <w:t>2-3。</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15"/>
            </w:tblGrid>
            <w:tr w14:paraId="715088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20" w:type="dxa"/>
                  <w:tcBorders>
                    <w:tl2br w:val="nil"/>
                    <w:tr2bl w:val="nil"/>
                  </w:tcBorders>
                </w:tcPr>
                <w:p w14:paraId="56B72409">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jc w:val="center"/>
                    <w:textAlignment w:val="auto"/>
                    <w:outlineLvl w:val="9"/>
                    <w:rPr>
                      <w:rFonts w:hint="default" w:ascii="Times New Roman" w:hAnsi="Times New Roman" w:eastAsia="宋体" w:cs="Times New Roman"/>
                      <w:bCs/>
                      <w:color w:val="auto"/>
                      <w:sz w:val="22"/>
                      <w:szCs w:val="22"/>
                      <w:vertAlign w:val="baseline"/>
                    </w:rPr>
                  </w:pPr>
                  <w:r>
                    <w:rPr>
                      <w:rFonts w:hint="default" w:ascii="Times New Roman" w:hAnsi="Times New Roman" w:eastAsia="仿宋_GB2312" w:cs="Times New Roman"/>
                      <w:color w:val="auto"/>
                      <w:vertAlign w:val="baseline"/>
                      <w:lang w:eastAsia="zh-CN"/>
                    </w:rPr>
                    <w:pict>
                      <v:shape id="_x0000_s1065" o:spid="_x0000_s1065" o:spt="75" type="#_x0000_t75" style="position:absolute;left:0pt;margin-left:-2.9pt;margin-top:7.15pt;height:321.1pt;width:441.75pt;mso-wrap-distance-bottom:0pt;mso-wrap-distance-top:0pt;z-index:251670528;mso-width-relative:page;mso-height-relative:page;" o:ole="t" filled="f" o:preferrelative="t" stroked="f" coordsize="21600,21600">
                        <v:path/>
                        <v:fill on="f" focussize="0,0"/>
                        <v:stroke on="f"/>
                        <v:imagedata r:id="rId17" cropleft="3283f" cropright="1243f" cropbottom="4849f" o:title=""/>
                        <o:lock v:ext="edit" aspectratio="t"/>
                        <w10:wrap type="topAndBottom"/>
                      </v:shape>
                      <o:OLEObject Type="Embed" ProgID="Word.Document.12" ShapeID="_x0000_s1065" DrawAspect="Content" ObjectID="_1468075728" r:id="rId16">
                        <o:LockedField>false</o:LockedField>
                      </o:OLEObject>
                    </w:pict>
                  </w:r>
                  <w:r>
                    <w:rPr>
                      <w:rFonts w:hint="default" w:ascii="Times New Roman" w:hAnsi="Times New Roman" w:eastAsia="宋体" w:cs="Times New Roman"/>
                      <w:b/>
                      <w:bCs w:val="0"/>
                      <w:color w:val="auto"/>
                      <w:sz w:val="22"/>
                      <w:szCs w:val="22"/>
                      <w:lang w:eastAsia="zh-CN"/>
                    </w:rPr>
                    <w:t>图</w:t>
                  </w:r>
                  <w:r>
                    <w:rPr>
                      <w:rFonts w:hint="default" w:ascii="Times New Roman" w:hAnsi="Times New Roman" w:eastAsia="宋体" w:cs="Times New Roman"/>
                      <w:b/>
                      <w:bCs w:val="0"/>
                      <w:color w:val="auto"/>
                      <w:sz w:val="22"/>
                      <w:szCs w:val="22"/>
                      <w:lang w:val="en-US" w:eastAsia="zh-CN"/>
                    </w:rPr>
                    <w:t>2-3 生产工艺流程图</w:t>
                  </w:r>
                </w:p>
              </w:tc>
            </w:tr>
          </w:tbl>
          <w:p w14:paraId="28737A4F">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2" w:firstLineChars="200"/>
              <w:jc w:val="left"/>
              <w:textAlignment w:val="auto"/>
              <w:outlineLvl w:val="9"/>
              <w:rPr>
                <w:rFonts w:hint="default" w:ascii="Times New Roman" w:hAnsi="Times New Roman" w:eastAsia="宋体" w:cs="Times New Roman"/>
                <w:b/>
                <w:bCs w:val="0"/>
                <w:color w:val="auto"/>
                <w:sz w:val="22"/>
                <w:szCs w:val="22"/>
                <w:lang w:val="en-US" w:eastAsia="zh-CN"/>
              </w:rPr>
            </w:pPr>
            <w:r>
              <w:rPr>
                <w:rFonts w:hint="eastAsia" w:cs="Times New Roman"/>
                <w:b/>
                <w:bCs w:val="0"/>
                <w:color w:val="auto"/>
                <w:sz w:val="22"/>
                <w:szCs w:val="22"/>
                <w:lang w:val="en-US" w:eastAsia="zh-CN"/>
              </w:rPr>
              <w:t>3.</w:t>
            </w:r>
            <w:r>
              <w:rPr>
                <w:rFonts w:hint="default" w:ascii="Times New Roman" w:hAnsi="Times New Roman" w:eastAsia="宋体" w:cs="Times New Roman"/>
                <w:b/>
                <w:bCs w:val="0"/>
                <w:color w:val="auto"/>
                <w:sz w:val="22"/>
                <w:szCs w:val="22"/>
                <w:lang w:val="en-US" w:eastAsia="zh-CN"/>
              </w:rPr>
              <w:t>现有项目公用及辅助工程表</w:t>
            </w:r>
          </w:p>
          <w:p w14:paraId="4526FAAA">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sz w:val="22"/>
                <w:szCs w:val="22"/>
                <w:lang w:val="en-US" w:eastAsia="zh-CN"/>
              </w:rPr>
            </w:pPr>
            <w:r>
              <w:rPr>
                <w:rFonts w:hint="default" w:ascii="Times New Roman" w:hAnsi="Times New Roman" w:eastAsia="宋体" w:cs="Times New Roman"/>
                <w:bCs/>
                <w:color w:val="auto"/>
                <w:sz w:val="22"/>
                <w:szCs w:val="22"/>
                <w:lang w:val="en-US" w:eastAsia="zh-CN"/>
              </w:rPr>
              <w:t>现有项目公用及辅助工程见表2-</w:t>
            </w:r>
            <w:r>
              <w:rPr>
                <w:rFonts w:hint="eastAsia" w:cs="Times New Roman"/>
                <w:bCs/>
                <w:color w:val="auto"/>
                <w:sz w:val="22"/>
                <w:szCs w:val="22"/>
                <w:lang w:val="en-US" w:eastAsia="zh-CN"/>
              </w:rPr>
              <w:t>11</w:t>
            </w:r>
            <w:r>
              <w:rPr>
                <w:rFonts w:hint="default" w:ascii="Times New Roman" w:hAnsi="Times New Roman" w:eastAsia="宋体" w:cs="Times New Roman"/>
                <w:bCs/>
                <w:color w:val="auto"/>
                <w:sz w:val="22"/>
                <w:szCs w:val="22"/>
                <w:lang w:val="en-US" w:eastAsia="zh-CN"/>
              </w:rPr>
              <w:t>。</w:t>
            </w:r>
          </w:p>
          <w:p w14:paraId="0D6EA1A4">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0" w:firstLineChars="0"/>
              <w:jc w:val="center"/>
              <w:textAlignment w:val="auto"/>
              <w:outlineLvl w:val="9"/>
              <w:rPr>
                <w:rFonts w:hint="default" w:ascii="Times New Roman" w:hAnsi="Times New Roman" w:eastAsia="宋体" w:cs="Times New Roman"/>
                <w:b/>
                <w:bCs w:val="0"/>
                <w:color w:val="auto"/>
                <w:sz w:val="22"/>
                <w:szCs w:val="22"/>
                <w:lang w:val="en-US" w:eastAsia="zh-CN"/>
              </w:rPr>
            </w:pPr>
            <w:r>
              <w:rPr>
                <w:rFonts w:hint="default" w:ascii="Times New Roman" w:hAnsi="Times New Roman" w:eastAsia="宋体" w:cs="Times New Roman"/>
                <w:b/>
                <w:bCs w:val="0"/>
                <w:color w:val="auto"/>
                <w:sz w:val="22"/>
                <w:szCs w:val="22"/>
                <w:lang w:eastAsia="zh-CN"/>
              </w:rPr>
              <w:t>表</w:t>
            </w:r>
            <w:r>
              <w:rPr>
                <w:rFonts w:hint="default" w:ascii="Times New Roman" w:hAnsi="Times New Roman" w:eastAsia="宋体" w:cs="Times New Roman"/>
                <w:b/>
                <w:bCs w:val="0"/>
                <w:color w:val="auto"/>
                <w:sz w:val="22"/>
                <w:szCs w:val="22"/>
                <w:lang w:val="en-US" w:eastAsia="zh-CN"/>
              </w:rPr>
              <w:t>2-</w:t>
            </w:r>
            <w:r>
              <w:rPr>
                <w:rFonts w:hint="eastAsia" w:cs="Times New Roman"/>
                <w:b/>
                <w:bCs w:val="0"/>
                <w:color w:val="auto"/>
                <w:sz w:val="22"/>
                <w:szCs w:val="22"/>
                <w:lang w:val="en-US" w:eastAsia="zh-CN"/>
              </w:rPr>
              <w:t>11</w:t>
            </w:r>
            <w:r>
              <w:rPr>
                <w:rFonts w:hint="default" w:ascii="Times New Roman" w:hAnsi="Times New Roman" w:eastAsia="宋体" w:cs="Times New Roman"/>
                <w:b/>
                <w:bCs w:val="0"/>
                <w:color w:val="auto"/>
                <w:sz w:val="22"/>
                <w:szCs w:val="22"/>
                <w:lang w:val="en-US" w:eastAsia="zh-CN"/>
              </w:rPr>
              <w:t xml:space="preserve">  现有项目公用及辅助工程一览表</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autofit"/>
              <w:tblCellMar>
                <w:top w:w="0" w:type="dxa"/>
                <w:left w:w="28" w:type="dxa"/>
                <w:bottom w:w="0" w:type="dxa"/>
                <w:right w:w="28" w:type="dxa"/>
              </w:tblCellMar>
            </w:tblPr>
            <w:tblGrid>
              <w:gridCol w:w="612"/>
              <w:gridCol w:w="902"/>
              <w:gridCol w:w="4977"/>
              <w:gridCol w:w="2524"/>
            </w:tblGrid>
            <w:tr w14:paraId="19A9DF6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noWrap w:val="0"/>
                  <w:vAlign w:val="center"/>
                </w:tcPr>
                <w:p w14:paraId="262D582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类别</w:t>
                  </w:r>
                </w:p>
              </w:tc>
              <w:tc>
                <w:tcPr>
                  <w:tcW w:w="500" w:type="pct"/>
                  <w:noWrap w:val="0"/>
                  <w:vAlign w:val="center"/>
                </w:tcPr>
                <w:p w14:paraId="0A84D29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建设名称</w:t>
                  </w:r>
                </w:p>
              </w:tc>
              <w:tc>
                <w:tcPr>
                  <w:tcW w:w="2759" w:type="pct"/>
                  <w:noWrap w:val="0"/>
                  <w:vAlign w:val="center"/>
                </w:tcPr>
                <w:p w14:paraId="44BE7C69">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设计能力</w:t>
                  </w:r>
                </w:p>
              </w:tc>
              <w:tc>
                <w:tcPr>
                  <w:tcW w:w="1399" w:type="pct"/>
                  <w:noWrap w:val="0"/>
                  <w:vAlign w:val="center"/>
                </w:tcPr>
                <w:p w14:paraId="6AA6205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val="0"/>
                      <w:color w:val="auto"/>
                      <w:w w:val="100"/>
                      <w:sz w:val="21"/>
                      <w:szCs w:val="21"/>
                      <w:highlight w:val="none"/>
                    </w:rPr>
                  </w:pPr>
                  <w:r>
                    <w:rPr>
                      <w:rFonts w:hint="default" w:ascii="Times New Roman" w:hAnsi="Times New Roman" w:eastAsia="宋体" w:cs="Times New Roman"/>
                      <w:b/>
                      <w:bCs w:val="0"/>
                      <w:color w:val="auto"/>
                      <w:w w:val="100"/>
                      <w:sz w:val="21"/>
                      <w:szCs w:val="21"/>
                      <w:highlight w:val="none"/>
                    </w:rPr>
                    <w:t>备注</w:t>
                  </w:r>
                </w:p>
              </w:tc>
            </w:tr>
            <w:tr w14:paraId="1254A4F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restart"/>
                  <w:noWrap w:val="0"/>
                  <w:vAlign w:val="center"/>
                </w:tcPr>
                <w:p w14:paraId="115DD009">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主体工程</w:t>
                  </w:r>
                </w:p>
              </w:tc>
              <w:tc>
                <w:tcPr>
                  <w:tcW w:w="500" w:type="pct"/>
                  <w:noWrap w:val="0"/>
                  <w:vAlign w:val="center"/>
                </w:tcPr>
                <w:p w14:paraId="7C3D5D3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rPr>
                  </w:pPr>
                  <w:r>
                    <w:rPr>
                      <w:rFonts w:hint="default" w:ascii="Times New Roman" w:hAnsi="Times New Roman" w:eastAsia="宋体" w:cs="Times New Roman"/>
                      <w:b w:val="0"/>
                      <w:bCs/>
                      <w:color w:val="auto"/>
                      <w:w w:val="100"/>
                      <w:sz w:val="21"/>
                      <w:szCs w:val="21"/>
                      <w:highlight w:val="none"/>
                      <w:lang w:val="en-US" w:eastAsia="zh-CN"/>
                    </w:rPr>
                    <w:t>1#厂房</w:t>
                  </w:r>
                </w:p>
              </w:tc>
              <w:tc>
                <w:tcPr>
                  <w:tcW w:w="2759" w:type="pct"/>
                  <w:noWrap w:val="0"/>
                  <w:vAlign w:val="center"/>
                </w:tcPr>
                <w:p w14:paraId="1E083BA2">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5400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4750F561">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备用仓库</w:t>
                  </w:r>
                </w:p>
              </w:tc>
            </w:tr>
            <w:tr w14:paraId="765476C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401FDEB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2F33323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val="en-US" w:eastAsia="zh-CN"/>
                    </w:rPr>
                    <w:t>2#厂房</w:t>
                  </w:r>
                </w:p>
              </w:tc>
              <w:tc>
                <w:tcPr>
                  <w:tcW w:w="2759" w:type="pct"/>
                  <w:noWrap w:val="0"/>
                  <w:vAlign w:val="center"/>
                </w:tcPr>
                <w:p w14:paraId="5EEE5079">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1920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797C8DC1">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产品生产</w:t>
                  </w:r>
                </w:p>
              </w:tc>
            </w:tr>
            <w:tr w14:paraId="070D56A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23764C07">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74E0FA3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val="en-US" w:eastAsia="zh-CN"/>
                    </w:rPr>
                    <w:t>3#厂房</w:t>
                  </w:r>
                </w:p>
              </w:tc>
              <w:tc>
                <w:tcPr>
                  <w:tcW w:w="2759" w:type="pct"/>
                  <w:noWrap w:val="0"/>
                  <w:vAlign w:val="center"/>
                </w:tcPr>
                <w:p w14:paraId="0D8F7B78">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3460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535F9D27">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lang w:eastAsia="zh-CN"/>
                    </w:rPr>
                    <w:t>产品生产</w:t>
                  </w:r>
                </w:p>
              </w:tc>
            </w:tr>
            <w:tr w14:paraId="03A297A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49EDFC62">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153C9A7E">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rPr>
                  </w:pPr>
                  <w:r>
                    <w:rPr>
                      <w:rFonts w:hint="default" w:ascii="Times New Roman" w:hAnsi="Times New Roman" w:eastAsia="宋体" w:cs="Times New Roman"/>
                      <w:b w:val="0"/>
                      <w:bCs/>
                      <w:color w:val="auto"/>
                      <w:w w:val="100"/>
                      <w:sz w:val="21"/>
                      <w:szCs w:val="21"/>
                      <w:highlight w:val="none"/>
                      <w:lang w:val="en-US" w:eastAsia="zh-CN"/>
                    </w:rPr>
                    <w:t>宿舍</w:t>
                  </w:r>
                </w:p>
              </w:tc>
              <w:tc>
                <w:tcPr>
                  <w:tcW w:w="2759" w:type="pct"/>
                  <w:noWrap w:val="0"/>
                  <w:vAlign w:val="center"/>
                </w:tcPr>
                <w:p w14:paraId="00882606">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480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687DA4B6">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员工住宿</w:t>
                  </w:r>
                </w:p>
              </w:tc>
            </w:tr>
            <w:tr w14:paraId="6ACC323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restart"/>
                  <w:noWrap w:val="0"/>
                  <w:vAlign w:val="center"/>
                </w:tcPr>
                <w:p w14:paraId="64CA1098">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贮运工程</w:t>
                  </w:r>
                </w:p>
              </w:tc>
              <w:tc>
                <w:tcPr>
                  <w:tcW w:w="500" w:type="pct"/>
                  <w:noWrap w:val="0"/>
                  <w:vAlign w:val="center"/>
                </w:tcPr>
                <w:p w14:paraId="07F50927">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办公楼</w:t>
                  </w:r>
                </w:p>
              </w:tc>
              <w:tc>
                <w:tcPr>
                  <w:tcW w:w="2759" w:type="pct"/>
                  <w:noWrap w:val="0"/>
                  <w:vAlign w:val="center"/>
                </w:tcPr>
                <w:p w14:paraId="2FF164CE">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2500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6E701585">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r>
                    <w:rPr>
                      <w:rFonts w:hint="default" w:ascii="Times New Roman" w:hAnsi="Times New Roman" w:eastAsia="宋体" w:cs="Times New Roman"/>
                      <w:b w:val="0"/>
                      <w:bCs/>
                      <w:color w:val="auto"/>
                      <w:w w:val="100"/>
                      <w:sz w:val="21"/>
                      <w:szCs w:val="21"/>
                      <w:highlight w:val="none"/>
                    </w:rPr>
                    <w:t>人员办公</w:t>
                  </w:r>
                </w:p>
              </w:tc>
            </w:tr>
            <w:tr w14:paraId="5909A4A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64B4B8B3">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3447E899">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rPr>
                    <w:t>仓库</w:t>
                  </w:r>
                </w:p>
              </w:tc>
              <w:tc>
                <w:tcPr>
                  <w:tcW w:w="2759" w:type="pct"/>
                  <w:noWrap w:val="0"/>
                  <w:vAlign w:val="center"/>
                </w:tcPr>
                <w:p w14:paraId="68422F2A">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1500</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35C9B83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bidi="ar-SA"/>
                    </w:rPr>
                    <w:t>原辅料存储</w:t>
                  </w:r>
                </w:p>
              </w:tc>
            </w:tr>
            <w:tr w14:paraId="40218B5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7913C41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1FFA7F12">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危化品库</w:t>
                  </w:r>
                </w:p>
              </w:tc>
              <w:tc>
                <w:tcPr>
                  <w:tcW w:w="2759" w:type="pct"/>
                  <w:noWrap w:val="0"/>
                  <w:vAlign w:val="center"/>
                </w:tcPr>
                <w:p w14:paraId="65E35895">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28</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4B51201E">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bidi="ar-SA"/>
                    </w:rPr>
                    <w:t>危化品存储</w:t>
                  </w:r>
                </w:p>
              </w:tc>
            </w:tr>
            <w:tr w14:paraId="39E9618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63318A9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rPr>
                  </w:pPr>
                </w:p>
              </w:tc>
              <w:tc>
                <w:tcPr>
                  <w:tcW w:w="500" w:type="pct"/>
                  <w:noWrap w:val="0"/>
                  <w:vAlign w:val="center"/>
                </w:tcPr>
                <w:p w14:paraId="1AC01B3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eastAsia="zh-CN"/>
                    </w:rPr>
                  </w:pPr>
                  <w:r>
                    <w:rPr>
                      <w:rFonts w:hint="default" w:ascii="Times New Roman" w:hAnsi="Times New Roman" w:eastAsia="宋体" w:cs="Times New Roman"/>
                      <w:b w:val="0"/>
                      <w:bCs/>
                      <w:color w:val="auto"/>
                      <w:w w:val="100"/>
                      <w:sz w:val="21"/>
                      <w:szCs w:val="21"/>
                      <w:highlight w:val="none"/>
                      <w:lang w:eastAsia="zh-CN"/>
                    </w:rPr>
                    <w:t>危废库</w:t>
                  </w:r>
                </w:p>
              </w:tc>
              <w:tc>
                <w:tcPr>
                  <w:tcW w:w="2759" w:type="pct"/>
                  <w:noWrap w:val="0"/>
                  <w:vAlign w:val="center"/>
                </w:tcPr>
                <w:p w14:paraId="38B6ACDE">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rPr>
                    <w:t>17.5</w:t>
                  </w:r>
                  <w:r>
                    <w:rPr>
                      <w:rFonts w:hint="default" w:ascii="Times New Roman" w:hAnsi="Times New Roman" w:eastAsia="宋体" w:cs="Times New Roman"/>
                      <w:b w:val="0"/>
                      <w:bCs/>
                      <w:color w:val="auto"/>
                      <w:w w:val="100"/>
                      <w:sz w:val="21"/>
                      <w:szCs w:val="21"/>
                      <w:highlight w:val="none"/>
                    </w:rPr>
                    <w:t>m</w:t>
                  </w:r>
                  <w:r>
                    <w:rPr>
                      <w:rFonts w:hint="default" w:ascii="Times New Roman" w:hAnsi="Times New Roman" w:eastAsia="宋体" w:cs="Times New Roman"/>
                      <w:b w:val="0"/>
                      <w:bCs/>
                      <w:color w:val="auto"/>
                      <w:w w:val="100"/>
                      <w:sz w:val="21"/>
                      <w:szCs w:val="21"/>
                      <w:highlight w:val="none"/>
                      <w:vertAlign w:val="superscript"/>
                    </w:rPr>
                    <w:t>2</w:t>
                  </w:r>
                </w:p>
              </w:tc>
              <w:tc>
                <w:tcPr>
                  <w:tcW w:w="1399" w:type="pct"/>
                  <w:noWrap w:val="0"/>
                  <w:vAlign w:val="center"/>
                </w:tcPr>
                <w:p w14:paraId="37272BC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val="0"/>
                      <w:bCs/>
                      <w:color w:val="auto"/>
                      <w:w w:val="100"/>
                      <w:sz w:val="21"/>
                      <w:szCs w:val="21"/>
                      <w:highlight w:val="none"/>
                      <w:lang w:val="en-US" w:eastAsia="zh-CN" w:bidi="ar-SA"/>
                    </w:rPr>
                  </w:pPr>
                  <w:r>
                    <w:rPr>
                      <w:rFonts w:hint="default" w:ascii="Times New Roman" w:hAnsi="Times New Roman" w:eastAsia="宋体" w:cs="Times New Roman"/>
                      <w:b w:val="0"/>
                      <w:bCs/>
                      <w:color w:val="auto"/>
                      <w:w w:val="100"/>
                      <w:sz w:val="21"/>
                      <w:szCs w:val="21"/>
                      <w:highlight w:val="none"/>
                      <w:lang w:val="en-US" w:eastAsia="zh-CN" w:bidi="ar-SA"/>
                    </w:rPr>
                    <w:t>危废暂存</w:t>
                  </w:r>
                </w:p>
              </w:tc>
            </w:tr>
            <w:tr w14:paraId="36C30AC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restart"/>
                  <w:noWrap w:val="0"/>
                  <w:vAlign w:val="center"/>
                </w:tcPr>
                <w:p w14:paraId="0B2DCEC1">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公用工程</w:t>
                  </w:r>
                </w:p>
              </w:tc>
              <w:tc>
                <w:tcPr>
                  <w:tcW w:w="500" w:type="pct"/>
                  <w:noWrap w:val="0"/>
                  <w:vAlign w:val="center"/>
                </w:tcPr>
                <w:p w14:paraId="41C8A06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给水</w:t>
                  </w:r>
                </w:p>
              </w:tc>
              <w:tc>
                <w:tcPr>
                  <w:tcW w:w="2759" w:type="pct"/>
                  <w:noWrap w:val="0"/>
                  <w:vAlign w:val="center"/>
                </w:tcPr>
                <w:p w14:paraId="2B7755C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1574.4</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p>
              </w:tc>
              <w:tc>
                <w:tcPr>
                  <w:tcW w:w="1399" w:type="pct"/>
                  <w:noWrap w:val="0"/>
                  <w:vAlign w:val="center"/>
                </w:tcPr>
                <w:p w14:paraId="6051669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市政自来水管网提供</w:t>
                  </w:r>
                </w:p>
              </w:tc>
            </w:tr>
            <w:tr w14:paraId="5FA84D4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5D887E4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noWrap w:val="0"/>
                  <w:vAlign w:val="center"/>
                </w:tcPr>
                <w:p w14:paraId="3BB15F81">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排水</w:t>
                  </w:r>
                </w:p>
              </w:tc>
              <w:tc>
                <w:tcPr>
                  <w:tcW w:w="2759" w:type="pct"/>
                  <w:noWrap w:val="0"/>
                  <w:vAlign w:val="center"/>
                </w:tcPr>
                <w:p w14:paraId="097450DA">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生活废水1080</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p>
              </w:tc>
              <w:tc>
                <w:tcPr>
                  <w:tcW w:w="1399" w:type="pct"/>
                  <w:noWrap w:val="0"/>
                  <w:vAlign w:val="center"/>
                </w:tcPr>
                <w:p w14:paraId="2EFC0F67">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eastAsia="zh-CN"/>
                    </w:rPr>
                  </w:pPr>
                  <w:r>
                    <w:rPr>
                      <w:rFonts w:hint="eastAsia" w:cs="Times New Roman"/>
                      <w:bCs/>
                      <w:color w:val="auto"/>
                      <w:w w:val="100"/>
                      <w:sz w:val="21"/>
                      <w:szCs w:val="21"/>
                      <w:highlight w:val="none"/>
                      <w:lang w:eastAsia="zh-CN"/>
                    </w:rPr>
                    <w:t>经化粪池处理后定期清掏</w:t>
                  </w:r>
                </w:p>
              </w:tc>
            </w:tr>
            <w:tr w14:paraId="0FE771D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030F19A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noWrap w:val="0"/>
                  <w:vAlign w:val="center"/>
                </w:tcPr>
                <w:p w14:paraId="681BDAAA">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供电</w:t>
                  </w:r>
                </w:p>
              </w:tc>
              <w:tc>
                <w:tcPr>
                  <w:tcW w:w="2759" w:type="pct"/>
                  <w:noWrap w:val="0"/>
                  <w:tcMar>
                    <w:left w:w="0" w:type="dxa"/>
                    <w:right w:w="0" w:type="dxa"/>
                  </w:tcMar>
                  <w:vAlign w:val="center"/>
                </w:tcPr>
                <w:p w14:paraId="2CF25E0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val="en-US" w:eastAsia="zh-CN"/>
                    </w:rPr>
                    <w:t>700</w:t>
                  </w:r>
                  <w:r>
                    <w:rPr>
                      <w:rFonts w:hint="default" w:ascii="Times New Roman" w:hAnsi="Times New Roman" w:eastAsia="宋体" w:cs="Times New Roman"/>
                      <w:bCs/>
                      <w:color w:val="auto"/>
                      <w:w w:val="100"/>
                      <w:sz w:val="21"/>
                      <w:szCs w:val="21"/>
                      <w:highlight w:val="none"/>
                    </w:rPr>
                    <w:t>万KWh/a</w:t>
                  </w:r>
                </w:p>
              </w:tc>
              <w:tc>
                <w:tcPr>
                  <w:tcW w:w="1399" w:type="pct"/>
                  <w:noWrap w:val="0"/>
                  <w:tcMar>
                    <w:left w:w="0" w:type="dxa"/>
                    <w:right w:w="0" w:type="dxa"/>
                  </w:tcMar>
                  <w:vAlign w:val="center"/>
                </w:tcPr>
                <w:p w14:paraId="4A291AED">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来自市政电网</w:t>
                  </w:r>
                </w:p>
              </w:tc>
            </w:tr>
            <w:tr w14:paraId="4F8AF7C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restart"/>
                  <w:noWrap w:val="0"/>
                  <w:vAlign w:val="center"/>
                </w:tcPr>
                <w:p w14:paraId="02582168">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shd w:val="clear" w:color="FFFFFF" w:fill="auto"/>
                    </w:rPr>
                    <w:t>环保工程</w:t>
                  </w:r>
                </w:p>
              </w:tc>
              <w:tc>
                <w:tcPr>
                  <w:tcW w:w="500" w:type="pct"/>
                  <w:noWrap w:val="0"/>
                  <w:vAlign w:val="center"/>
                </w:tcPr>
                <w:p w14:paraId="2F3E0EC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废气</w:t>
                  </w:r>
                </w:p>
              </w:tc>
              <w:tc>
                <w:tcPr>
                  <w:tcW w:w="2759" w:type="pct"/>
                  <w:noWrap w:val="0"/>
                  <w:tcMar>
                    <w:left w:w="0" w:type="dxa"/>
                    <w:right w:w="0" w:type="dxa"/>
                  </w:tcMar>
                  <w:vAlign w:val="center"/>
                </w:tcPr>
                <w:p w14:paraId="7FEFE746">
                  <w:pPr>
                    <w:keepNext w:val="0"/>
                    <w:keepLines w:val="0"/>
                    <w:pageBreakBefore w:val="0"/>
                    <w:widowControl/>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lang w:val="en-US" w:eastAsia="zh-CN" w:bidi="ar-SA"/>
                    </w:rPr>
                  </w:pPr>
                  <w:r>
                    <w:rPr>
                      <w:rFonts w:hint="eastAsia" w:ascii="Times New Roman" w:eastAsia="宋体"/>
                      <w:color w:val="auto"/>
                      <w:szCs w:val="21"/>
                      <w:lang w:val="en-US" w:eastAsia="zh-CN"/>
                    </w:rPr>
                    <w:t>5套</w:t>
                  </w:r>
                  <w:r>
                    <w:rPr>
                      <w:rFonts w:hint="eastAsia"/>
                      <w:color w:val="auto"/>
                      <w:szCs w:val="21"/>
                    </w:rPr>
                    <w:t>负压集气系统+布袋除尘</w:t>
                  </w:r>
                  <w:r>
                    <w:rPr>
                      <w:rFonts w:hint="eastAsia"/>
                      <w:bCs/>
                      <w:color w:val="auto"/>
                      <w:szCs w:val="21"/>
                    </w:rPr>
                    <w:t>装置，</w:t>
                  </w:r>
                  <w:r>
                    <w:rPr>
                      <w:color w:val="auto"/>
                      <w:szCs w:val="21"/>
                    </w:rPr>
                    <w:t>风机风量</w:t>
                  </w:r>
                  <w:r>
                    <w:rPr>
                      <w:rFonts w:hint="eastAsia"/>
                      <w:color w:val="auto"/>
                      <w:szCs w:val="21"/>
                    </w:rPr>
                    <w:t>1</w:t>
                  </w:r>
                  <w:r>
                    <w:rPr>
                      <w:color w:val="auto"/>
                      <w:szCs w:val="21"/>
                    </w:rPr>
                    <w:t>0</w:t>
                  </w:r>
                  <w:r>
                    <w:rPr>
                      <w:rFonts w:hint="eastAsia"/>
                      <w:color w:val="auto"/>
                      <w:szCs w:val="21"/>
                    </w:rPr>
                    <w:t>0</w:t>
                  </w:r>
                  <w:r>
                    <w:rPr>
                      <w:color w:val="auto"/>
                      <w:szCs w:val="21"/>
                    </w:rPr>
                    <w:t>00m</w:t>
                  </w:r>
                  <w:r>
                    <w:rPr>
                      <w:color w:val="auto"/>
                      <w:szCs w:val="21"/>
                      <w:vertAlign w:val="superscript"/>
                    </w:rPr>
                    <w:t>3</w:t>
                  </w:r>
                  <w:r>
                    <w:rPr>
                      <w:color w:val="auto"/>
                      <w:szCs w:val="21"/>
                    </w:rPr>
                    <w:t>/h</w:t>
                  </w:r>
                  <w:r>
                    <w:rPr>
                      <w:rFonts w:hint="eastAsia"/>
                      <w:color w:val="auto"/>
                      <w:szCs w:val="21"/>
                    </w:rPr>
                    <w:t>；</w:t>
                  </w:r>
                  <w:r>
                    <w:rPr>
                      <w:rFonts w:hint="eastAsia" w:ascii="Times New Roman" w:eastAsia="宋体"/>
                      <w:color w:val="auto"/>
                      <w:szCs w:val="21"/>
                      <w:lang w:val="en-US" w:eastAsia="zh-CN"/>
                    </w:rPr>
                    <w:t>1</w:t>
                  </w:r>
                  <w:r>
                    <w:rPr>
                      <w:rFonts w:hint="eastAsia"/>
                      <w:color w:val="auto"/>
                      <w:szCs w:val="21"/>
                    </w:rPr>
                    <w:t>套负压集气系统</w:t>
                  </w:r>
                  <w:r>
                    <w:rPr>
                      <w:rFonts w:hint="eastAsia" w:eastAsia="宋体"/>
                      <w:color w:val="auto"/>
                      <w:szCs w:val="21"/>
                      <w:lang w:eastAsia="zh-CN"/>
                    </w:rPr>
                    <w:t>布袋除尘器</w:t>
                  </w:r>
                  <w:r>
                    <w:rPr>
                      <w:rFonts w:hint="eastAsia"/>
                      <w:color w:val="auto"/>
                      <w:szCs w:val="21"/>
                    </w:rPr>
                    <w:t>+二级活性炭</w:t>
                  </w:r>
                  <w:r>
                    <w:rPr>
                      <w:rFonts w:hint="eastAsia"/>
                      <w:bCs/>
                      <w:color w:val="auto"/>
                      <w:szCs w:val="21"/>
                    </w:rPr>
                    <w:t>装置，</w:t>
                  </w:r>
                  <w:r>
                    <w:rPr>
                      <w:rFonts w:hint="eastAsia"/>
                      <w:color w:val="auto"/>
                      <w:szCs w:val="21"/>
                    </w:rPr>
                    <w:t>风机风量10000</w:t>
                  </w:r>
                  <w:r>
                    <w:rPr>
                      <w:color w:val="auto"/>
                      <w:szCs w:val="21"/>
                    </w:rPr>
                    <w:t>m</w:t>
                  </w:r>
                  <w:r>
                    <w:rPr>
                      <w:color w:val="auto"/>
                      <w:szCs w:val="21"/>
                      <w:vertAlign w:val="superscript"/>
                    </w:rPr>
                    <w:t>3</w:t>
                  </w:r>
                  <w:r>
                    <w:rPr>
                      <w:color w:val="auto"/>
                      <w:szCs w:val="21"/>
                    </w:rPr>
                    <w:t>/h</w:t>
                  </w:r>
                  <w:r>
                    <w:rPr>
                      <w:rFonts w:hint="eastAsia"/>
                      <w:color w:val="auto"/>
                      <w:szCs w:val="21"/>
                    </w:rPr>
                    <w:t>；</w:t>
                  </w:r>
                  <w:r>
                    <w:rPr>
                      <w:rFonts w:hint="eastAsia" w:ascii="Times New Roman" w:eastAsia="宋体"/>
                      <w:color w:val="auto"/>
                      <w:szCs w:val="21"/>
                      <w:lang w:val="en-US" w:eastAsia="zh-CN"/>
                    </w:rPr>
                    <w:t>1</w:t>
                  </w:r>
                  <w:r>
                    <w:rPr>
                      <w:rFonts w:hint="eastAsia"/>
                      <w:color w:val="auto"/>
                      <w:szCs w:val="21"/>
                    </w:rPr>
                    <w:t>套负压集气系统</w:t>
                  </w:r>
                  <w:r>
                    <w:rPr>
                      <w:rFonts w:hint="eastAsia" w:eastAsia="宋体"/>
                      <w:color w:val="auto"/>
                      <w:szCs w:val="21"/>
                      <w:lang w:eastAsia="zh-CN"/>
                    </w:rPr>
                    <w:t>水喷淋</w:t>
                  </w:r>
                  <w:r>
                    <w:rPr>
                      <w:rFonts w:hint="eastAsia"/>
                      <w:color w:val="auto"/>
                      <w:szCs w:val="21"/>
                    </w:rPr>
                    <w:t>+二级活性炭装置，风机风量10000m</w:t>
                  </w:r>
                  <w:r>
                    <w:rPr>
                      <w:rFonts w:hint="eastAsia"/>
                      <w:color w:val="auto"/>
                      <w:szCs w:val="21"/>
                      <w:vertAlign w:val="superscript"/>
                    </w:rPr>
                    <w:t>3</w:t>
                  </w:r>
                  <w:r>
                    <w:rPr>
                      <w:rFonts w:hint="eastAsia"/>
                      <w:color w:val="auto"/>
                      <w:szCs w:val="21"/>
                    </w:rPr>
                    <w:t>/h；1套负压集气系统</w:t>
                  </w:r>
                  <w:r>
                    <w:rPr>
                      <w:rFonts w:hint="eastAsia" w:eastAsia="宋体"/>
                      <w:color w:val="auto"/>
                      <w:szCs w:val="21"/>
                      <w:lang w:eastAsia="zh-CN"/>
                    </w:rPr>
                    <w:t>水喷淋</w:t>
                  </w:r>
                  <w:r>
                    <w:rPr>
                      <w:rFonts w:hint="eastAsia"/>
                      <w:color w:val="auto"/>
                      <w:szCs w:val="21"/>
                    </w:rPr>
                    <w:t>+RCO</w:t>
                  </w:r>
                  <w:r>
                    <w:rPr>
                      <w:rFonts w:hint="eastAsia"/>
                      <w:bCs/>
                      <w:color w:val="auto"/>
                      <w:szCs w:val="21"/>
                    </w:rPr>
                    <w:t>装置，</w:t>
                  </w:r>
                  <w:r>
                    <w:rPr>
                      <w:rFonts w:hint="eastAsia"/>
                      <w:color w:val="auto"/>
                      <w:szCs w:val="21"/>
                    </w:rPr>
                    <w:t>风机风量20000</w:t>
                  </w:r>
                  <w:r>
                    <w:rPr>
                      <w:color w:val="auto"/>
                      <w:szCs w:val="21"/>
                    </w:rPr>
                    <w:t>m</w:t>
                  </w:r>
                  <w:r>
                    <w:rPr>
                      <w:color w:val="auto"/>
                      <w:szCs w:val="21"/>
                      <w:vertAlign w:val="superscript"/>
                    </w:rPr>
                    <w:t>3</w:t>
                  </w:r>
                  <w:r>
                    <w:rPr>
                      <w:color w:val="auto"/>
                      <w:szCs w:val="21"/>
                    </w:rPr>
                    <w:t>/h</w:t>
                  </w:r>
                </w:p>
              </w:tc>
              <w:tc>
                <w:tcPr>
                  <w:tcW w:w="1399" w:type="pct"/>
                  <w:noWrap w:val="0"/>
                  <w:tcMar>
                    <w:left w:w="0" w:type="dxa"/>
                    <w:right w:w="0" w:type="dxa"/>
                  </w:tcMar>
                  <w:vAlign w:val="center"/>
                </w:tcPr>
                <w:p w14:paraId="30E70AA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val="en-US" w:eastAsia="zh-CN"/>
                    </w:rPr>
                  </w:pPr>
                  <w:r>
                    <w:rPr>
                      <w:rFonts w:hint="eastAsia" w:ascii="Times New Roman" w:hAnsi="Times New Roman" w:eastAsia="宋体" w:cs="Times New Roman"/>
                      <w:bCs/>
                      <w:color w:val="auto"/>
                      <w:w w:val="100"/>
                      <w:sz w:val="21"/>
                      <w:szCs w:val="21"/>
                      <w:highlight w:val="none"/>
                      <w:lang w:val="en-US" w:eastAsia="zh-CN"/>
                    </w:rPr>
                    <w:t>废气处理设施</w:t>
                  </w:r>
                </w:p>
              </w:tc>
            </w:tr>
            <w:tr w14:paraId="4C5A4C0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73BAB9BB">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vMerge w:val="restart"/>
                  <w:noWrap w:val="0"/>
                  <w:vAlign w:val="center"/>
                </w:tcPr>
                <w:p w14:paraId="21AD96D2">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废水</w:t>
                  </w:r>
                </w:p>
              </w:tc>
              <w:tc>
                <w:tcPr>
                  <w:tcW w:w="2759" w:type="pct"/>
                  <w:noWrap w:val="0"/>
                  <w:tcMar>
                    <w:left w:w="0" w:type="dxa"/>
                    <w:right w:w="0" w:type="dxa"/>
                  </w:tcMar>
                  <w:vAlign w:val="center"/>
                </w:tcPr>
                <w:p w14:paraId="43E47D0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循环冷却水</w:t>
                  </w:r>
                </w:p>
              </w:tc>
              <w:tc>
                <w:tcPr>
                  <w:tcW w:w="1399" w:type="pct"/>
                  <w:noWrap w:val="0"/>
                  <w:tcMar>
                    <w:left w:w="0" w:type="dxa"/>
                    <w:right w:w="0" w:type="dxa"/>
                  </w:tcMar>
                  <w:vAlign w:val="center"/>
                </w:tcPr>
                <w:p w14:paraId="191F73A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lang w:val="en-US" w:eastAsia="zh-CN"/>
                    </w:rPr>
                    <w:t>絮凝后循环使用</w:t>
                  </w:r>
                </w:p>
              </w:tc>
            </w:tr>
            <w:tr w14:paraId="3F59749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4DA6EB8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vMerge w:val="continue"/>
                  <w:noWrap w:val="0"/>
                  <w:vAlign w:val="center"/>
                </w:tcPr>
                <w:p w14:paraId="47783729">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2759" w:type="pct"/>
                  <w:noWrap w:val="0"/>
                  <w:tcMar>
                    <w:left w:w="0" w:type="dxa"/>
                    <w:right w:w="0" w:type="dxa"/>
                  </w:tcMar>
                  <w:vAlign w:val="center"/>
                </w:tcPr>
                <w:p w14:paraId="7F13B12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清洗废水</w:t>
                  </w:r>
                </w:p>
              </w:tc>
              <w:tc>
                <w:tcPr>
                  <w:tcW w:w="1399" w:type="pct"/>
                  <w:noWrap w:val="0"/>
                  <w:tcMar>
                    <w:left w:w="0" w:type="dxa"/>
                    <w:right w:w="0" w:type="dxa"/>
                  </w:tcMar>
                  <w:vAlign w:val="center"/>
                </w:tcPr>
                <w:p w14:paraId="6C86D2A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lang w:val="en-US" w:eastAsia="zh-CN"/>
                    </w:rPr>
                    <w:t>经沉淀池处理后循环使用</w:t>
                  </w:r>
                </w:p>
              </w:tc>
            </w:tr>
            <w:tr w14:paraId="3D12941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4BBE4F9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vMerge w:val="continue"/>
                  <w:noWrap w:val="0"/>
                  <w:vAlign w:val="center"/>
                </w:tcPr>
                <w:p w14:paraId="13C892B1">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2759" w:type="pct"/>
                  <w:noWrap w:val="0"/>
                  <w:tcMar>
                    <w:left w:w="0" w:type="dxa"/>
                    <w:right w:w="0" w:type="dxa"/>
                  </w:tcMar>
                  <w:vAlign w:val="center"/>
                </w:tcPr>
                <w:p w14:paraId="6A0ABDFA">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lang w:val="en-US" w:eastAsia="zh-CN"/>
                    </w:rPr>
                    <w:t>员工生活废水1080</w:t>
                  </w:r>
                  <w:r>
                    <w:rPr>
                      <w:rFonts w:hint="default" w:ascii="Times New Roman" w:hAnsi="Times New Roman" w:eastAsia="宋体" w:cs="Times New Roman"/>
                      <w:bCs/>
                      <w:color w:val="auto"/>
                      <w:w w:val="100"/>
                      <w:sz w:val="21"/>
                      <w:szCs w:val="21"/>
                      <w:highlight w:val="none"/>
                    </w:rPr>
                    <w:t>m</w:t>
                  </w:r>
                  <w:r>
                    <w:rPr>
                      <w:rFonts w:hint="default" w:ascii="Times New Roman" w:hAnsi="Times New Roman" w:eastAsia="宋体" w:cs="Times New Roman"/>
                      <w:bCs/>
                      <w:color w:val="auto"/>
                      <w:w w:val="100"/>
                      <w:sz w:val="21"/>
                      <w:szCs w:val="21"/>
                      <w:highlight w:val="none"/>
                      <w:vertAlign w:val="superscript"/>
                    </w:rPr>
                    <w:t>3</w:t>
                  </w:r>
                  <w:r>
                    <w:rPr>
                      <w:rFonts w:hint="default" w:ascii="Times New Roman" w:hAnsi="Times New Roman" w:eastAsia="宋体" w:cs="Times New Roman"/>
                      <w:bCs/>
                      <w:color w:val="auto"/>
                      <w:w w:val="100"/>
                      <w:sz w:val="21"/>
                      <w:szCs w:val="21"/>
                      <w:highlight w:val="none"/>
                    </w:rPr>
                    <w:t>/a</w:t>
                  </w:r>
                </w:p>
              </w:tc>
              <w:tc>
                <w:tcPr>
                  <w:tcW w:w="1399" w:type="pct"/>
                  <w:noWrap w:val="0"/>
                  <w:tcMar>
                    <w:left w:w="0" w:type="dxa"/>
                    <w:right w:w="0" w:type="dxa"/>
                  </w:tcMar>
                  <w:vAlign w:val="center"/>
                </w:tcPr>
                <w:p w14:paraId="7794EAF2">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eastAsia="zh-CN"/>
                    </w:rPr>
                  </w:pPr>
                  <w:r>
                    <w:rPr>
                      <w:rFonts w:hint="default" w:ascii="Times New Roman" w:hAnsi="Times New Roman" w:eastAsia="宋体" w:cs="Times New Roman"/>
                      <w:bCs/>
                      <w:color w:val="auto"/>
                      <w:w w:val="100"/>
                      <w:sz w:val="21"/>
                      <w:szCs w:val="21"/>
                      <w:highlight w:val="none"/>
                    </w:rPr>
                    <w:t>经化粪池处理后</w:t>
                  </w:r>
                  <w:r>
                    <w:rPr>
                      <w:rFonts w:hint="default" w:ascii="Times New Roman" w:hAnsi="Times New Roman" w:eastAsia="宋体" w:cs="Times New Roman"/>
                      <w:bCs/>
                      <w:color w:val="auto"/>
                      <w:w w:val="100"/>
                      <w:sz w:val="21"/>
                      <w:szCs w:val="21"/>
                      <w:highlight w:val="none"/>
                      <w:lang w:eastAsia="zh-CN"/>
                    </w:rPr>
                    <w:t>定期清掏</w:t>
                  </w:r>
                </w:p>
              </w:tc>
            </w:tr>
            <w:tr w14:paraId="62EE3E0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64FA6F3F">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noWrap w:val="0"/>
                  <w:vAlign w:val="center"/>
                </w:tcPr>
                <w:p w14:paraId="7660AFB8">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噪声</w:t>
                  </w:r>
                </w:p>
              </w:tc>
              <w:tc>
                <w:tcPr>
                  <w:tcW w:w="2759" w:type="pct"/>
                  <w:noWrap w:val="0"/>
                  <w:vAlign w:val="center"/>
                </w:tcPr>
                <w:p w14:paraId="60D985F8">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rPr>
                    <w:t>车间隔声，厂房隔声，设备合理布局等。</w:t>
                  </w:r>
                </w:p>
              </w:tc>
              <w:tc>
                <w:tcPr>
                  <w:tcW w:w="1399" w:type="pct"/>
                  <w:noWrap w:val="0"/>
                  <w:vAlign w:val="center"/>
                </w:tcPr>
                <w:p w14:paraId="4484DB4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rPr>
                  </w:pPr>
                  <w:r>
                    <w:rPr>
                      <w:rFonts w:hint="default" w:ascii="Times New Roman" w:hAnsi="Times New Roman" w:eastAsia="宋体" w:cs="Times New Roman"/>
                      <w:bCs/>
                      <w:color w:val="auto"/>
                      <w:w w:val="100"/>
                      <w:sz w:val="21"/>
                      <w:szCs w:val="21"/>
                      <w:highlight w:val="none"/>
                    </w:rPr>
                    <w:t>满足环境管理要求</w:t>
                  </w:r>
                </w:p>
              </w:tc>
            </w:tr>
            <w:tr w14:paraId="45AB192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5805569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noWrap w:val="0"/>
                  <w:vAlign w:val="center"/>
                </w:tcPr>
                <w:p w14:paraId="3286E8E0">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r>
                    <w:rPr>
                      <w:rFonts w:hint="default" w:ascii="Times New Roman" w:hAnsi="Times New Roman" w:eastAsia="宋体" w:cs="Times New Roman"/>
                      <w:bCs/>
                      <w:color w:val="auto"/>
                      <w:w w:val="100"/>
                      <w:sz w:val="21"/>
                      <w:szCs w:val="21"/>
                      <w:highlight w:val="none"/>
                    </w:rPr>
                    <w:t>固废</w:t>
                  </w:r>
                </w:p>
              </w:tc>
              <w:tc>
                <w:tcPr>
                  <w:tcW w:w="2759" w:type="pct"/>
                  <w:noWrap w:val="0"/>
                  <w:vAlign w:val="center"/>
                </w:tcPr>
                <w:p w14:paraId="6CB2239C">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val="en-US" w:eastAsia="zh-CN" w:bidi="ar-SA"/>
                    </w:rPr>
                  </w:pPr>
                  <w:r>
                    <w:rPr>
                      <w:rFonts w:hint="default" w:ascii="Times New Roman" w:hAnsi="Times New Roman" w:eastAsia="宋体" w:cs="Times New Roman"/>
                      <w:bCs/>
                      <w:color w:val="auto"/>
                      <w:w w:val="100"/>
                      <w:sz w:val="21"/>
                      <w:szCs w:val="21"/>
                      <w:highlight w:val="none"/>
                    </w:rPr>
                    <w:t>一般固废暂存点</w:t>
                  </w:r>
                </w:p>
              </w:tc>
              <w:tc>
                <w:tcPr>
                  <w:tcW w:w="1399" w:type="pct"/>
                  <w:noWrap w:val="0"/>
                  <w:vAlign w:val="center"/>
                </w:tcPr>
                <w:p w14:paraId="3ADEB54F">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lang w:eastAsia="zh-CN"/>
                    </w:rPr>
                  </w:pPr>
                  <w:r>
                    <w:rPr>
                      <w:rFonts w:hint="default" w:ascii="Times New Roman" w:hAnsi="Times New Roman" w:eastAsia="宋体" w:cs="Times New Roman"/>
                      <w:color w:val="auto"/>
                      <w:sz w:val="21"/>
                      <w:szCs w:val="21"/>
                    </w:rPr>
                    <w:t>位于</w:t>
                  </w:r>
                  <w:r>
                    <w:rPr>
                      <w:rFonts w:hint="default" w:ascii="Times New Roman" w:hAnsi="Times New Roman" w:eastAsia="宋体" w:cs="Times New Roman"/>
                      <w:color w:val="auto"/>
                      <w:sz w:val="21"/>
                      <w:szCs w:val="21"/>
                      <w:lang w:val="en-US" w:eastAsia="zh-CN"/>
                    </w:rPr>
                    <w:t>1#厂房</w:t>
                  </w:r>
                  <w:r>
                    <w:rPr>
                      <w:rFonts w:hint="default" w:ascii="Times New Roman" w:hAnsi="Times New Roman" w:eastAsia="宋体" w:cs="Times New Roman"/>
                      <w:color w:val="auto"/>
                      <w:sz w:val="21"/>
                      <w:szCs w:val="21"/>
                    </w:rPr>
                    <w:t>，面积</w:t>
                  </w:r>
                  <w:r>
                    <w:rPr>
                      <w:rFonts w:hint="eastAsia" w:cs="Times New Roman"/>
                      <w:color w:val="auto"/>
                      <w:sz w:val="21"/>
                      <w:szCs w:val="21"/>
                      <w:lang w:val="en-US" w:eastAsia="zh-CN"/>
                    </w:rPr>
                    <w:t>100</w:t>
                  </w:r>
                  <w:r>
                    <w:rPr>
                      <w:rFonts w:hint="default" w:ascii="Times New Roman" w:hAnsi="Times New Roman" w:eastAsia="宋体" w:cs="Times New Roman"/>
                      <w:color w:val="auto"/>
                      <w:sz w:val="21"/>
                      <w:szCs w:val="21"/>
                      <w:lang w:eastAsia="zh-CN"/>
                    </w:rPr>
                    <w:t>m</w:t>
                  </w:r>
                  <w:r>
                    <w:rPr>
                      <w:rFonts w:hint="default" w:ascii="Times New Roman" w:hAnsi="Times New Roman" w:eastAsia="宋体" w:cs="Times New Roman"/>
                      <w:color w:val="auto"/>
                      <w:sz w:val="21"/>
                      <w:szCs w:val="21"/>
                      <w:vertAlign w:val="superscript"/>
                      <w:lang w:eastAsia="zh-CN"/>
                    </w:rPr>
                    <w:t>2</w:t>
                  </w:r>
                </w:p>
              </w:tc>
            </w:tr>
            <w:tr w14:paraId="0B1F572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454" w:hRule="atLeast"/>
                <w:jc w:val="center"/>
              </w:trPr>
              <w:tc>
                <w:tcPr>
                  <w:tcW w:w="340" w:type="pct"/>
                  <w:vMerge w:val="continue"/>
                  <w:noWrap w:val="0"/>
                  <w:vAlign w:val="center"/>
                </w:tcPr>
                <w:p w14:paraId="0AA57C6E">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yellow"/>
                    </w:rPr>
                  </w:pPr>
                </w:p>
              </w:tc>
              <w:tc>
                <w:tcPr>
                  <w:tcW w:w="500" w:type="pct"/>
                  <w:noWrap w:val="0"/>
                  <w:vAlign w:val="center"/>
                </w:tcPr>
                <w:p w14:paraId="08E11FB4">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eastAsia="zh-CN"/>
                    </w:rPr>
                    <w:t>危废</w:t>
                  </w:r>
                </w:p>
              </w:tc>
              <w:tc>
                <w:tcPr>
                  <w:tcW w:w="2759" w:type="pct"/>
                  <w:noWrap w:val="0"/>
                  <w:vAlign w:val="center"/>
                </w:tcPr>
                <w:p w14:paraId="21C2B58D">
                  <w:pPr>
                    <w:keepNext w:val="0"/>
                    <w:keepLines w:val="0"/>
                    <w:pageBreakBefore w:val="0"/>
                    <w:widowControl/>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lang w:eastAsia="zh-CN"/>
                    </w:rPr>
                    <w:t>危废库</w:t>
                  </w:r>
                </w:p>
              </w:tc>
              <w:tc>
                <w:tcPr>
                  <w:tcW w:w="1399" w:type="pct"/>
                  <w:noWrap w:val="0"/>
                  <w:vAlign w:val="center"/>
                </w:tcPr>
                <w:p w14:paraId="1B264B1E">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Cs/>
                      <w:color w:val="auto"/>
                      <w:w w:val="100"/>
                      <w:sz w:val="21"/>
                      <w:szCs w:val="21"/>
                      <w:highlight w:val="none"/>
                      <w:lang w:val="en-US" w:eastAsia="zh-CN" w:bidi="ar-SA"/>
                    </w:rPr>
                  </w:pPr>
                  <w:r>
                    <w:rPr>
                      <w:rFonts w:hint="default" w:ascii="Times New Roman" w:hAnsi="Times New Roman" w:eastAsia="宋体" w:cs="Times New Roman"/>
                      <w:bCs/>
                      <w:color w:val="auto"/>
                      <w:w w:val="100"/>
                      <w:sz w:val="21"/>
                      <w:szCs w:val="21"/>
                      <w:highlight w:val="none"/>
                    </w:rPr>
                    <w:t>位于厂区</w:t>
                  </w:r>
                  <w:r>
                    <w:rPr>
                      <w:rFonts w:hint="default" w:ascii="Times New Roman" w:hAnsi="Times New Roman" w:eastAsia="宋体" w:cs="Times New Roman"/>
                      <w:bCs/>
                      <w:color w:val="auto"/>
                      <w:w w:val="100"/>
                      <w:sz w:val="21"/>
                      <w:szCs w:val="21"/>
                      <w:highlight w:val="none"/>
                      <w:lang w:eastAsia="zh-CN"/>
                    </w:rPr>
                    <w:t>西南</w:t>
                  </w:r>
                  <w:r>
                    <w:rPr>
                      <w:rFonts w:hint="default" w:ascii="Times New Roman" w:hAnsi="Times New Roman" w:eastAsia="宋体" w:cs="Times New Roman"/>
                      <w:bCs/>
                      <w:color w:val="auto"/>
                      <w:w w:val="100"/>
                      <w:sz w:val="21"/>
                      <w:szCs w:val="21"/>
                      <w:highlight w:val="none"/>
                    </w:rPr>
                    <w:t>侧，面积</w:t>
                  </w:r>
                  <w:r>
                    <w:rPr>
                      <w:rFonts w:hint="default" w:ascii="Times New Roman" w:hAnsi="Times New Roman" w:eastAsia="宋体" w:cs="Times New Roman"/>
                      <w:bCs/>
                      <w:color w:val="auto"/>
                      <w:w w:val="100"/>
                      <w:sz w:val="21"/>
                      <w:szCs w:val="21"/>
                      <w:highlight w:val="none"/>
                      <w:lang w:eastAsia="zh-CN"/>
                    </w:rPr>
                    <w:t>1</w:t>
                  </w:r>
                  <w:r>
                    <w:rPr>
                      <w:rFonts w:hint="default" w:ascii="Times New Roman" w:hAnsi="Times New Roman" w:eastAsia="宋体" w:cs="Times New Roman"/>
                      <w:bCs/>
                      <w:color w:val="auto"/>
                      <w:w w:val="100"/>
                      <w:sz w:val="21"/>
                      <w:szCs w:val="21"/>
                      <w:highlight w:val="none"/>
                      <w:lang w:val="en-US" w:eastAsia="zh-CN"/>
                    </w:rPr>
                    <w:t>7.5</w:t>
                  </w:r>
                  <w:r>
                    <w:rPr>
                      <w:rFonts w:hint="default" w:ascii="Times New Roman" w:hAnsi="Times New Roman" w:eastAsia="宋体" w:cs="Times New Roman"/>
                      <w:bCs/>
                      <w:color w:val="auto"/>
                      <w:w w:val="100"/>
                      <w:sz w:val="21"/>
                      <w:szCs w:val="21"/>
                      <w:highlight w:val="none"/>
                      <w:lang w:eastAsia="zh-CN"/>
                    </w:rPr>
                    <w:t>m</w:t>
                  </w:r>
                  <w:r>
                    <w:rPr>
                      <w:rFonts w:hint="default" w:ascii="Times New Roman" w:hAnsi="Times New Roman" w:eastAsia="宋体" w:cs="Times New Roman"/>
                      <w:bCs/>
                      <w:color w:val="auto"/>
                      <w:w w:val="100"/>
                      <w:sz w:val="21"/>
                      <w:szCs w:val="21"/>
                      <w:highlight w:val="none"/>
                      <w:vertAlign w:val="superscript"/>
                      <w:lang w:eastAsia="zh-CN"/>
                    </w:rPr>
                    <w:t>2</w:t>
                  </w:r>
                </w:p>
              </w:tc>
            </w:tr>
          </w:tbl>
          <w:p w14:paraId="4D98F4AB">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2" w:firstLineChars="200"/>
              <w:jc w:val="left"/>
              <w:textAlignment w:val="auto"/>
              <w:outlineLvl w:val="9"/>
              <w:rPr>
                <w:rFonts w:hint="default" w:ascii="Times New Roman" w:hAnsi="Times New Roman" w:eastAsia="宋体" w:cs="Times New Roman"/>
                <w:bCs/>
                <w:color w:val="auto"/>
                <w:sz w:val="22"/>
                <w:szCs w:val="22"/>
              </w:rPr>
            </w:pPr>
            <w:r>
              <w:rPr>
                <w:rFonts w:hint="eastAsia" w:cs="Times New Roman"/>
                <w:b/>
                <w:bCs w:val="0"/>
                <w:color w:val="auto"/>
                <w:sz w:val="22"/>
                <w:szCs w:val="22"/>
                <w:lang w:val="en-US" w:eastAsia="zh-CN"/>
              </w:rPr>
              <w:t>4.</w:t>
            </w:r>
            <w:r>
              <w:rPr>
                <w:rFonts w:hint="default" w:ascii="Times New Roman" w:hAnsi="Times New Roman" w:eastAsia="宋体" w:cs="Times New Roman"/>
                <w:b/>
                <w:bCs w:val="0"/>
                <w:color w:val="auto"/>
                <w:sz w:val="22"/>
                <w:szCs w:val="22"/>
                <w:lang w:val="en-US" w:eastAsia="zh-CN"/>
              </w:rPr>
              <w:t>现有项目污染物治理、排放情况</w:t>
            </w:r>
          </w:p>
          <w:p w14:paraId="2CFFE231">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sz w:val="22"/>
                <w:szCs w:val="22"/>
                <w:lang w:val="en-US" w:eastAsia="zh-CN"/>
              </w:rPr>
            </w:pPr>
            <w:r>
              <w:rPr>
                <w:rFonts w:hint="default" w:ascii="Times New Roman" w:hAnsi="Times New Roman" w:eastAsia="宋体" w:cs="Times New Roman"/>
                <w:bCs/>
                <w:color w:val="auto"/>
                <w:sz w:val="22"/>
                <w:szCs w:val="22"/>
                <w:lang w:val="en-US" w:eastAsia="zh-CN"/>
              </w:rPr>
              <w:t>现有项目三废污染物产排及治理情况如表2-1</w:t>
            </w:r>
            <w:r>
              <w:rPr>
                <w:rFonts w:hint="eastAsia" w:cs="Times New Roman"/>
                <w:bCs/>
                <w:color w:val="auto"/>
                <w:sz w:val="22"/>
                <w:szCs w:val="22"/>
                <w:lang w:val="en-US" w:eastAsia="zh-CN"/>
              </w:rPr>
              <w:t>2</w:t>
            </w:r>
            <w:r>
              <w:rPr>
                <w:rFonts w:hint="default" w:ascii="Times New Roman" w:hAnsi="Times New Roman" w:eastAsia="宋体" w:cs="Times New Roman"/>
                <w:bCs/>
                <w:color w:val="auto"/>
                <w:sz w:val="22"/>
                <w:szCs w:val="22"/>
                <w:lang w:val="en-US" w:eastAsia="zh-CN"/>
              </w:rPr>
              <w:t>所示。</w:t>
            </w:r>
          </w:p>
          <w:p w14:paraId="34805952">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0" w:firstLineChars="0"/>
              <w:jc w:val="center"/>
              <w:textAlignment w:val="auto"/>
              <w:outlineLvl w:val="9"/>
              <w:rPr>
                <w:rFonts w:hint="default" w:ascii="Times New Roman" w:hAnsi="Times New Roman" w:eastAsia="宋体" w:cs="Times New Roman"/>
                <w:b/>
                <w:bCs w:val="0"/>
                <w:color w:val="auto"/>
                <w:sz w:val="22"/>
                <w:szCs w:val="22"/>
                <w:lang w:val="en-US" w:eastAsia="zh-CN"/>
              </w:rPr>
            </w:pPr>
            <w:r>
              <w:rPr>
                <w:rFonts w:hint="default" w:ascii="Times New Roman" w:hAnsi="Times New Roman" w:eastAsia="宋体" w:cs="Times New Roman"/>
                <w:b/>
                <w:bCs w:val="0"/>
                <w:color w:val="auto"/>
                <w:sz w:val="22"/>
                <w:szCs w:val="22"/>
                <w:lang w:eastAsia="zh-CN"/>
              </w:rPr>
              <w:t>表</w:t>
            </w:r>
            <w:r>
              <w:rPr>
                <w:rFonts w:hint="default" w:ascii="Times New Roman" w:hAnsi="Times New Roman" w:eastAsia="宋体" w:cs="Times New Roman"/>
                <w:b/>
                <w:bCs w:val="0"/>
                <w:color w:val="auto"/>
                <w:sz w:val="22"/>
                <w:szCs w:val="22"/>
                <w:lang w:val="en-US" w:eastAsia="zh-CN"/>
              </w:rPr>
              <w:t>2-1</w:t>
            </w:r>
            <w:r>
              <w:rPr>
                <w:rFonts w:hint="eastAsia" w:cs="Times New Roman"/>
                <w:b/>
                <w:bCs w:val="0"/>
                <w:color w:val="auto"/>
                <w:sz w:val="22"/>
                <w:szCs w:val="22"/>
                <w:lang w:val="en-US" w:eastAsia="zh-CN"/>
              </w:rPr>
              <w:t>2</w:t>
            </w:r>
            <w:r>
              <w:rPr>
                <w:rFonts w:hint="default" w:ascii="Times New Roman" w:hAnsi="Times New Roman" w:eastAsia="宋体" w:cs="Times New Roman"/>
                <w:b/>
                <w:bCs w:val="0"/>
                <w:color w:val="auto"/>
                <w:sz w:val="22"/>
                <w:szCs w:val="22"/>
                <w:lang w:val="en-US" w:eastAsia="zh-CN"/>
              </w:rPr>
              <w:t xml:space="preserve">  现有项目三废污染物产排、治理情况一览表</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524"/>
              <w:gridCol w:w="621"/>
              <w:gridCol w:w="918"/>
              <w:gridCol w:w="1001"/>
              <w:gridCol w:w="1212"/>
              <w:gridCol w:w="835"/>
              <w:gridCol w:w="828"/>
              <w:gridCol w:w="1319"/>
              <w:gridCol w:w="969"/>
              <w:gridCol w:w="788"/>
            </w:tblGrid>
            <w:tr w14:paraId="2DA2D6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54" w:hRule="atLeast"/>
                <w:jc w:val="center"/>
              </w:trPr>
              <w:tc>
                <w:tcPr>
                  <w:tcW w:w="291" w:type="pct"/>
                  <w:vMerge w:val="restart"/>
                  <w:tcBorders>
                    <w:top w:val="single" w:color="auto" w:sz="12" w:space="0"/>
                    <w:bottom w:val="single" w:color="auto" w:sz="4" w:space="0"/>
                    <w:right w:val="single" w:color="auto" w:sz="4" w:space="0"/>
                  </w:tcBorders>
                  <w:vAlign w:val="center"/>
                </w:tcPr>
                <w:p w14:paraId="10815C4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种类</w:t>
                  </w:r>
                </w:p>
              </w:tc>
              <w:tc>
                <w:tcPr>
                  <w:tcW w:w="853" w:type="pct"/>
                  <w:gridSpan w:val="2"/>
                  <w:vMerge w:val="restart"/>
                  <w:tcBorders>
                    <w:top w:val="single" w:color="auto" w:sz="12" w:space="0"/>
                    <w:left w:val="single" w:color="auto" w:sz="4" w:space="0"/>
                    <w:bottom w:val="single" w:color="auto" w:sz="4" w:space="0"/>
                    <w:right w:val="single" w:color="auto" w:sz="4" w:space="0"/>
                  </w:tcBorders>
                  <w:vAlign w:val="center"/>
                </w:tcPr>
                <w:p w14:paraId="747F3BF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排放源</w:t>
                  </w:r>
                </w:p>
              </w:tc>
              <w:tc>
                <w:tcPr>
                  <w:tcW w:w="555" w:type="pct"/>
                  <w:vMerge w:val="restart"/>
                  <w:tcBorders>
                    <w:top w:val="single" w:color="auto" w:sz="12" w:space="0"/>
                    <w:left w:val="single" w:color="auto" w:sz="4" w:space="0"/>
                    <w:bottom w:val="single" w:color="auto" w:sz="4" w:space="0"/>
                    <w:right w:val="single" w:color="auto" w:sz="4" w:space="0"/>
                  </w:tcBorders>
                  <w:vAlign w:val="center"/>
                </w:tcPr>
                <w:p w14:paraId="1282EBE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tc>
              <w:tc>
                <w:tcPr>
                  <w:tcW w:w="1594" w:type="pct"/>
                  <w:gridSpan w:val="3"/>
                  <w:tcBorders>
                    <w:top w:val="single" w:color="auto" w:sz="12" w:space="0"/>
                    <w:left w:val="single" w:color="auto" w:sz="4" w:space="0"/>
                    <w:bottom w:val="single" w:color="auto" w:sz="4" w:space="0"/>
                    <w:right w:val="single" w:color="auto" w:sz="4" w:space="0"/>
                  </w:tcBorders>
                  <w:vAlign w:val="center"/>
                </w:tcPr>
                <w:p w14:paraId="384AAE9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环评/批复情况</w:t>
                  </w:r>
                </w:p>
              </w:tc>
              <w:tc>
                <w:tcPr>
                  <w:tcW w:w="1705" w:type="pct"/>
                  <w:gridSpan w:val="3"/>
                  <w:tcBorders>
                    <w:top w:val="single" w:color="auto" w:sz="12" w:space="0"/>
                    <w:left w:val="single" w:color="auto" w:sz="4" w:space="0"/>
                    <w:bottom w:val="single" w:color="auto" w:sz="4" w:space="0"/>
                  </w:tcBorders>
                  <w:vAlign w:val="center"/>
                </w:tcPr>
                <w:p w14:paraId="0EC427F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实际情况</w:t>
                  </w:r>
                </w:p>
              </w:tc>
            </w:tr>
            <w:tr w14:paraId="289990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top w:val="single" w:color="auto" w:sz="4" w:space="0"/>
                    <w:bottom w:val="single" w:color="auto" w:sz="4" w:space="0"/>
                    <w:right w:val="single" w:color="auto" w:sz="4" w:space="0"/>
                  </w:tcBorders>
                  <w:vAlign w:val="center"/>
                </w:tcPr>
                <w:p w14:paraId="2A789F4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p>
              </w:tc>
              <w:tc>
                <w:tcPr>
                  <w:tcW w:w="853" w:type="pct"/>
                  <w:gridSpan w:val="2"/>
                  <w:vMerge w:val="continue"/>
                  <w:tcBorders>
                    <w:top w:val="single" w:color="auto" w:sz="4" w:space="0"/>
                    <w:left w:val="single" w:color="auto" w:sz="4" w:space="0"/>
                    <w:bottom w:val="single" w:color="auto" w:sz="4" w:space="0"/>
                    <w:right w:val="single" w:color="auto" w:sz="4" w:space="0"/>
                  </w:tcBorders>
                  <w:vAlign w:val="center"/>
                </w:tcPr>
                <w:p w14:paraId="513EC24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p>
              </w:tc>
              <w:tc>
                <w:tcPr>
                  <w:tcW w:w="555" w:type="pct"/>
                  <w:vMerge w:val="continue"/>
                  <w:tcBorders>
                    <w:top w:val="single" w:color="auto" w:sz="4" w:space="0"/>
                    <w:left w:val="single" w:color="auto" w:sz="4" w:space="0"/>
                    <w:bottom w:val="single" w:color="auto" w:sz="4" w:space="0"/>
                    <w:right w:val="single" w:color="auto" w:sz="4" w:space="0"/>
                  </w:tcBorders>
                  <w:vAlign w:val="center"/>
                </w:tcPr>
                <w:p w14:paraId="20BAC4D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p>
              </w:tc>
              <w:tc>
                <w:tcPr>
                  <w:tcW w:w="672" w:type="pct"/>
                  <w:tcBorders>
                    <w:top w:val="single" w:color="auto" w:sz="4" w:space="0"/>
                    <w:left w:val="single" w:color="auto" w:sz="4" w:space="0"/>
                    <w:bottom w:val="single" w:color="auto" w:sz="4" w:space="0"/>
                    <w:right w:val="single" w:color="auto" w:sz="4" w:space="0"/>
                  </w:tcBorders>
                  <w:vAlign w:val="center"/>
                </w:tcPr>
                <w:p w14:paraId="6EB6E1F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治理措施</w:t>
                  </w:r>
                </w:p>
              </w:tc>
              <w:tc>
                <w:tcPr>
                  <w:tcW w:w="463" w:type="pct"/>
                  <w:tcBorders>
                    <w:top w:val="single" w:color="auto" w:sz="4" w:space="0"/>
                    <w:left w:val="single" w:color="auto" w:sz="4" w:space="0"/>
                    <w:bottom w:val="single" w:color="auto" w:sz="4" w:space="0"/>
                    <w:right w:val="single" w:color="auto" w:sz="4" w:space="0"/>
                  </w:tcBorders>
                  <w:vAlign w:val="center"/>
                </w:tcPr>
                <w:p w14:paraId="631AC05E">
                  <w:pPr>
                    <w:keepNext w:val="0"/>
                    <w:keepLines w:val="0"/>
                    <w:pageBreakBefore w:val="0"/>
                    <w:widowControl w:val="0"/>
                    <w:suppressLineNumbers w:val="0"/>
                    <w:kinsoku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污染物排放</w:t>
                  </w:r>
                  <w:r>
                    <w:rPr>
                      <w:rFonts w:hint="eastAsia" w:ascii="Times New Roman" w:hAnsi="Times New Roman" w:eastAsia="宋体"/>
                      <w:b/>
                      <w:bCs/>
                      <w:snapToGrid w:val="0"/>
                      <w:color w:val="auto"/>
                      <w:sz w:val="21"/>
                      <w:szCs w:val="21"/>
                    </w:rPr>
                    <w:t>速率</w:t>
                  </w:r>
                  <w:r>
                    <w:rPr>
                      <w:rFonts w:hint="default" w:ascii="Times New Roman" w:hAnsi="Times New Roman" w:eastAsia="宋体"/>
                      <w:b/>
                      <w:bCs/>
                      <w:snapToGrid w:val="0"/>
                      <w:color w:val="auto"/>
                      <w:sz w:val="21"/>
                      <w:szCs w:val="21"/>
                    </w:rPr>
                    <w:t>kg/h</w:t>
                  </w:r>
                </w:p>
              </w:tc>
              <w:tc>
                <w:tcPr>
                  <w:tcW w:w="459" w:type="pct"/>
                  <w:tcBorders>
                    <w:top w:val="single" w:color="auto" w:sz="4" w:space="0"/>
                    <w:left w:val="single" w:color="auto" w:sz="4" w:space="0"/>
                    <w:bottom w:val="single" w:color="auto" w:sz="4" w:space="0"/>
                    <w:right w:val="single" w:color="auto" w:sz="4" w:space="0"/>
                  </w:tcBorders>
                  <w:vAlign w:val="center"/>
                </w:tcPr>
                <w:p w14:paraId="50FD513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61838A3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排放量t/a</w:t>
                  </w:r>
                </w:p>
              </w:tc>
              <w:tc>
                <w:tcPr>
                  <w:tcW w:w="731" w:type="pct"/>
                  <w:tcBorders>
                    <w:top w:val="single" w:color="auto" w:sz="4" w:space="0"/>
                    <w:left w:val="single" w:color="auto" w:sz="4" w:space="0"/>
                    <w:bottom w:val="single" w:color="auto" w:sz="4" w:space="0"/>
                    <w:right w:val="single" w:color="auto" w:sz="4" w:space="0"/>
                  </w:tcBorders>
                  <w:vAlign w:val="center"/>
                </w:tcPr>
                <w:p w14:paraId="45A592B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治理措施</w:t>
                  </w:r>
                </w:p>
              </w:tc>
              <w:tc>
                <w:tcPr>
                  <w:tcW w:w="537" w:type="pct"/>
                  <w:tcBorders>
                    <w:top w:val="single" w:color="auto" w:sz="4" w:space="0"/>
                    <w:left w:val="single" w:color="auto" w:sz="4" w:space="0"/>
                    <w:bottom w:val="single" w:color="auto" w:sz="4" w:space="0"/>
                    <w:right w:val="single" w:color="auto" w:sz="4" w:space="0"/>
                  </w:tcBorders>
                  <w:vAlign w:val="center"/>
                </w:tcPr>
                <w:p w14:paraId="03E0D7D9">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污染物排放</w:t>
                  </w:r>
                  <w:r>
                    <w:rPr>
                      <w:rFonts w:hint="eastAsia" w:ascii="Times New Roman" w:hAnsi="Times New Roman" w:eastAsia="宋体"/>
                      <w:b/>
                      <w:bCs/>
                      <w:snapToGrid w:val="0"/>
                      <w:color w:val="auto"/>
                      <w:sz w:val="21"/>
                      <w:szCs w:val="21"/>
                    </w:rPr>
                    <w:t>速率</w:t>
                  </w:r>
                  <w:r>
                    <w:rPr>
                      <w:rFonts w:hint="default" w:ascii="Times New Roman" w:hAnsi="Times New Roman" w:eastAsia="宋体"/>
                      <w:b/>
                      <w:bCs/>
                      <w:snapToGrid w:val="0"/>
                      <w:color w:val="auto"/>
                      <w:sz w:val="21"/>
                      <w:szCs w:val="21"/>
                    </w:rPr>
                    <w:t>kg/h</w:t>
                  </w:r>
                </w:p>
              </w:tc>
              <w:tc>
                <w:tcPr>
                  <w:tcW w:w="436" w:type="pct"/>
                  <w:tcBorders>
                    <w:top w:val="single" w:color="auto" w:sz="4" w:space="0"/>
                    <w:left w:val="single" w:color="auto" w:sz="4" w:space="0"/>
                    <w:bottom w:val="single" w:color="auto" w:sz="4" w:space="0"/>
                  </w:tcBorders>
                  <w:vAlign w:val="center"/>
                </w:tcPr>
                <w:p w14:paraId="689C189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252E7AF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排放量t/a</w:t>
                  </w:r>
                </w:p>
              </w:tc>
            </w:tr>
            <w:tr w14:paraId="1A5175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restart"/>
                  <w:tcBorders>
                    <w:top w:val="single" w:color="auto" w:sz="4" w:space="0"/>
                    <w:right w:val="single" w:color="auto" w:sz="4" w:space="0"/>
                  </w:tcBorders>
                  <w:vAlign w:val="center"/>
                </w:tcPr>
                <w:p w14:paraId="1E708F5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大气</w:t>
                  </w:r>
                </w:p>
                <w:p w14:paraId="1197CDC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污染物</w:t>
                  </w:r>
                </w:p>
              </w:tc>
              <w:tc>
                <w:tcPr>
                  <w:tcW w:w="344" w:type="pct"/>
                  <w:vMerge w:val="restart"/>
                  <w:tcBorders>
                    <w:top w:val="single" w:color="auto" w:sz="4" w:space="0"/>
                    <w:left w:val="single" w:color="auto" w:sz="4" w:space="0"/>
                    <w:right w:val="single" w:color="auto" w:sz="4" w:space="0"/>
                  </w:tcBorders>
                  <w:vAlign w:val="center"/>
                </w:tcPr>
                <w:p w14:paraId="4690E465">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有组织</w:t>
                  </w:r>
                </w:p>
              </w:tc>
              <w:tc>
                <w:tcPr>
                  <w:tcW w:w="509" w:type="pct"/>
                  <w:tcBorders>
                    <w:top w:val="single" w:color="auto" w:sz="4" w:space="0"/>
                    <w:left w:val="single" w:color="auto" w:sz="4" w:space="0"/>
                    <w:bottom w:val="single" w:color="auto" w:sz="4" w:space="0"/>
                    <w:right w:val="single" w:color="auto" w:sz="4" w:space="0"/>
                  </w:tcBorders>
                  <w:vAlign w:val="center"/>
                </w:tcPr>
                <w:p w14:paraId="5D4BE3C1">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eastAsia="zh-CN"/>
                    </w:rPr>
                    <w:t>薄通</w:t>
                  </w:r>
                </w:p>
              </w:tc>
              <w:tc>
                <w:tcPr>
                  <w:tcW w:w="555" w:type="pct"/>
                  <w:tcBorders>
                    <w:top w:val="single" w:color="auto" w:sz="4" w:space="0"/>
                    <w:left w:val="single" w:color="auto" w:sz="4" w:space="0"/>
                    <w:right w:val="single" w:color="auto" w:sz="4" w:space="0"/>
                  </w:tcBorders>
                  <w:vAlign w:val="center"/>
                </w:tcPr>
                <w:p w14:paraId="402A4B65">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zh-CN" w:eastAsia="zh-CN" w:bidi="ar-SA"/>
                    </w:rPr>
                  </w:pPr>
                  <w:r>
                    <w:rPr>
                      <w:rFonts w:hint="eastAsia" w:cs="Times New Roman"/>
                      <w:color w:val="auto"/>
                      <w:w w:val="100"/>
                      <w:kern w:val="2"/>
                      <w:sz w:val="21"/>
                      <w:szCs w:val="21"/>
                      <w:lang w:eastAsia="zh-CN"/>
                    </w:rPr>
                    <w:t>挥发性有机物</w:t>
                  </w:r>
                </w:p>
              </w:tc>
              <w:tc>
                <w:tcPr>
                  <w:tcW w:w="672" w:type="pct"/>
                  <w:tcBorders>
                    <w:top w:val="single" w:color="auto" w:sz="4" w:space="0"/>
                    <w:left w:val="single" w:color="auto" w:sz="4" w:space="0"/>
                    <w:bottom w:val="single" w:color="auto" w:sz="4" w:space="0"/>
                    <w:right w:val="single" w:color="auto" w:sz="4" w:space="0"/>
                  </w:tcBorders>
                  <w:vAlign w:val="center"/>
                </w:tcPr>
                <w:p w14:paraId="3162B885">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eastAsia" w:ascii="Times New Roman" w:hAnsi="Times New Roman" w:eastAsia="宋体" w:cs="Times New Roman"/>
                      <w:color w:val="auto"/>
                      <w:w w:val="100"/>
                      <w:kern w:val="2"/>
                      <w:sz w:val="21"/>
                      <w:szCs w:val="21"/>
                      <w:lang w:val="en-US" w:eastAsia="zh-CN"/>
                    </w:rPr>
                    <w:t>二级活性炭</w:t>
                  </w:r>
                  <w:r>
                    <w:rPr>
                      <w:rFonts w:hint="default" w:ascii="Times New Roman" w:hAnsi="Times New Roman" w:eastAsia="宋体" w:cs="Times New Roman"/>
                      <w:color w:val="auto"/>
                      <w:w w:val="100"/>
                      <w:kern w:val="2"/>
                      <w:sz w:val="21"/>
                      <w:szCs w:val="21"/>
                      <w:lang w:val="en-US" w:eastAsia="zh-CN"/>
                    </w:rPr>
                    <w:t>吸附装置</w:t>
                  </w:r>
                </w:p>
              </w:tc>
              <w:tc>
                <w:tcPr>
                  <w:tcW w:w="463" w:type="pct"/>
                  <w:tcBorders>
                    <w:top w:val="single" w:color="auto" w:sz="4" w:space="0"/>
                    <w:left w:val="single" w:color="auto" w:sz="4" w:space="0"/>
                    <w:right w:val="single" w:color="auto" w:sz="4" w:space="0"/>
                  </w:tcBorders>
                  <w:vAlign w:val="center"/>
                </w:tcPr>
                <w:p w14:paraId="6062FBD3">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bidi="ar-SA"/>
                    </w:rPr>
                    <w:t>0.04</w:t>
                  </w:r>
                </w:p>
              </w:tc>
              <w:tc>
                <w:tcPr>
                  <w:tcW w:w="459" w:type="pct"/>
                  <w:tcBorders>
                    <w:top w:val="single" w:color="auto" w:sz="4" w:space="0"/>
                    <w:left w:val="single" w:color="auto" w:sz="4" w:space="0"/>
                    <w:right w:val="single" w:color="auto" w:sz="4" w:space="0"/>
                  </w:tcBorders>
                  <w:vAlign w:val="center"/>
                </w:tcPr>
                <w:p w14:paraId="7EE5BEC6">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0.20</w:t>
                  </w:r>
                </w:p>
              </w:tc>
              <w:tc>
                <w:tcPr>
                  <w:tcW w:w="731" w:type="pct"/>
                  <w:tcBorders>
                    <w:top w:val="single" w:color="auto" w:sz="4" w:space="0"/>
                    <w:left w:val="single" w:color="auto" w:sz="4" w:space="0"/>
                    <w:bottom w:val="single" w:color="auto" w:sz="4" w:space="0"/>
                    <w:right w:val="single" w:color="auto" w:sz="4" w:space="0"/>
                  </w:tcBorders>
                  <w:vAlign w:val="center"/>
                </w:tcPr>
                <w:p w14:paraId="1E279407">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布袋除尘器+二级活性炭</w:t>
                  </w:r>
                  <w:r>
                    <w:rPr>
                      <w:rFonts w:hint="default" w:ascii="Times New Roman" w:hAnsi="Times New Roman" w:eastAsia="宋体" w:cs="Times New Roman"/>
                      <w:color w:val="auto"/>
                      <w:w w:val="100"/>
                      <w:kern w:val="2"/>
                      <w:sz w:val="21"/>
                      <w:szCs w:val="21"/>
                      <w:lang w:val="en-US" w:eastAsia="zh-CN"/>
                    </w:rPr>
                    <w:t>吸附装置</w:t>
                  </w:r>
                </w:p>
              </w:tc>
              <w:tc>
                <w:tcPr>
                  <w:tcW w:w="537" w:type="pct"/>
                  <w:tcBorders>
                    <w:top w:val="single" w:color="auto" w:sz="4" w:space="0"/>
                    <w:left w:val="single" w:color="auto" w:sz="4" w:space="0"/>
                  </w:tcBorders>
                  <w:vAlign w:val="center"/>
                </w:tcPr>
                <w:p w14:paraId="71ABD72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olor w:val="auto"/>
                      <w:sz w:val="21"/>
                      <w:szCs w:val="21"/>
                      <w:lang w:val="en-US" w:eastAsia="zh-CN"/>
                    </w:rPr>
                    <w:t>3.40</w:t>
                  </w:r>
                  <w:r>
                    <w:rPr>
                      <w:rFonts w:hint="default" w:ascii="Arial" w:hAnsi="Arial" w:eastAsia="宋体" w:cs="Arial"/>
                      <w:color w:val="auto"/>
                      <w:sz w:val="21"/>
                      <w:szCs w:val="21"/>
                      <w:lang w:val="en-US" w:eastAsia="zh-CN"/>
                    </w:rPr>
                    <w:t>×</w:t>
                  </w:r>
                  <w:r>
                    <w:rPr>
                      <w:rFonts w:hint="eastAsia" w:ascii="Times New Roman" w:hAnsi="Times New Roman" w:eastAsia="宋体"/>
                      <w:color w:val="auto"/>
                      <w:sz w:val="21"/>
                      <w:szCs w:val="21"/>
                      <w:lang w:val="en-US" w:eastAsia="zh-CN"/>
                    </w:rPr>
                    <w:t>10</w:t>
                  </w:r>
                  <w:r>
                    <w:rPr>
                      <w:rFonts w:hint="eastAsia" w:ascii="Times New Roman" w:hAnsi="Times New Roman" w:eastAsia="宋体"/>
                      <w:color w:val="auto"/>
                      <w:sz w:val="21"/>
                      <w:szCs w:val="21"/>
                      <w:vertAlign w:val="superscript"/>
                      <w:lang w:val="en-US" w:eastAsia="zh-CN"/>
                    </w:rPr>
                    <w:t>-2</w:t>
                  </w:r>
                </w:p>
              </w:tc>
              <w:tc>
                <w:tcPr>
                  <w:tcW w:w="436" w:type="pct"/>
                  <w:tcBorders>
                    <w:top w:val="single" w:color="auto" w:sz="4" w:space="0"/>
                    <w:left w:val="single" w:color="auto" w:sz="4" w:space="0"/>
                    <w:bottom w:val="single" w:color="auto" w:sz="4" w:space="0"/>
                  </w:tcBorders>
                  <w:vAlign w:val="center"/>
                </w:tcPr>
                <w:p w14:paraId="4D2E07A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0.163</w:t>
                  </w:r>
                </w:p>
              </w:tc>
            </w:tr>
            <w:tr w14:paraId="548D2E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0B9C111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7D34F566">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2CCEE3CD">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eastAsia="zh-CN"/>
                    </w:rPr>
                    <w:t>加热</w:t>
                  </w:r>
                </w:p>
              </w:tc>
              <w:tc>
                <w:tcPr>
                  <w:tcW w:w="555" w:type="pct"/>
                  <w:tcBorders>
                    <w:top w:val="single" w:color="auto" w:sz="4" w:space="0"/>
                    <w:left w:val="single" w:color="auto" w:sz="4" w:space="0"/>
                    <w:right w:val="single" w:color="auto" w:sz="4" w:space="0"/>
                  </w:tcBorders>
                  <w:vAlign w:val="center"/>
                </w:tcPr>
                <w:p w14:paraId="2E1828E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tcBorders>
                    <w:top w:val="single" w:color="auto" w:sz="4" w:space="0"/>
                    <w:left w:val="single" w:color="auto" w:sz="4" w:space="0"/>
                    <w:bottom w:val="single" w:color="auto" w:sz="4" w:space="0"/>
                    <w:right w:val="single" w:color="auto" w:sz="4" w:space="0"/>
                  </w:tcBorders>
                  <w:vAlign w:val="center"/>
                </w:tcPr>
                <w:p w14:paraId="046B4389">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eastAsia" w:ascii="Times New Roman" w:hAnsi="Times New Roman" w:eastAsia="宋体" w:cs="Times New Roman"/>
                      <w:color w:val="auto"/>
                      <w:w w:val="100"/>
                      <w:kern w:val="2"/>
                      <w:sz w:val="21"/>
                      <w:szCs w:val="21"/>
                      <w:lang w:val="en-US" w:eastAsia="zh-CN"/>
                    </w:rPr>
                    <w:t>二级活性炭</w:t>
                  </w:r>
                  <w:r>
                    <w:rPr>
                      <w:rFonts w:hint="default" w:ascii="Times New Roman" w:hAnsi="Times New Roman" w:eastAsia="宋体" w:cs="Times New Roman"/>
                      <w:color w:val="auto"/>
                      <w:w w:val="100"/>
                      <w:kern w:val="2"/>
                      <w:sz w:val="21"/>
                      <w:szCs w:val="21"/>
                      <w:lang w:val="en-US" w:eastAsia="zh-CN"/>
                    </w:rPr>
                    <w:t>吸附装置</w:t>
                  </w:r>
                </w:p>
              </w:tc>
              <w:tc>
                <w:tcPr>
                  <w:tcW w:w="463" w:type="pct"/>
                  <w:vMerge w:val="restart"/>
                  <w:tcBorders>
                    <w:top w:val="single" w:color="auto" w:sz="4" w:space="0"/>
                    <w:left w:val="single" w:color="auto" w:sz="4" w:space="0"/>
                    <w:right w:val="single" w:color="auto" w:sz="4" w:space="0"/>
                  </w:tcBorders>
                  <w:vAlign w:val="center"/>
                </w:tcPr>
                <w:p w14:paraId="3D643AEA">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bidi="ar-SA"/>
                    </w:rPr>
                    <w:t>0.05</w:t>
                  </w:r>
                </w:p>
              </w:tc>
              <w:tc>
                <w:tcPr>
                  <w:tcW w:w="459" w:type="pct"/>
                  <w:tcBorders>
                    <w:top w:val="single" w:color="auto" w:sz="4" w:space="0"/>
                    <w:left w:val="single" w:color="auto" w:sz="4" w:space="0"/>
                    <w:right w:val="single" w:color="auto" w:sz="4" w:space="0"/>
                  </w:tcBorders>
                  <w:vAlign w:val="center"/>
                </w:tcPr>
                <w:p w14:paraId="7346F108">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bidi="ar-SA"/>
                    </w:rPr>
                    <w:t>0.10</w:t>
                  </w:r>
                </w:p>
              </w:tc>
              <w:tc>
                <w:tcPr>
                  <w:tcW w:w="731" w:type="pct"/>
                  <w:tcBorders>
                    <w:top w:val="single" w:color="auto" w:sz="4" w:space="0"/>
                    <w:left w:val="single" w:color="auto" w:sz="4" w:space="0"/>
                    <w:bottom w:val="single" w:color="auto" w:sz="4" w:space="0"/>
                    <w:right w:val="single" w:color="auto" w:sz="4" w:space="0"/>
                  </w:tcBorders>
                  <w:vAlign w:val="center"/>
                </w:tcPr>
                <w:p w14:paraId="215C0803">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水喷淋+二级活性炭</w:t>
                  </w:r>
                  <w:r>
                    <w:rPr>
                      <w:rFonts w:hint="default" w:ascii="Times New Roman" w:hAnsi="Times New Roman" w:eastAsia="宋体" w:cs="Times New Roman"/>
                      <w:color w:val="auto"/>
                      <w:w w:val="100"/>
                      <w:kern w:val="2"/>
                      <w:sz w:val="21"/>
                      <w:szCs w:val="21"/>
                      <w:lang w:val="en-US" w:eastAsia="zh-CN"/>
                    </w:rPr>
                    <w:t>吸附装置</w:t>
                  </w:r>
                </w:p>
              </w:tc>
              <w:tc>
                <w:tcPr>
                  <w:tcW w:w="537" w:type="pct"/>
                  <w:vMerge w:val="restart"/>
                  <w:tcBorders>
                    <w:top w:val="single" w:color="auto" w:sz="4" w:space="0"/>
                    <w:left w:val="single" w:color="auto" w:sz="4" w:space="0"/>
                  </w:tcBorders>
                  <w:vAlign w:val="center"/>
                </w:tcPr>
                <w:p w14:paraId="63E6EE3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olor w:val="auto"/>
                      <w:sz w:val="21"/>
                      <w:szCs w:val="21"/>
                      <w:lang w:val="en-US" w:eastAsia="zh-CN"/>
                    </w:rPr>
                    <w:t>3.95</w:t>
                  </w:r>
                  <w:r>
                    <w:rPr>
                      <w:rFonts w:hint="default" w:ascii="Arial" w:hAnsi="Arial" w:eastAsia="宋体" w:cs="Arial"/>
                      <w:color w:val="auto"/>
                      <w:sz w:val="21"/>
                      <w:szCs w:val="21"/>
                      <w:lang w:val="en-US" w:eastAsia="zh-CN"/>
                    </w:rPr>
                    <w:t>×</w:t>
                  </w:r>
                  <w:r>
                    <w:rPr>
                      <w:rFonts w:hint="eastAsia" w:ascii="Times New Roman" w:hAnsi="Times New Roman" w:eastAsia="宋体"/>
                      <w:color w:val="auto"/>
                      <w:sz w:val="21"/>
                      <w:szCs w:val="21"/>
                      <w:lang w:val="en-US" w:eastAsia="zh-CN"/>
                    </w:rPr>
                    <w:t>10</w:t>
                  </w:r>
                  <w:r>
                    <w:rPr>
                      <w:rFonts w:hint="eastAsia" w:ascii="Times New Roman" w:hAnsi="Times New Roman" w:eastAsia="宋体"/>
                      <w:color w:val="auto"/>
                      <w:sz w:val="21"/>
                      <w:szCs w:val="21"/>
                      <w:vertAlign w:val="superscript"/>
                      <w:lang w:val="en-US" w:eastAsia="zh-CN"/>
                    </w:rPr>
                    <w:t>-2</w:t>
                  </w:r>
                </w:p>
              </w:tc>
              <w:tc>
                <w:tcPr>
                  <w:tcW w:w="436" w:type="pct"/>
                  <w:vMerge w:val="restart"/>
                  <w:tcBorders>
                    <w:top w:val="single" w:color="auto" w:sz="4" w:space="0"/>
                    <w:left w:val="single" w:color="auto" w:sz="4" w:space="0"/>
                  </w:tcBorders>
                  <w:vAlign w:val="center"/>
                </w:tcPr>
                <w:p w14:paraId="23597A0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0.190</w:t>
                  </w:r>
                </w:p>
              </w:tc>
            </w:tr>
            <w:tr w14:paraId="3CB714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28C1D98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4482F9AF">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183193D5">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轴芯涂胶、清洗</w:t>
                  </w:r>
                </w:p>
              </w:tc>
              <w:tc>
                <w:tcPr>
                  <w:tcW w:w="555" w:type="pct"/>
                  <w:tcBorders>
                    <w:top w:val="single" w:color="auto" w:sz="4" w:space="0"/>
                    <w:left w:val="single" w:color="auto" w:sz="4" w:space="0"/>
                    <w:right w:val="single" w:color="auto" w:sz="4" w:space="0"/>
                  </w:tcBorders>
                  <w:vAlign w:val="center"/>
                </w:tcPr>
                <w:p w14:paraId="00083D3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tcBorders>
                    <w:top w:val="single" w:color="auto" w:sz="4" w:space="0"/>
                    <w:left w:val="single" w:color="auto" w:sz="4" w:space="0"/>
                    <w:bottom w:val="single" w:color="auto" w:sz="4" w:space="0"/>
                    <w:right w:val="single" w:color="auto" w:sz="4" w:space="0"/>
                  </w:tcBorders>
                  <w:vAlign w:val="center"/>
                </w:tcPr>
                <w:p w14:paraId="6A15D44C">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eastAsia" w:ascii="Times New Roman" w:hAnsi="Times New Roman" w:eastAsia="宋体" w:cs="Times New Roman"/>
                      <w:color w:val="auto"/>
                      <w:w w:val="100"/>
                      <w:kern w:val="2"/>
                      <w:sz w:val="21"/>
                      <w:szCs w:val="21"/>
                      <w:lang w:val="en-US" w:eastAsia="zh-CN"/>
                    </w:rPr>
                    <w:t>二级活性炭</w:t>
                  </w:r>
                  <w:r>
                    <w:rPr>
                      <w:rFonts w:hint="default" w:ascii="Times New Roman" w:hAnsi="Times New Roman" w:eastAsia="宋体" w:cs="Times New Roman"/>
                      <w:color w:val="auto"/>
                      <w:w w:val="100"/>
                      <w:kern w:val="2"/>
                      <w:sz w:val="21"/>
                      <w:szCs w:val="21"/>
                      <w:lang w:val="en-US" w:eastAsia="zh-CN"/>
                    </w:rPr>
                    <w:t>吸附装置</w:t>
                  </w:r>
                </w:p>
              </w:tc>
              <w:tc>
                <w:tcPr>
                  <w:tcW w:w="463" w:type="pct"/>
                  <w:vMerge w:val="continue"/>
                  <w:tcBorders>
                    <w:left w:val="single" w:color="auto" w:sz="4" w:space="0"/>
                    <w:right w:val="single" w:color="auto" w:sz="4" w:space="0"/>
                  </w:tcBorders>
                  <w:vAlign w:val="center"/>
                </w:tcPr>
                <w:p w14:paraId="66D140AB">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p>
              </w:tc>
              <w:tc>
                <w:tcPr>
                  <w:tcW w:w="459" w:type="pct"/>
                  <w:tcBorders>
                    <w:top w:val="single" w:color="auto" w:sz="4" w:space="0"/>
                    <w:left w:val="single" w:color="auto" w:sz="4" w:space="0"/>
                    <w:right w:val="single" w:color="auto" w:sz="4" w:space="0"/>
                  </w:tcBorders>
                  <w:vAlign w:val="center"/>
                </w:tcPr>
                <w:p w14:paraId="4F26C125">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0.16</w:t>
                  </w:r>
                </w:p>
              </w:tc>
              <w:tc>
                <w:tcPr>
                  <w:tcW w:w="731" w:type="pct"/>
                  <w:tcBorders>
                    <w:top w:val="single" w:color="auto" w:sz="4" w:space="0"/>
                    <w:left w:val="single" w:color="auto" w:sz="4" w:space="0"/>
                    <w:bottom w:val="single" w:color="auto" w:sz="4" w:space="0"/>
                    <w:right w:val="single" w:color="auto" w:sz="4" w:space="0"/>
                  </w:tcBorders>
                  <w:vAlign w:val="center"/>
                </w:tcPr>
                <w:p w14:paraId="708866C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水喷淋+二级活性炭</w:t>
                  </w:r>
                  <w:r>
                    <w:rPr>
                      <w:rFonts w:hint="default" w:ascii="Times New Roman" w:hAnsi="Times New Roman" w:eastAsia="宋体" w:cs="Times New Roman"/>
                      <w:color w:val="auto"/>
                      <w:w w:val="100"/>
                      <w:kern w:val="2"/>
                      <w:sz w:val="21"/>
                      <w:szCs w:val="21"/>
                      <w:lang w:val="en-US" w:eastAsia="zh-CN"/>
                    </w:rPr>
                    <w:t>吸附装置</w:t>
                  </w:r>
                </w:p>
              </w:tc>
              <w:tc>
                <w:tcPr>
                  <w:tcW w:w="537" w:type="pct"/>
                  <w:vMerge w:val="continue"/>
                  <w:tcBorders>
                    <w:left w:val="single" w:color="auto" w:sz="4" w:space="0"/>
                  </w:tcBorders>
                  <w:vAlign w:val="center"/>
                </w:tcPr>
                <w:p w14:paraId="0B09E20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val="en-US" w:eastAsia="zh-CN"/>
                    </w:rPr>
                  </w:pPr>
                </w:p>
              </w:tc>
              <w:tc>
                <w:tcPr>
                  <w:tcW w:w="436" w:type="pct"/>
                  <w:vMerge w:val="continue"/>
                  <w:tcBorders>
                    <w:left w:val="single" w:color="auto" w:sz="4" w:space="0"/>
                    <w:bottom w:val="single" w:color="auto" w:sz="4" w:space="0"/>
                  </w:tcBorders>
                  <w:vAlign w:val="center"/>
                </w:tcPr>
                <w:p w14:paraId="2D3271B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val="en-US" w:eastAsia="zh-CN"/>
                    </w:rPr>
                  </w:pPr>
                </w:p>
              </w:tc>
            </w:tr>
            <w:tr w14:paraId="5EF799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0ABDAA7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31682968">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61209E31">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喷涂</w:t>
                  </w:r>
                </w:p>
              </w:tc>
              <w:tc>
                <w:tcPr>
                  <w:tcW w:w="555" w:type="pct"/>
                  <w:tcBorders>
                    <w:top w:val="single" w:color="auto" w:sz="4" w:space="0"/>
                    <w:left w:val="single" w:color="auto" w:sz="4" w:space="0"/>
                    <w:right w:val="single" w:color="auto" w:sz="4" w:space="0"/>
                  </w:tcBorders>
                  <w:vAlign w:val="center"/>
                </w:tcPr>
                <w:p w14:paraId="78B082A6">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tcBorders>
                    <w:top w:val="single" w:color="auto" w:sz="4" w:space="0"/>
                    <w:left w:val="single" w:color="auto" w:sz="4" w:space="0"/>
                    <w:bottom w:val="single" w:color="auto" w:sz="4" w:space="0"/>
                    <w:right w:val="single" w:color="auto" w:sz="4" w:space="0"/>
                  </w:tcBorders>
                  <w:vAlign w:val="center"/>
                </w:tcPr>
                <w:p w14:paraId="37055ACF">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default" w:ascii="Times New Roman" w:hAnsi="Times New Roman" w:eastAsia="宋体" w:cs="Times New Roman"/>
                      <w:color w:val="auto"/>
                      <w:w w:val="100"/>
                      <w:kern w:val="2"/>
                      <w:sz w:val="21"/>
                      <w:szCs w:val="21"/>
                      <w:lang w:val="en-US" w:eastAsia="zh-CN"/>
                    </w:rPr>
                    <w:t>RCO装置</w:t>
                  </w:r>
                </w:p>
              </w:tc>
              <w:tc>
                <w:tcPr>
                  <w:tcW w:w="463" w:type="pct"/>
                  <w:vMerge w:val="restart"/>
                  <w:tcBorders>
                    <w:top w:val="single" w:color="auto" w:sz="4" w:space="0"/>
                    <w:left w:val="single" w:color="auto" w:sz="4" w:space="0"/>
                    <w:right w:val="single" w:color="auto" w:sz="4" w:space="0"/>
                  </w:tcBorders>
                  <w:vAlign w:val="center"/>
                </w:tcPr>
                <w:p w14:paraId="774D052B">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bidi="ar-SA"/>
                    </w:rPr>
                    <w:t>0.21</w:t>
                  </w:r>
                </w:p>
              </w:tc>
              <w:tc>
                <w:tcPr>
                  <w:tcW w:w="459" w:type="pct"/>
                  <w:tcBorders>
                    <w:top w:val="single" w:color="auto" w:sz="4" w:space="0"/>
                    <w:left w:val="single" w:color="auto" w:sz="4" w:space="0"/>
                    <w:right w:val="single" w:color="auto" w:sz="4" w:space="0"/>
                  </w:tcBorders>
                  <w:vAlign w:val="center"/>
                </w:tcPr>
                <w:p w14:paraId="2B0C7A3D">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bidi="ar-SA"/>
                    </w:rPr>
                    <w:t>0.89</w:t>
                  </w:r>
                </w:p>
              </w:tc>
              <w:tc>
                <w:tcPr>
                  <w:tcW w:w="731" w:type="pct"/>
                  <w:tcBorders>
                    <w:top w:val="single" w:color="auto" w:sz="4" w:space="0"/>
                    <w:left w:val="single" w:color="auto" w:sz="4" w:space="0"/>
                    <w:bottom w:val="single" w:color="auto" w:sz="4" w:space="0"/>
                    <w:right w:val="single" w:color="auto" w:sz="4" w:space="0"/>
                  </w:tcBorders>
                  <w:vAlign w:val="center"/>
                </w:tcPr>
                <w:p w14:paraId="5DA6A6B0">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水喷淋+</w:t>
                  </w:r>
                  <w:r>
                    <w:rPr>
                      <w:rFonts w:hint="default" w:ascii="Times New Roman" w:hAnsi="Times New Roman" w:eastAsia="宋体" w:cs="Times New Roman"/>
                      <w:color w:val="auto"/>
                      <w:w w:val="100"/>
                      <w:kern w:val="2"/>
                      <w:sz w:val="21"/>
                      <w:szCs w:val="21"/>
                      <w:lang w:val="en-US" w:eastAsia="zh-CN"/>
                    </w:rPr>
                    <w:t>RCO装置</w:t>
                  </w:r>
                </w:p>
              </w:tc>
              <w:tc>
                <w:tcPr>
                  <w:tcW w:w="537" w:type="pct"/>
                  <w:vMerge w:val="restart"/>
                  <w:tcBorders>
                    <w:top w:val="single" w:color="auto" w:sz="4" w:space="0"/>
                    <w:left w:val="single" w:color="auto" w:sz="4" w:space="0"/>
                  </w:tcBorders>
                  <w:vAlign w:val="center"/>
                </w:tcPr>
                <w:p w14:paraId="52FB9E2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olor w:val="auto"/>
                      <w:sz w:val="21"/>
                      <w:szCs w:val="21"/>
                      <w:lang w:val="en-US" w:eastAsia="zh-CN"/>
                    </w:rPr>
                    <w:t>2.92</w:t>
                  </w:r>
                  <w:r>
                    <w:rPr>
                      <w:rFonts w:hint="default" w:ascii="Arial" w:hAnsi="Arial" w:eastAsia="宋体" w:cs="Arial"/>
                      <w:color w:val="auto"/>
                      <w:sz w:val="21"/>
                      <w:szCs w:val="21"/>
                      <w:lang w:val="en-US" w:eastAsia="zh-CN"/>
                    </w:rPr>
                    <w:t>×</w:t>
                  </w:r>
                  <w:r>
                    <w:rPr>
                      <w:rFonts w:hint="eastAsia" w:ascii="Times New Roman" w:hAnsi="Times New Roman" w:eastAsia="宋体"/>
                      <w:color w:val="auto"/>
                      <w:sz w:val="21"/>
                      <w:szCs w:val="21"/>
                      <w:lang w:val="en-US" w:eastAsia="zh-CN"/>
                    </w:rPr>
                    <w:t>10</w:t>
                  </w:r>
                  <w:r>
                    <w:rPr>
                      <w:rFonts w:hint="eastAsia" w:ascii="Times New Roman" w:hAnsi="Times New Roman" w:eastAsia="宋体"/>
                      <w:color w:val="auto"/>
                      <w:sz w:val="21"/>
                      <w:szCs w:val="21"/>
                      <w:vertAlign w:val="superscript"/>
                      <w:lang w:val="en-US" w:eastAsia="zh-CN"/>
                    </w:rPr>
                    <w:t>-2</w:t>
                  </w:r>
                </w:p>
              </w:tc>
              <w:tc>
                <w:tcPr>
                  <w:tcW w:w="436" w:type="pct"/>
                  <w:vMerge w:val="restart"/>
                  <w:tcBorders>
                    <w:top w:val="single" w:color="auto" w:sz="4" w:space="0"/>
                    <w:left w:val="single" w:color="auto" w:sz="4" w:space="0"/>
                  </w:tcBorders>
                  <w:vAlign w:val="center"/>
                </w:tcPr>
                <w:p w14:paraId="16446F5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0.140</w:t>
                  </w:r>
                </w:p>
              </w:tc>
            </w:tr>
            <w:tr w14:paraId="2B3A21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74341B5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2115D5DE">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23113F7D">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加热</w:t>
                  </w:r>
                </w:p>
              </w:tc>
              <w:tc>
                <w:tcPr>
                  <w:tcW w:w="555" w:type="pct"/>
                  <w:tcBorders>
                    <w:top w:val="single" w:color="auto" w:sz="4" w:space="0"/>
                    <w:left w:val="single" w:color="auto" w:sz="4" w:space="0"/>
                    <w:right w:val="single" w:color="auto" w:sz="4" w:space="0"/>
                  </w:tcBorders>
                  <w:vAlign w:val="center"/>
                </w:tcPr>
                <w:p w14:paraId="75FC3F0C">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tcBorders>
                    <w:top w:val="single" w:color="auto" w:sz="4" w:space="0"/>
                    <w:left w:val="single" w:color="auto" w:sz="4" w:space="0"/>
                    <w:bottom w:val="single" w:color="auto" w:sz="4" w:space="0"/>
                    <w:right w:val="single" w:color="auto" w:sz="4" w:space="0"/>
                  </w:tcBorders>
                  <w:vAlign w:val="center"/>
                </w:tcPr>
                <w:p w14:paraId="339639D6">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default" w:ascii="Times New Roman" w:hAnsi="Times New Roman" w:eastAsia="宋体" w:cs="Times New Roman"/>
                      <w:color w:val="auto"/>
                      <w:w w:val="100"/>
                      <w:kern w:val="2"/>
                      <w:sz w:val="21"/>
                      <w:szCs w:val="21"/>
                      <w:lang w:val="en-US" w:eastAsia="zh-CN"/>
                    </w:rPr>
                    <w:t>RCO装置</w:t>
                  </w:r>
                </w:p>
              </w:tc>
              <w:tc>
                <w:tcPr>
                  <w:tcW w:w="463" w:type="pct"/>
                  <w:vMerge w:val="continue"/>
                  <w:tcBorders>
                    <w:left w:val="single" w:color="auto" w:sz="4" w:space="0"/>
                    <w:right w:val="single" w:color="auto" w:sz="4" w:space="0"/>
                  </w:tcBorders>
                  <w:vAlign w:val="center"/>
                </w:tcPr>
                <w:p w14:paraId="5870EBB4">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p>
              </w:tc>
              <w:tc>
                <w:tcPr>
                  <w:tcW w:w="459" w:type="pct"/>
                  <w:tcBorders>
                    <w:top w:val="single" w:color="auto" w:sz="4" w:space="0"/>
                    <w:left w:val="single" w:color="auto" w:sz="4" w:space="0"/>
                    <w:right w:val="single" w:color="auto" w:sz="4" w:space="0"/>
                  </w:tcBorders>
                  <w:vAlign w:val="center"/>
                </w:tcPr>
                <w:p w14:paraId="7CB1CD51">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0.11</w:t>
                  </w:r>
                </w:p>
              </w:tc>
              <w:tc>
                <w:tcPr>
                  <w:tcW w:w="731" w:type="pct"/>
                  <w:tcBorders>
                    <w:top w:val="single" w:color="auto" w:sz="4" w:space="0"/>
                    <w:left w:val="single" w:color="auto" w:sz="4" w:space="0"/>
                    <w:bottom w:val="single" w:color="auto" w:sz="4" w:space="0"/>
                    <w:right w:val="single" w:color="auto" w:sz="4" w:space="0"/>
                  </w:tcBorders>
                  <w:vAlign w:val="center"/>
                </w:tcPr>
                <w:p w14:paraId="40FBC898">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水喷淋+</w:t>
                  </w:r>
                  <w:r>
                    <w:rPr>
                      <w:rFonts w:hint="default" w:ascii="Times New Roman" w:hAnsi="Times New Roman" w:eastAsia="宋体" w:cs="Times New Roman"/>
                      <w:color w:val="auto"/>
                      <w:w w:val="100"/>
                      <w:kern w:val="2"/>
                      <w:sz w:val="21"/>
                      <w:szCs w:val="21"/>
                      <w:lang w:val="en-US" w:eastAsia="zh-CN"/>
                    </w:rPr>
                    <w:t>RCO装置</w:t>
                  </w:r>
                </w:p>
              </w:tc>
              <w:tc>
                <w:tcPr>
                  <w:tcW w:w="537" w:type="pct"/>
                  <w:vMerge w:val="continue"/>
                  <w:tcBorders>
                    <w:left w:val="single" w:color="auto" w:sz="4" w:space="0"/>
                  </w:tcBorders>
                  <w:vAlign w:val="center"/>
                </w:tcPr>
                <w:p w14:paraId="7217156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val="en-US" w:eastAsia="zh-CN"/>
                    </w:rPr>
                  </w:pPr>
                </w:p>
              </w:tc>
              <w:tc>
                <w:tcPr>
                  <w:tcW w:w="436" w:type="pct"/>
                  <w:vMerge w:val="continue"/>
                  <w:tcBorders>
                    <w:left w:val="single" w:color="auto" w:sz="4" w:space="0"/>
                    <w:bottom w:val="single" w:color="auto" w:sz="4" w:space="0"/>
                  </w:tcBorders>
                  <w:vAlign w:val="center"/>
                </w:tcPr>
                <w:p w14:paraId="5732C6B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p>
              </w:tc>
            </w:tr>
            <w:tr w14:paraId="69C126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3D385E4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016F343A">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cs="Times New Roman"/>
                      <w:b w:val="0"/>
                      <w:bCs w:val="0"/>
                      <w:color w:val="auto"/>
                      <w:sz w:val="21"/>
                      <w:szCs w:val="21"/>
                      <w:lang w:val="en-US"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3FCBAEA2">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精磨、细磨</w:t>
                  </w:r>
                </w:p>
              </w:tc>
              <w:tc>
                <w:tcPr>
                  <w:tcW w:w="555" w:type="pct"/>
                  <w:tcBorders>
                    <w:top w:val="single" w:color="auto" w:sz="4" w:space="0"/>
                    <w:left w:val="single" w:color="auto" w:sz="4" w:space="0"/>
                    <w:right w:val="single" w:color="auto" w:sz="4" w:space="0"/>
                  </w:tcBorders>
                  <w:vAlign w:val="center"/>
                </w:tcPr>
                <w:p w14:paraId="6A96AECC">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eastAsia="zh-CN"/>
                    </w:rPr>
                    <w:t>粉尘</w:t>
                  </w:r>
                </w:p>
              </w:tc>
              <w:tc>
                <w:tcPr>
                  <w:tcW w:w="672" w:type="pct"/>
                  <w:tcBorders>
                    <w:top w:val="single" w:color="auto" w:sz="4" w:space="0"/>
                    <w:left w:val="single" w:color="auto" w:sz="4" w:space="0"/>
                    <w:bottom w:val="single" w:color="auto" w:sz="4" w:space="0"/>
                    <w:right w:val="single" w:color="auto" w:sz="4" w:space="0"/>
                  </w:tcBorders>
                  <w:vAlign w:val="center"/>
                </w:tcPr>
                <w:p w14:paraId="4F1A1F35">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r>
                    <w:rPr>
                      <w:rFonts w:hint="eastAsia" w:ascii="Times New Roman" w:hAnsi="Times New Roman" w:eastAsia="宋体" w:cs="Times New Roman"/>
                      <w:color w:val="auto"/>
                      <w:w w:val="100"/>
                      <w:kern w:val="2"/>
                      <w:sz w:val="21"/>
                      <w:szCs w:val="21"/>
                      <w:lang w:val="en-US" w:eastAsia="zh-CN"/>
                    </w:rPr>
                    <w:t>布袋除尘器</w:t>
                  </w:r>
                </w:p>
              </w:tc>
              <w:tc>
                <w:tcPr>
                  <w:tcW w:w="463" w:type="pct"/>
                  <w:tcBorders>
                    <w:top w:val="single" w:color="auto" w:sz="4" w:space="0"/>
                    <w:left w:val="single" w:color="auto" w:sz="4" w:space="0"/>
                    <w:right w:val="single" w:color="auto" w:sz="4" w:space="0"/>
                  </w:tcBorders>
                  <w:vAlign w:val="center"/>
                </w:tcPr>
                <w:p w14:paraId="78849E1E">
                  <w:pPr>
                    <w:keepNext w:val="0"/>
                    <w:keepLines w:val="0"/>
                    <w:pageBreakBefore w:val="0"/>
                    <w:widowControl/>
                    <w:suppressLineNumbers w:val="0"/>
                    <w:overflowPunct/>
                    <w:topLinePunct w:val="0"/>
                    <w:bidi w:val="0"/>
                    <w:spacing w:before="0" w:beforeAutospacing="0" w:after="0" w:afterAutospacing="0" w:line="360" w:lineRule="atLeast"/>
                    <w:ind w:left="0" w:right="0"/>
                    <w:jc w:val="center"/>
                    <w:textAlignment w:val="center"/>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bidi="ar-SA"/>
                    </w:rPr>
                    <w:t>/</w:t>
                  </w:r>
                </w:p>
              </w:tc>
              <w:tc>
                <w:tcPr>
                  <w:tcW w:w="459" w:type="pct"/>
                  <w:tcBorders>
                    <w:top w:val="single" w:color="auto" w:sz="4" w:space="0"/>
                    <w:left w:val="single" w:color="auto" w:sz="4" w:space="0"/>
                    <w:right w:val="single" w:color="auto" w:sz="4" w:space="0"/>
                  </w:tcBorders>
                  <w:vAlign w:val="center"/>
                </w:tcPr>
                <w:p w14:paraId="1421C9A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bidi="ar-SA"/>
                    </w:rPr>
                    <w:t>0.19</w:t>
                  </w:r>
                </w:p>
              </w:tc>
              <w:tc>
                <w:tcPr>
                  <w:tcW w:w="731" w:type="pct"/>
                  <w:tcBorders>
                    <w:top w:val="single" w:color="auto" w:sz="4" w:space="0"/>
                    <w:left w:val="single" w:color="auto" w:sz="4" w:space="0"/>
                    <w:bottom w:val="single" w:color="auto" w:sz="4" w:space="0"/>
                    <w:right w:val="single" w:color="auto" w:sz="4" w:space="0"/>
                  </w:tcBorders>
                  <w:vAlign w:val="center"/>
                </w:tcPr>
                <w:p w14:paraId="6805A2E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布袋除尘器</w:t>
                  </w:r>
                </w:p>
              </w:tc>
              <w:tc>
                <w:tcPr>
                  <w:tcW w:w="537" w:type="pct"/>
                  <w:tcBorders>
                    <w:top w:val="single" w:color="auto" w:sz="4" w:space="0"/>
                    <w:left w:val="single" w:color="auto" w:sz="4" w:space="0"/>
                  </w:tcBorders>
                  <w:vAlign w:val="center"/>
                </w:tcPr>
                <w:p w14:paraId="22250DB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7.4×10</w:t>
                  </w:r>
                  <w:r>
                    <w:rPr>
                      <w:rFonts w:hint="default" w:ascii="Times New Roman" w:hAnsi="Times New Roman" w:eastAsia="宋体" w:cs="Times New Roman"/>
                      <w:color w:val="auto"/>
                      <w:sz w:val="21"/>
                      <w:szCs w:val="21"/>
                      <w:vertAlign w:val="superscript"/>
                      <w:lang w:val="en-US" w:eastAsia="zh-CN"/>
                    </w:rPr>
                    <w:t>-3</w:t>
                  </w:r>
                </w:p>
              </w:tc>
              <w:tc>
                <w:tcPr>
                  <w:tcW w:w="436" w:type="pct"/>
                  <w:tcBorders>
                    <w:top w:val="single" w:color="auto" w:sz="4" w:space="0"/>
                    <w:left w:val="single" w:color="auto" w:sz="4" w:space="0"/>
                    <w:bottom w:val="single" w:color="auto" w:sz="4" w:space="0"/>
                  </w:tcBorders>
                  <w:vAlign w:val="center"/>
                </w:tcPr>
                <w:p w14:paraId="1EEFB5C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0.179</w:t>
                  </w:r>
                </w:p>
              </w:tc>
            </w:tr>
            <w:tr w14:paraId="09EBF3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4018B1E9">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restart"/>
                  <w:tcBorders>
                    <w:top w:val="single" w:color="auto" w:sz="4" w:space="0"/>
                    <w:left w:val="single" w:color="auto" w:sz="4" w:space="0"/>
                    <w:right w:val="single" w:color="auto" w:sz="4" w:space="0"/>
                  </w:tcBorders>
                  <w:vAlign w:val="center"/>
                </w:tcPr>
                <w:p w14:paraId="38DCE9E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w w:val="100"/>
                      <w:kern w:val="2"/>
                      <w:sz w:val="21"/>
                      <w:szCs w:val="21"/>
                      <w:lang w:eastAsia="zh-CN"/>
                    </w:rPr>
                  </w:pPr>
                  <w:r>
                    <w:rPr>
                      <w:rFonts w:hint="eastAsia" w:ascii="Times New Roman" w:hAnsi="Times New Roman" w:eastAsia="宋体" w:cs="Times New Roman"/>
                      <w:color w:val="auto"/>
                      <w:w w:val="100"/>
                      <w:kern w:val="2"/>
                      <w:sz w:val="21"/>
                      <w:szCs w:val="21"/>
                      <w:lang w:eastAsia="zh-CN"/>
                    </w:rPr>
                    <w:t>无组织</w:t>
                  </w:r>
                </w:p>
              </w:tc>
              <w:tc>
                <w:tcPr>
                  <w:tcW w:w="509" w:type="pct"/>
                  <w:tcBorders>
                    <w:top w:val="single" w:color="auto" w:sz="4" w:space="0"/>
                    <w:left w:val="single" w:color="auto" w:sz="4" w:space="0"/>
                    <w:bottom w:val="single" w:color="auto" w:sz="4" w:space="0"/>
                    <w:right w:val="single" w:color="auto" w:sz="4" w:space="0"/>
                  </w:tcBorders>
                  <w:vAlign w:val="center"/>
                </w:tcPr>
                <w:p w14:paraId="12F668C9">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eastAsia="zh-CN"/>
                    </w:rPr>
                    <w:t>薄通</w:t>
                  </w:r>
                </w:p>
              </w:tc>
              <w:tc>
                <w:tcPr>
                  <w:tcW w:w="555" w:type="pct"/>
                  <w:tcBorders>
                    <w:top w:val="single" w:color="auto" w:sz="4" w:space="0"/>
                    <w:left w:val="single" w:color="auto" w:sz="4" w:space="0"/>
                    <w:right w:val="single" w:color="auto" w:sz="4" w:space="0"/>
                  </w:tcBorders>
                  <w:vAlign w:val="center"/>
                </w:tcPr>
                <w:p w14:paraId="60FA3A2B">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zh-CN" w:eastAsia="zh-CN" w:bidi="ar-SA"/>
                    </w:rPr>
                  </w:pPr>
                  <w:r>
                    <w:rPr>
                      <w:rFonts w:hint="eastAsia" w:cs="Times New Roman"/>
                      <w:color w:val="auto"/>
                      <w:w w:val="100"/>
                      <w:kern w:val="2"/>
                      <w:sz w:val="21"/>
                      <w:szCs w:val="21"/>
                      <w:lang w:eastAsia="zh-CN"/>
                    </w:rPr>
                    <w:t>挥发性有机物</w:t>
                  </w:r>
                </w:p>
              </w:tc>
              <w:tc>
                <w:tcPr>
                  <w:tcW w:w="672" w:type="pct"/>
                  <w:vMerge w:val="restart"/>
                  <w:tcBorders>
                    <w:top w:val="single" w:color="auto" w:sz="4" w:space="0"/>
                    <w:left w:val="single" w:color="auto" w:sz="4" w:space="0"/>
                    <w:right w:val="single" w:color="auto" w:sz="4" w:space="0"/>
                  </w:tcBorders>
                  <w:vAlign w:val="center"/>
                </w:tcPr>
                <w:p w14:paraId="62CE764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w w:val="100"/>
                      <w:sz w:val="21"/>
                      <w:szCs w:val="21"/>
                    </w:rPr>
                    <w:t>加强通风</w:t>
                  </w:r>
                </w:p>
              </w:tc>
              <w:tc>
                <w:tcPr>
                  <w:tcW w:w="463" w:type="pct"/>
                  <w:tcBorders>
                    <w:top w:val="single" w:color="auto" w:sz="4" w:space="0"/>
                    <w:left w:val="single" w:color="auto" w:sz="4" w:space="0"/>
                    <w:right w:val="single" w:color="auto" w:sz="4" w:space="0"/>
                  </w:tcBorders>
                  <w:vAlign w:val="center"/>
                </w:tcPr>
                <w:p w14:paraId="3308B2D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0191CD4B">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0.21</w:t>
                  </w:r>
                </w:p>
              </w:tc>
              <w:tc>
                <w:tcPr>
                  <w:tcW w:w="731" w:type="pct"/>
                  <w:vMerge w:val="restart"/>
                  <w:tcBorders>
                    <w:top w:val="single" w:color="auto" w:sz="4" w:space="0"/>
                    <w:left w:val="single" w:color="auto" w:sz="4" w:space="0"/>
                    <w:right w:val="single" w:color="auto" w:sz="4" w:space="0"/>
                  </w:tcBorders>
                  <w:vAlign w:val="center"/>
                </w:tcPr>
                <w:p w14:paraId="20A75DCF">
                  <w:pPr>
                    <w:keepNext w:val="0"/>
                    <w:keepLines w:val="0"/>
                    <w:pageBreakBefore w:val="0"/>
                    <w:widowControl w:val="0"/>
                    <w:suppressLineNumbers w:val="0"/>
                    <w:kinsoku/>
                    <w:wordWrap w:val="0"/>
                    <w:overflowPunct/>
                    <w:topLinePunct w:val="0"/>
                    <w:autoSpaceDE/>
                    <w:autoSpaceDN/>
                    <w:bidi w:val="0"/>
                    <w:adjustRightInd w:val="0"/>
                    <w:snapToGrid w:val="0"/>
                    <w:spacing w:before="0" w:beforeAutospacing="0" w:after="0" w:afterAutospacing="0" w:line="360" w:lineRule="atLeast"/>
                    <w:ind w:left="0" w:right="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w w:val="100"/>
                      <w:sz w:val="21"/>
                      <w:szCs w:val="21"/>
                    </w:rPr>
                    <w:t>加强通风</w:t>
                  </w:r>
                </w:p>
              </w:tc>
              <w:tc>
                <w:tcPr>
                  <w:tcW w:w="537" w:type="pct"/>
                  <w:tcBorders>
                    <w:top w:val="single" w:color="auto" w:sz="4" w:space="0"/>
                    <w:left w:val="single" w:color="auto" w:sz="4" w:space="0"/>
                  </w:tcBorders>
                  <w:vAlign w:val="center"/>
                </w:tcPr>
                <w:p w14:paraId="0CFFC60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52CA9D20">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r>
            <w:tr w14:paraId="62721C7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2E5B6B5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3EF19EF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rPr>
                  </w:pPr>
                </w:p>
              </w:tc>
              <w:tc>
                <w:tcPr>
                  <w:tcW w:w="509" w:type="pct"/>
                  <w:tcBorders>
                    <w:top w:val="single" w:color="auto" w:sz="4" w:space="0"/>
                    <w:left w:val="single" w:color="auto" w:sz="4" w:space="0"/>
                    <w:bottom w:val="single" w:color="auto" w:sz="4" w:space="0"/>
                    <w:right w:val="single" w:color="auto" w:sz="4" w:space="0"/>
                  </w:tcBorders>
                  <w:vAlign w:val="center"/>
                </w:tcPr>
                <w:p w14:paraId="1647D12F">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zh-CN" w:eastAsia="zh-CN" w:bidi="ar-SA"/>
                    </w:rPr>
                  </w:pPr>
                  <w:r>
                    <w:rPr>
                      <w:rFonts w:hint="eastAsia" w:ascii="Times New Roman" w:hAnsi="Times New Roman" w:eastAsia="宋体" w:cs="Times New Roman"/>
                      <w:color w:val="auto"/>
                      <w:w w:val="100"/>
                      <w:kern w:val="2"/>
                      <w:sz w:val="21"/>
                      <w:szCs w:val="21"/>
                      <w:lang w:eastAsia="zh-CN"/>
                    </w:rPr>
                    <w:t>加热</w:t>
                  </w:r>
                </w:p>
              </w:tc>
              <w:tc>
                <w:tcPr>
                  <w:tcW w:w="555" w:type="pct"/>
                  <w:tcBorders>
                    <w:top w:val="single" w:color="auto" w:sz="4" w:space="0"/>
                    <w:left w:val="single" w:color="auto" w:sz="4" w:space="0"/>
                    <w:right w:val="single" w:color="auto" w:sz="4" w:space="0"/>
                  </w:tcBorders>
                  <w:vAlign w:val="center"/>
                </w:tcPr>
                <w:p w14:paraId="2839EF81">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zh-CN" w:eastAsia="zh-CN" w:bidi="ar-SA"/>
                    </w:rPr>
                  </w:pPr>
                  <w:r>
                    <w:rPr>
                      <w:rFonts w:hint="eastAsia" w:cs="Times New Roman"/>
                      <w:color w:val="auto"/>
                      <w:w w:val="100"/>
                      <w:kern w:val="2"/>
                      <w:sz w:val="21"/>
                      <w:szCs w:val="21"/>
                      <w:lang w:eastAsia="zh-CN"/>
                    </w:rPr>
                    <w:t>挥发性有机物</w:t>
                  </w:r>
                </w:p>
              </w:tc>
              <w:tc>
                <w:tcPr>
                  <w:tcW w:w="672" w:type="pct"/>
                  <w:vMerge w:val="continue"/>
                  <w:tcBorders>
                    <w:left w:val="single" w:color="auto" w:sz="4" w:space="0"/>
                    <w:right w:val="single" w:color="auto" w:sz="4" w:space="0"/>
                  </w:tcBorders>
                  <w:vAlign w:val="center"/>
                </w:tcPr>
                <w:p w14:paraId="4CEF32E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sz w:val="21"/>
                      <w:szCs w:val="21"/>
                      <w:lang w:val="en-US" w:eastAsia="zh-CN"/>
                    </w:rPr>
                  </w:pPr>
                </w:p>
              </w:tc>
              <w:tc>
                <w:tcPr>
                  <w:tcW w:w="463" w:type="pct"/>
                  <w:tcBorders>
                    <w:top w:val="single" w:color="auto" w:sz="4" w:space="0"/>
                    <w:left w:val="single" w:color="auto" w:sz="4" w:space="0"/>
                    <w:right w:val="single" w:color="auto" w:sz="4" w:space="0"/>
                  </w:tcBorders>
                  <w:vAlign w:val="center"/>
                </w:tcPr>
                <w:p w14:paraId="489D63B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15D584A6">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bidi="ar-SA"/>
                    </w:rPr>
                    <w:t>0.11</w:t>
                  </w:r>
                </w:p>
              </w:tc>
              <w:tc>
                <w:tcPr>
                  <w:tcW w:w="731" w:type="pct"/>
                  <w:vMerge w:val="continue"/>
                  <w:tcBorders>
                    <w:left w:val="single" w:color="auto" w:sz="4" w:space="0"/>
                    <w:right w:val="single" w:color="auto" w:sz="4" w:space="0"/>
                  </w:tcBorders>
                  <w:vAlign w:val="center"/>
                </w:tcPr>
                <w:p w14:paraId="51F60108">
                  <w:pPr>
                    <w:keepNext w:val="0"/>
                    <w:keepLines w:val="0"/>
                    <w:pageBreakBefore w:val="0"/>
                    <w:widowControl w:val="0"/>
                    <w:suppressLineNumbers w:val="0"/>
                    <w:kinsoku/>
                    <w:wordWrap w:val="0"/>
                    <w:overflowPunct/>
                    <w:topLinePunct w:val="0"/>
                    <w:autoSpaceDE/>
                    <w:autoSpaceDN/>
                    <w:bidi w:val="0"/>
                    <w:adjustRightInd w:val="0"/>
                    <w:snapToGrid w:val="0"/>
                    <w:spacing w:before="0" w:beforeAutospacing="0" w:after="0" w:afterAutospacing="0" w:line="360" w:lineRule="atLeast"/>
                    <w:ind w:left="0" w:right="0"/>
                    <w:jc w:val="center"/>
                    <w:textAlignment w:val="auto"/>
                    <w:rPr>
                      <w:rFonts w:hint="default" w:ascii="Times New Roman" w:hAnsi="Times New Roman" w:eastAsia="宋体" w:cs="Times New Roman"/>
                      <w:color w:val="auto"/>
                      <w:sz w:val="21"/>
                      <w:szCs w:val="21"/>
                      <w:lang w:val="en-US" w:eastAsia="zh-CN"/>
                    </w:rPr>
                  </w:pPr>
                </w:p>
              </w:tc>
              <w:tc>
                <w:tcPr>
                  <w:tcW w:w="537" w:type="pct"/>
                  <w:tcBorders>
                    <w:top w:val="single" w:color="auto" w:sz="4" w:space="0"/>
                    <w:left w:val="single" w:color="auto" w:sz="4" w:space="0"/>
                  </w:tcBorders>
                  <w:vAlign w:val="center"/>
                </w:tcPr>
                <w:p w14:paraId="6C3B459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7AC6FCA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r>
            <w:tr w14:paraId="1FEA84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0A70326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185294B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rPr>
                  </w:pPr>
                </w:p>
              </w:tc>
              <w:tc>
                <w:tcPr>
                  <w:tcW w:w="509" w:type="pct"/>
                  <w:tcBorders>
                    <w:top w:val="single" w:color="auto" w:sz="4" w:space="0"/>
                    <w:left w:val="single" w:color="auto" w:sz="4" w:space="0"/>
                    <w:bottom w:val="single" w:color="auto" w:sz="4" w:space="0"/>
                    <w:right w:val="single" w:color="auto" w:sz="4" w:space="0"/>
                  </w:tcBorders>
                  <w:vAlign w:val="center"/>
                </w:tcPr>
                <w:p w14:paraId="197A2FE3">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轴芯涂胶、清洗</w:t>
                  </w:r>
                </w:p>
              </w:tc>
              <w:tc>
                <w:tcPr>
                  <w:tcW w:w="555" w:type="pct"/>
                  <w:tcBorders>
                    <w:top w:val="single" w:color="auto" w:sz="4" w:space="0"/>
                    <w:left w:val="single" w:color="auto" w:sz="4" w:space="0"/>
                    <w:right w:val="single" w:color="auto" w:sz="4" w:space="0"/>
                  </w:tcBorders>
                  <w:vAlign w:val="center"/>
                </w:tcPr>
                <w:p w14:paraId="6A44682C">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vMerge w:val="continue"/>
                  <w:tcBorders>
                    <w:left w:val="single" w:color="auto" w:sz="4" w:space="0"/>
                    <w:right w:val="single" w:color="auto" w:sz="4" w:space="0"/>
                  </w:tcBorders>
                  <w:vAlign w:val="center"/>
                </w:tcPr>
                <w:p w14:paraId="4FB0652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sz w:val="21"/>
                      <w:szCs w:val="21"/>
                      <w:lang w:val="en-US" w:eastAsia="zh-CN"/>
                    </w:rPr>
                  </w:pPr>
                </w:p>
              </w:tc>
              <w:tc>
                <w:tcPr>
                  <w:tcW w:w="463" w:type="pct"/>
                  <w:tcBorders>
                    <w:top w:val="single" w:color="auto" w:sz="4" w:space="0"/>
                    <w:left w:val="single" w:color="auto" w:sz="4" w:space="0"/>
                    <w:right w:val="single" w:color="auto" w:sz="4" w:space="0"/>
                  </w:tcBorders>
                  <w:vAlign w:val="center"/>
                </w:tcPr>
                <w:p w14:paraId="6B1065F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12E3EEDF">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0.17</w:t>
                  </w:r>
                </w:p>
              </w:tc>
              <w:tc>
                <w:tcPr>
                  <w:tcW w:w="731" w:type="pct"/>
                  <w:vMerge w:val="continue"/>
                  <w:tcBorders>
                    <w:left w:val="single" w:color="auto" w:sz="4" w:space="0"/>
                    <w:right w:val="single" w:color="auto" w:sz="4" w:space="0"/>
                  </w:tcBorders>
                  <w:vAlign w:val="center"/>
                </w:tcPr>
                <w:p w14:paraId="40D9E70E">
                  <w:pPr>
                    <w:keepNext w:val="0"/>
                    <w:keepLines w:val="0"/>
                    <w:pageBreakBefore w:val="0"/>
                    <w:widowControl w:val="0"/>
                    <w:suppressLineNumbers w:val="0"/>
                    <w:kinsoku/>
                    <w:wordWrap w:val="0"/>
                    <w:overflowPunct/>
                    <w:topLinePunct w:val="0"/>
                    <w:autoSpaceDE/>
                    <w:autoSpaceDN/>
                    <w:bidi w:val="0"/>
                    <w:adjustRightInd w:val="0"/>
                    <w:snapToGrid w:val="0"/>
                    <w:spacing w:before="0" w:beforeAutospacing="0" w:after="0" w:afterAutospacing="0" w:line="360" w:lineRule="atLeast"/>
                    <w:ind w:left="0" w:right="0"/>
                    <w:jc w:val="center"/>
                    <w:textAlignment w:val="auto"/>
                    <w:rPr>
                      <w:rFonts w:hint="default" w:ascii="Times New Roman" w:hAnsi="Times New Roman" w:eastAsia="宋体" w:cs="Times New Roman"/>
                      <w:color w:val="auto"/>
                      <w:sz w:val="21"/>
                      <w:szCs w:val="21"/>
                      <w:lang w:val="en-US" w:eastAsia="zh-CN"/>
                    </w:rPr>
                  </w:pPr>
                </w:p>
              </w:tc>
              <w:tc>
                <w:tcPr>
                  <w:tcW w:w="537" w:type="pct"/>
                  <w:tcBorders>
                    <w:top w:val="single" w:color="auto" w:sz="4" w:space="0"/>
                    <w:left w:val="single" w:color="auto" w:sz="4" w:space="0"/>
                  </w:tcBorders>
                  <w:vAlign w:val="center"/>
                </w:tcPr>
                <w:p w14:paraId="02E734E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3098C1BE">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r>
            <w:tr w14:paraId="371AAF2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181415F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16BF9A9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56273973">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喷涂</w:t>
                  </w:r>
                </w:p>
              </w:tc>
              <w:tc>
                <w:tcPr>
                  <w:tcW w:w="555" w:type="pct"/>
                  <w:tcBorders>
                    <w:top w:val="single" w:color="auto" w:sz="4" w:space="0"/>
                    <w:left w:val="single" w:color="auto" w:sz="4" w:space="0"/>
                    <w:right w:val="single" w:color="auto" w:sz="4" w:space="0"/>
                  </w:tcBorders>
                  <w:vAlign w:val="center"/>
                </w:tcPr>
                <w:p w14:paraId="18FF02C9">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vMerge w:val="continue"/>
                  <w:tcBorders>
                    <w:left w:val="single" w:color="auto" w:sz="4" w:space="0"/>
                    <w:right w:val="single" w:color="auto" w:sz="4" w:space="0"/>
                  </w:tcBorders>
                  <w:vAlign w:val="center"/>
                </w:tcPr>
                <w:p w14:paraId="762BFD0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p>
              </w:tc>
              <w:tc>
                <w:tcPr>
                  <w:tcW w:w="463" w:type="pct"/>
                  <w:tcBorders>
                    <w:top w:val="single" w:color="auto" w:sz="4" w:space="0"/>
                    <w:left w:val="single" w:color="auto" w:sz="4" w:space="0"/>
                    <w:right w:val="single" w:color="auto" w:sz="4" w:space="0"/>
                  </w:tcBorders>
                  <w:vAlign w:val="center"/>
                </w:tcPr>
                <w:p w14:paraId="49453DAE">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0FA05F22">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0.93</w:t>
                  </w:r>
                </w:p>
              </w:tc>
              <w:tc>
                <w:tcPr>
                  <w:tcW w:w="731" w:type="pct"/>
                  <w:vMerge w:val="continue"/>
                  <w:tcBorders>
                    <w:left w:val="single" w:color="auto" w:sz="4" w:space="0"/>
                    <w:right w:val="single" w:color="auto" w:sz="4" w:space="0"/>
                  </w:tcBorders>
                  <w:vAlign w:val="center"/>
                </w:tcPr>
                <w:p w14:paraId="200A780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val="en-US" w:eastAsia="zh-CN" w:bidi="ar-SA"/>
                    </w:rPr>
                  </w:pPr>
                </w:p>
              </w:tc>
              <w:tc>
                <w:tcPr>
                  <w:tcW w:w="537" w:type="pct"/>
                  <w:tcBorders>
                    <w:top w:val="single" w:color="auto" w:sz="4" w:space="0"/>
                    <w:left w:val="single" w:color="auto" w:sz="4" w:space="0"/>
                  </w:tcBorders>
                  <w:vAlign w:val="center"/>
                </w:tcPr>
                <w:p w14:paraId="0D611A5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6A583D5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rPr>
                  </w:pPr>
                  <w:r>
                    <w:rPr>
                      <w:rFonts w:hint="eastAsia" w:ascii="Times New Roman" w:hAnsi="Times New Roman" w:eastAsia="宋体" w:cs="Times New Roman"/>
                      <w:color w:val="auto"/>
                      <w:w w:val="100"/>
                      <w:kern w:val="2"/>
                      <w:sz w:val="21"/>
                      <w:szCs w:val="21"/>
                      <w:highlight w:val="none"/>
                      <w:lang w:val="en-US" w:eastAsia="zh-CN"/>
                    </w:rPr>
                    <w:t>/</w:t>
                  </w:r>
                </w:p>
              </w:tc>
            </w:tr>
            <w:tr w14:paraId="369D218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6D01CA3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30B9A93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27CF813E">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加热</w:t>
                  </w:r>
                </w:p>
              </w:tc>
              <w:tc>
                <w:tcPr>
                  <w:tcW w:w="555" w:type="pct"/>
                  <w:tcBorders>
                    <w:top w:val="single" w:color="auto" w:sz="4" w:space="0"/>
                    <w:left w:val="single" w:color="auto" w:sz="4" w:space="0"/>
                    <w:right w:val="single" w:color="auto" w:sz="4" w:space="0"/>
                  </w:tcBorders>
                  <w:vAlign w:val="center"/>
                </w:tcPr>
                <w:p w14:paraId="4C8BA83B">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72" w:type="pct"/>
                  <w:vMerge w:val="continue"/>
                  <w:tcBorders>
                    <w:left w:val="single" w:color="auto" w:sz="4" w:space="0"/>
                    <w:right w:val="single" w:color="auto" w:sz="4" w:space="0"/>
                  </w:tcBorders>
                  <w:vAlign w:val="center"/>
                </w:tcPr>
                <w:p w14:paraId="40784C8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p>
              </w:tc>
              <w:tc>
                <w:tcPr>
                  <w:tcW w:w="463" w:type="pct"/>
                  <w:tcBorders>
                    <w:top w:val="single" w:color="auto" w:sz="4" w:space="0"/>
                    <w:left w:val="single" w:color="auto" w:sz="4" w:space="0"/>
                    <w:right w:val="single" w:color="auto" w:sz="4" w:space="0"/>
                  </w:tcBorders>
                  <w:vAlign w:val="center"/>
                </w:tcPr>
                <w:p w14:paraId="0F104AD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1A2C8A3C">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0.12</w:t>
                  </w:r>
                </w:p>
              </w:tc>
              <w:tc>
                <w:tcPr>
                  <w:tcW w:w="731" w:type="pct"/>
                  <w:vMerge w:val="continue"/>
                  <w:tcBorders>
                    <w:left w:val="single" w:color="auto" w:sz="4" w:space="0"/>
                    <w:right w:val="single" w:color="auto" w:sz="4" w:space="0"/>
                  </w:tcBorders>
                  <w:vAlign w:val="center"/>
                </w:tcPr>
                <w:p w14:paraId="4BA1673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val="en-US" w:eastAsia="zh-CN"/>
                    </w:rPr>
                  </w:pPr>
                </w:p>
              </w:tc>
              <w:tc>
                <w:tcPr>
                  <w:tcW w:w="537" w:type="pct"/>
                  <w:tcBorders>
                    <w:top w:val="single" w:color="auto" w:sz="4" w:space="0"/>
                    <w:left w:val="single" w:color="auto" w:sz="4" w:space="0"/>
                  </w:tcBorders>
                  <w:vAlign w:val="center"/>
                </w:tcPr>
                <w:p w14:paraId="5DB3F09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w w:val="100"/>
                      <w:kern w:val="2"/>
                      <w:sz w:val="21"/>
                      <w:szCs w:val="21"/>
                      <w:highlight w:val="none"/>
                      <w:lang w:val="en-US" w:eastAsia="zh-CN" w:bidi="ar-SA"/>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5BFCF7E0">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r>
            <w:tr w14:paraId="516BDE7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441B120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344" w:type="pct"/>
                  <w:vMerge w:val="continue"/>
                  <w:tcBorders>
                    <w:left w:val="single" w:color="auto" w:sz="4" w:space="0"/>
                    <w:right w:val="single" w:color="auto" w:sz="4" w:space="0"/>
                  </w:tcBorders>
                  <w:vAlign w:val="center"/>
                </w:tcPr>
                <w:p w14:paraId="794ADFA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eastAsia="zh-CN"/>
                    </w:rPr>
                  </w:pPr>
                </w:p>
              </w:tc>
              <w:tc>
                <w:tcPr>
                  <w:tcW w:w="509" w:type="pct"/>
                  <w:tcBorders>
                    <w:top w:val="single" w:color="auto" w:sz="4" w:space="0"/>
                    <w:left w:val="single" w:color="auto" w:sz="4" w:space="0"/>
                    <w:bottom w:val="single" w:color="auto" w:sz="4" w:space="0"/>
                    <w:right w:val="single" w:color="auto" w:sz="4" w:space="0"/>
                  </w:tcBorders>
                  <w:vAlign w:val="center"/>
                </w:tcPr>
                <w:p w14:paraId="1312DCFA">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val="en-US" w:eastAsia="zh-CN"/>
                    </w:rPr>
                    <w:t>精磨、细磨</w:t>
                  </w:r>
                </w:p>
              </w:tc>
              <w:tc>
                <w:tcPr>
                  <w:tcW w:w="555" w:type="pct"/>
                  <w:tcBorders>
                    <w:top w:val="single" w:color="auto" w:sz="4" w:space="0"/>
                    <w:left w:val="single" w:color="auto" w:sz="4" w:space="0"/>
                    <w:right w:val="single" w:color="auto" w:sz="4" w:space="0"/>
                  </w:tcBorders>
                  <w:vAlign w:val="center"/>
                </w:tcPr>
                <w:p w14:paraId="40B8AE38">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kern w:val="2"/>
                      <w:sz w:val="21"/>
                      <w:szCs w:val="21"/>
                      <w:lang w:eastAsia="zh-CN"/>
                    </w:rPr>
                    <w:t>粉尘</w:t>
                  </w:r>
                </w:p>
              </w:tc>
              <w:tc>
                <w:tcPr>
                  <w:tcW w:w="672" w:type="pct"/>
                  <w:vMerge w:val="continue"/>
                  <w:tcBorders>
                    <w:left w:val="single" w:color="auto" w:sz="4" w:space="0"/>
                    <w:right w:val="single" w:color="auto" w:sz="4" w:space="0"/>
                  </w:tcBorders>
                  <w:vAlign w:val="center"/>
                </w:tcPr>
                <w:p w14:paraId="6398A23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rPr>
                  </w:pPr>
                </w:p>
              </w:tc>
              <w:tc>
                <w:tcPr>
                  <w:tcW w:w="463" w:type="pct"/>
                  <w:tcBorders>
                    <w:top w:val="single" w:color="auto" w:sz="4" w:space="0"/>
                    <w:left w:val="single" w:color="auto" w:sz="4" w:space="0"/>
                    <w:right w:val="single" w:color="auto" w:sz="4" w:space="0"/>
                  </w:tcBorders>
                  <w:vAlign w:val="center"/>
                </w:tcPr>
                <w:p w14:paraId="51A55F8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c>
                <w:tcPr>
                  <w:tcW w:w="459" w:type="pct"/>
                  <w:tcBorders>
                    <w:top w:val="single" w:color="auto" w:sz="4" w:space="0"/>
                    <w:left w:val="single" w:color="auto" w:sz="4" w:space="0"/>
                    <w:right w:val="single" w:color="auto" w:sz="4" w:space="0"/>
                  </w:tcBorders>
                  <w:vAlign w:val="center"/>
                </w:tcPr>
                <w:p w14:paraId="1A8C274E">
                  <w:pPr>
                    <w:keepNext w:val="0"/>
                    <w:keepLines w:val="0"/>
                    <w:pageBreakBefore w:val="0"/>
                    <w:widowControl/>
                    <w:suppressLineNumbers w:val="0"/>
                    <w:kinsoku/>
                    <w:wordWrap/>
                    <w:overflowPunct/>
                    <w:topLinePunct w:val="0"/>
                    <w:bidi w:val="0"/>
                    <w:adjustRightInd w:val="0"/>
                    <w:snapToGrid w:val="0"/>
                    <w:spacing w:before="0" w:beforeAutospacing="0" w:after="0" w:afterAutospacing="0" w:line="360" w:lineRule="exact"/>
                    <w:ind w:left="0" w:leftChars="0" w:right="0" w:rightChars="0"/>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w w:val="100"/>
                      <w:kern w:val="2"/>
                      <w:sz w:val="21"/>
                      <w:szCs w:val="21"/>
                      <w:highlight w:val="none"/>
                      <w:lang w:val="en-US" w:eastAsia="zh-CN"/>
                    </w:rPr>
                    <w:t>0.21</w:t>
                  </w:r>
                </w:p>
              </w:tc>
              <w:tc>
                <w:tcPr>
                  <w:tcW w:w="731" w:type="pct"/>
                  <w:vMerge w:val="continue"/>
                  <w:tcBorders>
                    <w:left w:val="single" w:color="auto" w:sz="4" w:space="0"/>
                    <w:right w:val="single" w:color="auto" w:sz="4" w:space="0"/>
                  </w:tcBorders>
                  <w:vAlign w:val="center"/>
                </w:tcPr>
                <w:p w14:paraId="067656D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2"/>
                      <w:sz w:val="21"/>
                      <w:szCs w:val="21"/>
                      <w:lang w:val="en-US" w:eastAsia="zh-CN"/>
                    </w:rPr>
                  </w:pPr>
                </w:p>
              </w:tc>
              <w:tc>
                <w:tcPr>
                  <w:tcW w:w="537" w:type="pct"/>
                  <w:tcBorders>
                    <w:top w:val="single" w:color="auto" w:sz="4" w:space="0"/>
                    <w:left w:val="single" w:color="auto" w:sz="4" w:space="0"/>
                  </w:tcBorders>
                  <w:vAlign w:val="center"/>
                </w:tcPr>
                <w:p w14:paraId="680E1492">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eastAsia" w:ascii="Times New Roman" w:hAnsi="Times New Roman" w:eastAsia="宋体" w:cs="Times New Roman"/>
                      <w:color w:val="auto"/>
                      <w:w w:val="100"/>
                      <w:kern w:val="2"/>
                      <w:sz w:val="21"/>
                      <w:szCs w:val="21"/>
                      <w:highlight w:val="none"/>
                      <w:lang w:val="en-US" w:eastAsia="zh-CN" w:bidi="ar-SA"/>
                    </w:rPr>
                  </w:pPr>
                  <w:r>
                    <w:rPr>
                      <w:rFonts w:hint="eastAsia" w:ascii="Times New Roman" w:hAnsi="Times New Roman" w:eastAsia="宋体" w:cs="Times New Roman"/>
                      <w:color w:val="auto"/>
                      <w:w w:val="100"/>
                      <w:kern w:val="2"/>
                      <w:sz w:val="21"/>
                      <w:szCs w:val="21"/>
                      <w:highlight w:val="none"/>
                      <w:lang w:val="en-US" w:eastAsia="zh-CN"/>
                    </w:rPr>
                    <w:t>/</w:t>
                  </w:r>
                </w:p>
              </w:tc>
              <w:tc>
                <w:tcPr>
                  <w:tcW w:w="436" w:type="pct"/>
                  <w:tcBorders>
                    <w:top w:val="single" w:color="auto" w:sz="4" w:space="0"/>
                    <w:left w:val="single" w:color="auto" w:sz="4" w:space="0"/>
                    <w:bottom w:val="single" w:color="auto" w:sz="4" w:space="0"/>
                  </w:tcBorders>
                  <w:vAlign w:val="center"/>
                </w:tcPr>
                <w:p w14:paraId="7D58E4A2">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rPr>
                  </w:pPr>
                  <w:r>
                    <w:rPr>
                      <w:rFonts w:hint="eastAsia" w:ascii="Times New Roman" w:hAnsi="Times New Roman" w:eastAsia="宋体" w:cs="Times New Roman"/>
                      <w:color w:val="auto"/>
                      <w:w w:val="100"/>
                      <w:kern w:val="2"/>
                      <w:sz w:val="21"/>
                      <w:szCs w:val="21"/>
                      <w:highlight w:val="none"/>
                      <w:lang w:val="en-US" w:eastAsia="zh-CN"/>
                    </w:rPr>
                    <w:t>/</w:t>
                  </w:r>
                </w:p>
              </w:tc>
            </w:tr>
            <w:tr w14:paraId="61C99AD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restart"/>
                  <w:tcBorders>
                    <w:top w:val="single" w:color="auto" w:sz="4" w:space="0"/>
                    <w:bottom w:val="single" w:color="auto" w:sz="4" w:space="0"/>
                    <w:right w:val="single" w:color="auto" w:sz="4" w:space="0"/>
                  </w:tcBorders>
                  <w:vAlign w:val="center"/>
                </w:tcPr>
                <w:p w14:paraId="3997D8D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种类</w:t>
                  </w:r>
                </w:p>
              </w:tc>
              <w:tc>
                <w:tcPr>
                  <w:tcW w:w="853" w:type="pct"/>
                  <w:gridSpan w:val="2"/>
                  <w:vMerge w:val="restart"/>
                  <w:tcBorders>
                    <w:top w:val="single" w:color="auto" w:sz="4" w:space="0"/>
                    <w:left w:val="single" w:color="auto" w:sz="4" w:space="0"/>
                    <w:bottom w:val="single" w:color="auto" w:sz="4" w:space="0"/>
                    <w:right w:val="single" w:color="auto" w:sz="4" w:space="0"/>
                  </w:tcBorders>
                  <w:vAlign w:val="center"/>
                </w:tcPr>
                <w:p w14:paraId="3A93AB2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排放源</w:t>
                  </w:r>
                </w:p>
              </w:tc>
              <w:tc>
                <w:tcPr>
                  <w:tcW w:w="555" w:type="pct"/>
                  <w:vMerge w:val="restart"/>
                  <w:tcBorders>
                    <w:top w:val="single" w:color="auto" w:sz="4" w:space="0"/>
                    <w:left w:val="single" w:color="auto" w:sz="4" w:space="0"/>
                    <w:bottom w:val="single" w:color="auto" w:sz="4" w:space="0"/>
                    <w:right w:val="single" w:color="auto" w:sz="4" w:space="0"/>
                  </w:tcBorders>
                  <w:vAlign w:val="center"/>
                </w:tcPr>
                <w:p w14:paraId="04FDCF2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tc>
              <w:tc>
                <w:tcPr>
                  <w:tcW w:w="1594" w:type="pct"/>
                  <w:gridSpan w:val="3"/>
                  <w:tcBorders>
                    <w:top w:val="single" w:color="auto" w:sz="4" w:space="0"/>
                    <w:left w:val="single" w:color="auto" w:sz="4" w:space="0"/>
                    <w:bottom w:val="single" w:color="auto" w:sz="4" w:space="0"/>
                    <w:right w:val="single" w:color="auto" w:sz="4" w:space="0"/>
                  </w:tcBorders>
                  <w:vAlign w:val="center"/>
                </w:tcPr>
                <w:p w14:paraId="2B89B6A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环评/批复情况</w:t>
                  </w:r>
                </w:p>
              </w:tc>
              <w:tc>
                <w:tcPr>
                  <w:tcW w:w="1705" w:type="pct"/>
                  <w:gridSpan w:val="3"/>
                  <w:tcBorders>
                    <w:top w:val="single" w:color="auto" w:sz="4" w:space="0"/>
                    <w:left w:val="single" w:color="auto" w:sz="4" w:space="0"/>
                    <w:bottom w:val="single" w:color="auto" w:sz="4" w:space="0"/>
                  </w:tcBorders>
                  <w:vAlign w:val="center"/>
                </w:tcPr>
                <w:p w14:paraId="10EF8A5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实际情况</w:t>
                  </w:r>
                </w:p>
              </w:tc>
            </w:tr>
            <w:tr w14:paraId="259559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top w:val="single" w:color="auto" w:sz="4" w:space="0"/>
                    <w:bottom w:val="single" w:color="auto" w:sz="4" w:space="0"/>
                    <w:right w:val="single" w:color="auto" w:sz="4" w:space="0"/>
                  </w:tcBorders>
                  <w:vAlign w:val="center"/>
                </w:tcPr>
                <w:p w14:paraId="6801996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p>
              </w:tc>
              <w:tc>
                <w:tcPr>
                  <w:tcW w:w="853" w:type="pct"/>
                  <w:gridSpan w:val="2"/>
                  <w:vMerge w:val="continue"/>
                  <w:tcBorders>
                    <w:top w:val="single" w:color="auto" w:sz="4" w:space="0"/>
                    <w:left w:val="single" w:color="auto" w:sz="4" w:space="0"/>
                    <w:bottom w:val="single" w:color="auto" w:sz="4" w:space="0"/>
                    <w:right w:val="single" w:color="auto" w:sz="4" w:space="0"/>
                  </w:tcBorders>
                  <w:vAlign w:val="center"/>
                </w:tcPr>
                <w:p w14:paraId="00753A6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p>
              </w:tc>
              <w:tc>
                <w:tcPr>
                  <w:tcW w:w="555" w:type="pct"/>
                  <w:vMerge w:val="continue"/>
                  <w:tcBorders>
                    <w:top w:val="single" w:color="auto" w:sz="4" w:space="0"/>
                    <w:left w:val="single" w:color="auto" w:sz="4" w:space="0"/>
                    <w:bottom w:val="single" w:color="auto" w:sz="4" w:space="0"/>
                    <w:right w:val="single" w:color="auto" w:sz="4" w:space="0"/>
                  </w:tcBorders>
                  <w:vAlign w:val="center"/>
                </w:tcPr>
                <w:p w14:paraId="6C2632B4">
                  <w:pPr>
                    <w:pStyle w:val="68"/>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p>
              </w:tc>
              <w:tc>
                <w:tcPr>
                  <w:tcW w:w="672" w:type="pct"/>
                  <w:tcBorders>
                    <w:top w:val="single" w:color="auto" w:sz="4" w:space="0"/>
                    <w:left w:val="single" w:color="auto" w:sz="4" w:space="0"/>
                    <w:bottom w:val="single" w:color="auto" w:sz="4" w:space="0"/>
                    <w:right w:val="single" w:color="auto" w:sz="4" w:space="0"/>
                  </w:tcBorders>
                  <w:vAlign w:val="center"/>
                </w:tcPr>
                <w:p w14:paraId="1DD6BF3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治理措施</w:t>
                  </w:r>
                </w:p>
              </w:tc>
              <w:tc>
                <w:tcPr>
                  <w:tcW w:w="463" w:type="pct"/>
                  <w:tcBorders>
                    <w:top w:val="single" w:color="auto" w:sz="4" w:space="0"/>
                    <w:left w:val="single" w:color="auto" w:sz="4" w:space="0"/>
                    <w:bottom w:val="single" w:color="auto" w:sz="4" w:space="0"/>
                    <w:right w:val="single" w:color="auto" w:sz="4" w:space="0"/>
                  </w:tcBorders>
                  <w:vAlign w:val="center"/>
                </w:tcPr>
                <w:p w14:paraId="4E2F10D0">
                  <w:pPr>
                    <w:keepNext w:val="0"/>
                    <w:keepLines w:val="0"/>
                    <w:pageBreakBefore w:val="0"/>
                    <w:widowControl w:val="0"/>
                    <w:suppressLineNumbers w:val="0"/>
                    <w:kinsoku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r>
                    <w:rPr>
                      <w:rFonts w:hint="eastAsia" w:ascii="Times New Roman" w:hAnsi="Times New Roman" w:eastAsia="宋体" w:cs="Times New Roman"/>
                      <w:b/>
                      <w:bCs/>
                      <w:color w:val="auto"/>
                      <w:w w:val="90"/>
                      <w:sz w:val="21"/>
                      <w:szCs w:val="21"/>
                      <w:lang w:val="en-US" w:eastAsia="zh-CN"/>
                    </w:rPr>
                    <w:t>排放</w:t>
                  </w:r>
                  <w:r>
                    <w:rPr>
                      <w:rFonts w:hint="default" w:ascii="Times New Roman" w:hAnsi="Times New Roman" w:eastAsia="宋体" w:cs="Times New Roman"/>
                      <w:b/>
                      <w:bCs/>
                      <w:color w:val="auto"/>
                      <w:w w:val="90"/>
                      <w:sz w:val="21"/>
                      <w:szCs w:val="21"/>
                    </w:rPr>
                    <w:t>浓度mg/L</w:t>
                  </w:r>
                </w:p>
              </w:tc>
              <w:tc>
                <w:tcPr>
                  <w:tcW w:w="459" w:type="pct"/>
                  <w:tcBorders>
                    <w:top w:val="single" w:color="auto" w:sz="4" w:space="0"/>
                    <w:left w:val="single" w:color="auto" w:sz="4" w:space="0"/>
                    <w:bottom w:val="single" w:color="auto" w:sz="4" w:space="0"/>
                    <w:right w:val="single" w:color="auto" w:sz="4" w:space="0"/>
                  </w:tcBorders>
                  <w:vAlign w:val="center"/>
                </w:tcPr>
                <w:p w14:paraId="07950A2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5DCEFE0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eastAsia" w:ascii="Times New Roman" w:hAnsi="Times New Roman" w:eastAsia="宋体" w:cs="Times New Roman"/>
                      <w:b/>
                      <w:bCs/>
                      <w:color w:val="auto"/>
                      <w:w w:val="90"/>
                      <w:sz w:val="21"/>
                      <w:szCs w:val="21"/>
                      <w:lang w:val="en-US" w:eastAsia="zh-CN"/>
                    </w:rPr>
                    <w:t>排放</w:t>
                  </w:r>
                  <w:r>
                    <w:rPr>
                      <w:rFonts w:hint="default" w:ascii="Times New Roman" w:hAnsi="Times New Roman" w:eastAsia="宋体" w:cs="Times New Roman"/>
                      <w:b/>
                      <w:bCs/>
                      <w:color w:val="auto"/>
                      <w:w w:val="90"/>
                      <w:sz w:val="21"/>
                      <w:szCs w:val="21"/>
                    </w:rPr>
                    <w:t>量t/a</w:t>
                  </w:r>
                </w:p>
              </w:tc>
              <w:tc>
                <w:tcPr>
                  <w:tcW w:w="731" w:type="pct"/>
                  <w:tcBorders>
                    <w:top w:val="single" w:color="auto" w:sz="4" w:space="0"/>
                    <w:left w:val="single" w:color="auto" w:sz="4" w:space="0"/>
                    <w:bottom w:val="single" w:color="auto" w:sz="4" w:space="0"/>
                    <w:right w:val="single" w:color="auto" w:sz="4" w:space="0"/>
                  </w:tcBorders>
                  <w:vAlign w:val="center"/>
                </w:tcPr>
                <w:p w14:paraId="23878BE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治理措施</w:t>
                  </w:r>
                </w:p>
              </w:tc>
              <w:tc>
                <w:tcPr>
                  <w:tcW w:w="537" w:type="pct"/>
                  <w:tcBorders>
                    <w:top w:val="single" w:color="auto" w:sz="4" w:space="0"/>
                    <w:left w:val="single" w:color="auto" w:sz="4" w:space="0"/>
                    <w:bottom w:val="single" w:color="auto" w:sz="4" w:space="0"/>
                    <w:right w:val="single" w:color="auto" w:sz="4" w:space="0"/>
                  </w:tcBorders>
                  <w:vAlign w:val="center"/>
                </w:tcPr>
                <w:p w14:paraId="0B4F6EF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r>
                    <w:rPr>
                      <w:rFonts w:hint="eastAsia" w:ascii="Times New Roman" w:hAnsi="Times New Roman" w:eastAsia="宋体" w:cs="Times New Roman"/>
                      <w:b/>
                      <w:bCs/>
                      <w:color w:val="auto"/>
                      <w:w w:val="90"/>
                      <w:sz w:val="21"/>
                      <w:szCs w:val="21"/>
                      <w:lang w:val="en-US" w:eastAsia="zh-CN"/>
                    </w:rPr>
                    <w:t>排放</w:t>
                  </w:r>
                  <w:r>
                    <w:rPr>
                      <w:rFonts w:hint="default" w:ascii="Times New Roman" w:hAnsi="Times New Roman" w:eastAsia="宋体" w:cs="Times New Roman"/>
                      <w:b/>
                      <w:bCs/>
                      <w:color w:val="auto"/>
                      <w:w w:val="90"/>
                      <w:sz w:val="21"/>
                      <w:szCs w:val="21"/>
                    </w:rPr>
                    <w:t>浓度mg/L</w:t>
                  </w:r>
                </w:p>
              </w:tc>
              <w:tc>
                <w:tcPr>
                  <w:tcW w:w="436" w:type="pct"/>
                  <w:tcBorders>
                    <w:top w:val="single" w:color="auto" w:sz="4" w:space="0"/>
                    <w:left w:val="single" w:color="auto" w:sz="4" w:space="0"/>
                    <w:bottom w:val="single" w:color="auto" w:sz="4" w:space="0"/>
                  </w:tcBorders>
                  <w:vAlign w:val="center"/>
                </w:tcPr>
                <w:p w14:paraId="61166A3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4BCAE47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eastAsia" w:ascii="Times New Roman" w:hAnsi="Times New Roman" w:eastAsia="宋体" w:cs="Times New Roman"/>
                      <w:b/>
                      <w:bCs/>
                      <w:color w:val="auto"/>
                      <w:w w:val="90"/>
                      <w:sz w:val="21"/>
                      <w:szCs w:val="21"/>
                      <w:lang w:val="en-US" w:eastAsia="zh-CN"/>
                    </w:rPr>
                    <w:t>排放</w:t>
                  </w:r>
                  <w:r>
                    <w:rPr>
                      <w:rFonts w:hint="default" w:ascii="Times New Roman" w:hAnsi="Times New Roman" w:eastAsia="宋体" w:cs="Times New Roman"/>
                      <w:b/>
                      <w:bCs/>
                      <w:color w:val="auto"/>
                      <w:w w:val="90"/>
                      <w:sz w:val="21"/>
                      <w:szCs w:val="21"/>
                    </w:rPr>
                    <w:t>量t/a</w:t>
                  </w:r>
                </w:p>
              </w:tc>
            </w:tr>
            <w:tr w14:paraId="558317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restart"/>
                  <w:tcBorders>
                    <w:top w:val="single" w:color="auto" w:sz="4" w:space="0"/>
                    <w:right w:val="single" w:color="auto" w:sz="4" w:space="0"/>
                  </w:tcBorders>
                  <w:vAlign w:val="center"/>
                </w:tcPr>
                <w:p w14:paraId="5510CFD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水污</w:t>
                  </w:r>
                </w:p>
                <w:p w14:paraId="2B5F14D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染物</w:t>
                  </w:r>
                </w:p>
              </w:tc>
              <w:tc>
                <w:tcPr>
                  <w:tcW w:w="853" w:type="pct"/>
                  <w:gridSpan w:val="2"/>
                  <w:vMerge w:val="restart"/>
                  <w:tcBorders>
                    <w:top w:val="single" w:color="auto" w:sz="4" w:space="0"/>
                    <w:left w:val="single" w:color="auto" w:sz="4" w:space="0"/>
                    <w:right w:val="single" w:color="auto" w:sz="4" w:space="0"/>
                  </w:tcBorders>
                  <w:vAlign w:val="center"/>
                </w:tcPr>
                <w:p w14:paraId="1491147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生活污水</w:t>
                  </w:r>
                </w:p>
              </w:tc>
              <w:tc>
                <w:tcPr>
                  <w:tcW w:w="555" w:type="pct"/>
                  <w:tcBorders>
                    <w:top w:val="single" w:color="auto" w:sz="4" w:space="0"/>
                    <w:left w:val="single" w:color="auto" w:sz="4" w:space="0"/>
                    <w:bottom w:val="single" w:color="auto" w:sz="4" w:space="0"/>
                    <w:right w:val="single" w:color="auto" w:sz="4" w:space="0"/>
                  </w:tcBorders>
                  <w:vAlign w:val="center"/>
                </w:tcPr>
                <w:p w14:paraId="728FEAE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firstLine="0" w:firstLineChars="0"/>
                    <w:jc w:val="center"/>
                    <w:textAlignment w:val="top"/>
                    <w:rPr>
                      <w:rFonts w:hint="default" w:ascii="Times New Roman" w:hAnsi="Times New Roman" w:eastAsia="宋体" w:cs="Times New Roman"/>
                      <w:color w:val="auto"/>
                      <w:sz w:val="21"/>
                      <w:szCs w:val="21"/>
                    </w:rPr>
                  </w:pPr>
                  <w:r>
                    <w:rPr>
                      <w:rStyle w:val="78"/>
                      <w:rFonts w:hint="default" w:ascii="Times New Roman" w:hAnsi="Times New Roman" w:eastAsia="宋体" w:cs="Times New Roman"/>
                      <w:color w:val="auto"/>
                      <w:sz w:val="21"/>
                      <w:szCs w:val="21"/>
                      <w:lang w:val="en-US" w:eastAsia="zh-CN" w:bidi="ar"/>
                    </w:rPr>
                    <w:t>废水量</w:t>
                  </w:r>
                </w:p>
              </w:tc>
              <w:tc>
                <w:tcPr>
                  <w:tcW w:w="672" w:type="pct"/>
                  <w:vMerge w:val="restart"/>
                  <w:tcBorders>
                    <w:top w:val="single" w:color="auto" w:sz="4" w:space="0"/>
                    <w:left w:val="single" w:color="auto" w:sz="4" w:space="0"/>
                    <w:right w:val="single" w:color="auto" w:sz="4" w:space="0"/>
                  </w:tcBorders>
                  <w:vAlign w:val="center"/>
                </w:tcPr>
                <w:p w14:paraId="0FFAAC0E">
                  <w:pPr>
                    <w:pStyle w:val="68"/>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定期清掏作为堆肥原料</w:t>
                  </w:r>
                </w:p>
              </w:tc>
              <w:tc>
                <w:tcPr>
                  <w:tcW w:w="922" w:type="pct"/>
                  <w:gridSpan w:val="2"/>
                  <w:tcBorders>
                    <w:top w:val="single" w:color="auto" w:sz="4" w:space="0"/>
                    <w:left w:val="single" w:color="auto" w:sz="4" w:space="0"/>
                    <w:bottom w:val="single" w:color="auto" w:sz="4" w:space="0"/>
                    <w:right w:val="single" w:color="auto" w:sz="4" w:space="0"/>
                  </w:tcBorders>
                  <w:vAlign w:val="center"/>
                </w:tcPr>
                <w:p w14:paraId="35E60955">
                  <w:pPr>
                    <w:pStyle w:val="68"/>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rPr>
                  </w:pPr>
                  <w:r>
                    <w:rPr>
                      <w:rFonts w:hint="eastAsia" w:ascii="Times New Roman" w:hAnsi="Times New Roman" w:cs="Times New Roman"/>
                      <w:color w:val="auto"/>
                      <w:kern w:val="2"/>
                      <w:sz w:val="21"/>
                      <w:szCs w:val="21"/>
                      <w:lang w:val="en-US" w:eastAsia="zh-CN"/>
                    </w:rPr>
                    <w:t>1080</w:t>
                  </w:r>
                  <w:r>
                    <w:rPr>
                      <w:rFonts w:hint="default" w:ascii="Times New Roman" w:hAnsi="Times New Roman" w:eastAsia="宋体" w:cs="Times New Roman"/>
                      <w:color w:val="auto"/>
                      <w:kern w:val="2"/>
                      <w:sz w:val="21"/>
                      <w:szCs w:val="21"/>
                      <w:lang w:val="en-US"/>
                    </w:rPr>
                    <w:t>m</w:t>
                  </w:r>
                  <w:r>
                    <w:rPr>
                      <w:rFonts w:hint="default" w:ascii="Times New Roman" w:hAnsi="Times New Roman" w:eastAsia="宋体" w:cs="Times New Roman"/>
                      <w:color w:val="auto"/>
                      <w:kern w:val="2"/>
                      <w:sz w:val="21"/>
                      <w:szCs w:val="21"/>
                      <w:vertAlign w:val="superscript"/>
                      <w:lang w:val="en-US"/>
                    </w:rPr>
                    <w:t>3</w:t>
                  </w:r>
                  <w:r>
                    <w:rPr>
                      <w:rFonts w:hint="default" w:ascii="Times New Roman" w:hAnsi="Times New Roman" w:eastAsia="宋体" w:cs="Times New Roman"/>
                      <w:color w:val="auto"/>
                      <w:kern w:val="2"/>
                      <w:sz w:val="21"/>
                      <w:szCs w:val="21"/>
                      <w:lang w:val="en-US"/>
                    </w:rPr>
                    <w:t>/a</w:t>
                  </w:r>
                </w:p>
              </w:tc>
              <w:tc>
                <w:tcPr>
                  <w:tcW w:w="731" w:type="pct"/>
                  <w:vMerge w:val="restart"/>
                  <w:tcBorders>
                    <w:top w:val="single" w:color="auto" w:sz="4" w:space="0"/>
                    <w:left w:val="single" w:color="auto" w:sz="4" w:space="0"/>
                    <w:right w:val="single" w:color="auto" w:sz="4" w:space="0"/>
                  </w:tcBorders>
                  <w:vAlign w:val="center"/>
                </w:tcPr>
                <w:p w14:paraId="6B3FBA2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定期清掏作为堆肥原料</w:t>
                  </w:r>
                </w:p>
              </w:tc>
              <w:tc>
                <w:tcPr>
                  <w:tcW w:w="973" w:type="pct"/>
                  <w:gridSpan w:val="2"/>
                  <w:tcBorders>
                    <w:top w:val="single" w:color="auto" w:sz="4" w:space="0"/>
                    <w:left w:val="single" w:color="auto" w:sz="4" w:space="0"/>
                    <w:bottom w:val="single" w:color="auto" w:sz="4" w:space="0"/>
                  </w:tcBorders>
                  <w:vAlign w:val="center"/>
                </w:tcPr>
                <w:p w14:paraId="40829A0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2"/>
                      <w:sz w:val="21"/>
                      <w:szCs w:val="21"/>
                      <w:lang w:val="en-US" w:eastAsia="zh-CN"/>
                    </w:rPr>
                    <w:t>1080</w:t>
                  </w:r>
                  <w:r>
                    <w:rPr>
                      <w:rFonts w:hint="default" w:ascii="Times New Roman" w:hAnsi="Times New Roman" w:eastAsia="宋体" w:cs="Times New Roman"/>
                      <w:color w:val="auto"/>
                      <w:kern w:val="2"/>
                      <w:sz w:val="21"/>
                      <w:szCs w:val="21"/>
                      <w:lang w:val="en-US"/>
                    </w:rPr>
                    <w:t>m</w:t>
                  </w:r>
                  <w:r>
                    <w:rPr>
                      <w:rFonts w:hint="default" w:ascii="Times New Roman" w:hAnsi="Times New Roman" w:eastAsia="宋体" w:cs="Times New Roman"/>
                      <w:color w:val="auto"/>
                      <w:kern w:val="2"/>
                      <w:sz w:val="21"/>
                      <w:szCs w:val="21"/>
                      <w:vertAlign w:val="superscript"/>
                      <w:lang w:val="en-US"/>
                    </w:rPr>
                    <w:t>3</w:t>
                  </w:r>
                  <w:r>
                    <w:rPr>
                      <w:rFonts w:hint="default" w:ascii="Times New Roman" w:hAnsi="Times New Roman" w:eastAsia="宋体" w:cs="Times New Roman"/>
                      <w:color w:val="auto"/>
                      <w:kern w:val="2"/>
                      <w:sz w:val="21"/>
                      <w:szCs w:val="21"/>
                      <w:lang w:val="en-US"/>
                    </w:rPr>
                    <w:t>/a</w:t>
                  </w:r>
                </w:p>
              </w:tc>
            </w:tr>
            <w:tr w14:paraId="37081E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30AE172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591FB42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6DE4B4F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firstLine="0" w:firstLineChars="0"/>
                    <w:jc w:val="center"/>
                    <w:textAlignment w:val="top"/>
                    <w:rPr>
                      <w:rFonts w:hint="default" w:ascii="Times New Roman" w:hAnsi="Times New Roman" w:eastAsia="宋体" w:cs="Times New Roman"/>
                      <w:b w:val="0"/>
                      <w:bCs/>
                      <w:color w:val="auto"/>
                      <w:sz w:val="21"/>
                      <w:szCs w:val="21"/>
                    </w:rPr>
                  </w:pPr>
                  <w:r>
                    <w:rPr>
                      <w:rFonts w:hint="default" w:ascii="Times New Roman" w:hAnsi="Times New Roman" w:eastAsia="宋体" w:cs="Times New Roman"/>
                      <w:i w:val="0"/>
                      <w:color w:val="auto"/>
                      <w:kern w:val="0"/>
                      <w:sz w:val="21"/>
                      <w:szCs w:val="21"/>
                      <w:u w:val="none"/>
                      <w:lang w:val="en-US" w:eastAsia="zh-CN" w:bidi="ar"/>
                    </w:rPr>
                    <w:t>COD</w:t>
                  </w:r>
                </w:p>
              </w:tc>
              <w:tc>
                <w:tcPr>
                  <w:tcW w:w="672" w:type="pct"/>
                  <w:vMerge w:val="continue"/>
                  <w:tcBorders>
                    <w:left w:val="single" w:color="auto" w:sz="4" w:space="0"/>
                    <w:right w:val="single" w:color="auto" w:sz="4" w:space="0"/>
                  </w:tcBorders>
                  <w:vAlign w:val="center"/>
                </w:tcPr>
                <w:p w14:paraId="7F2DCDF3">
                  <w:pPr>
                    <w:pStyle w:val="68"/>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val="en-US"/>
                    </w:rPr>
                  </w:pPr>
                </w:p>
              </w:tc>
              <w:tc>
                <w:tcPr>
                  <w:tcW w:w="463" w:type="pct"/>
                  <w:tcBorders>
                    <w:top w:val="single" w:color="auto" w:sz="4" w:space="0"/>
                    <w:left w:val="single" w:color="auto" w:sz="4" w:space="0"/>
                    <w:bottom w:val="single" w:color="auto" w:sz="4" w:space="0"/>
                    <w:right w:val="single" w:color="auto" w:sz="4" w:space="0"/>
                  </w:tcBorders>
                  <w:vAlign w:val="center"/>
                </w:tcPr>
                <w:p w14:paraId="1DE85C93">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3C88649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right w:val="single" w:color="auto" w:sz="4" w:space="0"/>
                  </w:tcBorders>
                  <w:vAlign w:val="center"/>
                </w:tcPr>
                <w:p w14:paraId="1AA1DA3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305A412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2F5C2E1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0EF789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4D3F31F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0C8F909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198E09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jc w:val="center"/>
                    <w:textAlignment w:val="auto"/>
                    <w:rPr>
                      <w:rFonts w:hint="default" w:ascii="Times New Roman" w:hAnsi="Times New Roman" w:cs="Times New Roman" w:eastAsiaTheme="minorEastAsia"/>
                      <w:b w:val="0"/>
                      <w:bCs/>
                      <w:color w:val="auto"/>
                      <w:sz w:val="21"/>
                      <w:szCs w:val="21"/>
                      <w:vertAlign w:val="baseline"/>
                      <w:lang w:val="en-US" w:eastAsia="zh-CN"/>
                    </w:rPr>
                  </w:pPr>
                  <w:r>
                    <w:rPr>
                      <w:rFonts w:hint="default" w:ascii="Times New Roman" w:hAnsi="Times New Roman" w:eastAsia="宋体" w:cs="Times New Roman"/>
                      <w:color w:val="auto"/>
                      <w:sz w:val="21"/>
                      <w:szCs w:val="21"/>
                    </w:rPr>
                    <w:t>BOD</w:t>
                  </w:r>
                  <w:r>
                    <w:rPr>
                      <w:rFonts w:hint="default" w:ascii="Times New Roman" w:hAnsi="Times New Roman" w:eastAsia="宋体" w:cs="Times New Roman"/>
                      <w:color w:val="auto"/>
                      <w:sz w:val="21"/>
                      <w:szCs w:val="21"/>
                      <w:vertAlign w:val="subscript"/>
                      <w:lang w:val="en-US" w:eastAsia="zh-CN"/>
                    </w:rPr>
                    <w:t>5</w:t>
                  </w:r>
                </w:p>
              </w:tc>
              <w:tc>
                <w:tcPr>
                  <w:tcW w:w="672" w:type="pct"/>
                  <w:vMerge w:val="continue"/>
                  <w:tcBorders>
                    <w:left w:val="single" w:color="auto" w:sz="4" w:space="0"/>
                    <w:right w:val="single" w:color="auto" w:sz="4" w:space="0"/>
                  </w:tcBorders>
                  <w:vAlign w:val="center"/>
                </w:tcPr>
                <w:p w14:paraId="1456D1B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463" w:type="pct"/>
                  <w:tcBorders>
                    <w:top w:val="single" w:color="auto" w:sz="4" w:space="0"/>
                    <w:left w:val="single" w:color="auto" w:sz="4" w:space="0"/>
                    <w:bottom w:val="single" w:color="auto" w:sz="4" w:space="0"/>
                    <w:right w:val="single" w:color="auto" w:sz="4" w:space="0"/>
                  </w:tcBorders>
                  <w:vAlign w:val="center"/>
                </w:tcPr>
                <w:p w14:paraId="7871CF8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218637B2">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right w:val="single" w:color="auto" w:sz="4" w:space="0"/>
                  </w:tcBorders>
                  <w:vAlign w:val="center"/>
                </w:tcPr>
                <w:p w14:paraId="7BCA084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7DC2560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5C2AAA7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5E27E8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6A9FA66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21C3B55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630101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jc w:val="center"/>
                    <w:textAlignment w:val="auto"/>
                    <w:rPr>
                      <w:rFonts w:hint="default" w:ascii="Times New Roman" w:hAnsi="Times New Roman" w:eastAsia="宋体" w:cs="Times New Roman"/>
                      <w:b w:val="0"/>
                      <w:bCs/>
                      <w:color w:val="auto"/>
                      <w:sz w:val="21"/>
                      <w:szCs w:val="21"/>
                    </w:rPr>
                  </w:pPr>
                  <w:r>
                    <w:rPr>
                      <w:rFonts w:hint="default" w:ascii="Times New Roman" w:hAnsi="Times New Roman" w:cs="Times New Roman" w:eastAsiaTheme="minorEastAsia"/>
                      <w:b w:val="0"/>
                      <w:bCs/>
                      <w:color w:val="auto"/>
                      <w:sz w:val="21"/>
                      <w:szCs w:val="21"/>
                      <w:vertAlign w:val="baseline"/>
                      <w:lang w:val="en-US" w:eastAsia="zh-CN"/>
                    </w:rPr>
                    <w:t>SS</w:t>
                  </w:r>
                </w:p>
              </w:tc>
              <w:tc>
                <w:tcPr>
                  <w:tcW w:w="672" w:type="pct"/>
                  <w:vMerge w:val="continue"/>
                  <w:tcBorders>
                    <w:left w:val="single" w:color="auto" w:sz="4" w:space="0"/>
                    <w:right w:val="single" w:color="auto" w:sz="4" w:space="0"/>
                  </w:tcBorders>
                  <w:vAlign w:val="center"/>
                </w:tcPr>
                <w:p w14:paraId="6A60680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463" w:type="pct"/>
                  <w:tcBorders>
                    <w:top w:val="single" w:color="auto" w:sz="4" w:space="0"/>
                    <w:left w:val="single" w:color="auto" w:sz="4" w:space="0"/>
                    <w:bottom w:val="single" w:color="auto" w:sz="4" w:space="0"/>
                    <w:right w:val="single" w:color="auto" w:sz="4" w:space="0"/>
                  </w:tcBorders>
                  <w:vAlign w:val="center"/>
                </w:tcPr>
                <w:p w14:paraId="6EB7BAC3">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7FCC2F7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right w:val="single" w:color="auto" w:sz="4" w:space="0"/>
                  </w:tcBorders>
                  <w:vAlign w:val="center"/>
                </w:tcPr>
                <w:p w14:paraId="7AB7E11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03F639D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304849C8">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1EBC64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00D96E7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7B3F2E6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44CB1D8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jc w:val="center"/>
                    <w:textAlignment w:val="auto"/>
                    <w:rPr>
                      <w:rFonts w:hint="default" w:ascii="Times New Roman" w:hAnsi="Times New Roman" w:cs="Times New Roman" w:eastAsiaTheme="minorEastAsia"/>
                      <w:b w:val="0"/>
                      <w:bCs/>
                      <w:color w:val="auto"/>
                      <w:sz w:val="21"/>
                      <w:szCs w:val="21"/>
                      <w:vertAlign w:val="baseline"/>
                      <w:lang w:val="en-US" w:eastAsia="zh-CN"/>
                    </w:rPr>
                  </w:pPr>
                  <w:r>
                    <w:rPr>
                      <w:rFonts w:hint="default" w:ascii="Times New Roman" w:hAnsi="Times New Roman" w:cs="Times New Roman" w:eastAsiaTheme="minorEastAsia"/>
                      <w:b w:val="0"/>
                      <w:bCs/>
                      <w:color w:val="auto"/>
                      <w:sz w:val="21"/>
                      <w:szCs w:val="21"/>
                      <w:vertAlign w:val="baseline"/>
                      <w:lang w:val="en-US" w:eastAsia="zh-CN"/>
                    </w:rPr>
                    <w:t>氨氮</w:t>
                  </w:r>
                </w:p>
              </w:tc>
              <w:tc>
                <w:tcPr>
                  <w:tcW w:w="672" w:type="pct"/>
                  <w:vMerge w:val="continue"/>
                  <w:tcBorders>
                    <w:left w:val="single" w:color="auto" w:sz="4" w:space="0"/>
                    <w:right w:val="single" w:color="auto" w:sz="4" w:space="0"/>
                  </w:tcBorders>
                  <w:vAlign w:val="center"/>
                </w:tcPr>
                <w:p w14:paraId="64568BF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463" w:type="pct"/>
                  <w:tcBorders>
                    <w:top w:val="single" w:color="auto" w:sz="4" w:space="0"/>
                    <w:left w:val="single" w:color="auto" w:sz="4" w:space="0"/>
                    <w:bottom w:val="single" w:color="auto" w:sz="4" w:space="0"/>
                    <w:right w:val="single" w:color="auto" w:sz="4" w:space="0"/>
                  </w:tcBorders>
                  <w:vAlign w:val="center"/>
                </w:tcPr>
                <w:p w14:paraId="1F7831B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4440571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right w:val="single" w:color="auto" w:sz="4" w:space="0"/>
                  </w:tcBorders>
                  <w:vAlign w:val="center"/>
                </w:tcPr>
                <w:p w14:paraId="556A11C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4887E1F5">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56F2B4C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111C49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11CCF07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43D8BB7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2222124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jc w:val="center"/>
                    <w:textAlignment w:val="auto"/>
                    <w:rPr>
                      <w:rFonts w:hint="default" w:ascii="Times New Roman" w:hAnsi="Times New Roman" w:eastAsia="宋体" w:cs="Times New Roman"/>
                      <w:b w:val="0"/>
                      <w:bCs/>
                      <w:color w:val="auto"/>
                      <w:sz w:val="21"/>
                      <w:szCs w:val="21"/>
                    </w:rPr>
                  </w:pPr>
                  <w:r>
                    <w:rPr>
                      <w:rFonts w:hint="default" w:ascii="Times New Roman" w:hAnsi="Times New Roman" w:cs="Times New Roman" w:eastAsiaTheme="minorEastAsia"/>
                      <w:b w:val="0"/>
                      <w:bCs/>
                      <w:color w:val="auto"/>
                      <w:sz w:val="21"/>
                      <w:szCs w:val="21"/>
                      <w:vertAlign w:val="baseline"/>
                      <w:lang w:val="en-US" w:eastAsia="zh-CN"/>
                    </w:rPr>
                    <w:t>TN</w:t>
                  </w:r>
                </w:p>
              </w:tc>
              <w:tc>
                <w:tcPr>
                  <w:tcW w:w="672" w:type="pct"/>
                  <w:vMerge w:val="continue"/>
                  <w:tcBorders>
                    <w:left w:val="single" w:color="auto" w:sz="4" w:space="0"/>
                    <w:right w:val="single" w:color="auto" w:sz="4" w:space="0"/>
                  </w:tcBorders>
                  <w:vAlign w:val="center"/>
                </w:tcPr>
                <w:p w14:paraId="68F45BF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463" w:type="pct"/>
                  <w:tcBorders>
                    <w:top w:val="single" w:color="auto" w:sz="4" w:space="0"/>
                    <w:left w:val="single" w:color="auto" w:sz="4" w:space="0"/>
                    <w:bottom w:val="single" w:color="auto" w:sz="4" w:space="0"/>
                    <w:right w:val="single" w:color="auto" w:sz="4" w:space="0"/>
                  </w:tcBorders>
                  <w:vAlign w:val="center"/>
                </w:tcPr>
                <w:p w14:paraId="526A1C98">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30C5236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right w:val="single" w:color="auto" w:sz="4" w:space="0"/>
                  </w:tcBorders>
                  <w:vAlign w:val="center"/>
                </w:tcPr>
                <w:p w14:paraId="16DBBAF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0FB15DAD">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56C470C6">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609D65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bottom w:val="single" w:color="auto" w:sz="4" w:space="0"/>
                    <w:right w:val="single" w:color="auto" w:sz="4" w:space="0"/>
                  </w:tcBorders>
                  <w:vAlign w:val="center"/>
                </w:tcPr>
                <w:p w14:paraId="3E7FD1F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bottom w:val="single" w:color="auto" w:sz="4" w:space="0"/>
                    <w:right w:val="single" w:color="auto" w:sz="4" w:space="0"/>
                  </w:tcBorders>
                  <w:vAlign w:val="center"/>
                </w:tcPr>
                <w:p w14:paraId="4DBD71D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104BD7B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tLeast"/>
                    <w:ind w:left="0" w:right="0"/>
                    <w:jc w:val="center"/>
                    <w:textAlignment w:val="auto"/>
                    <w:rPr>
                      <w:rFonts w:hint="default" w:ascii="Times New Roman" w:hAnsi="Times New Roman" w:eastAsia="宋体" w:cs="Times New Roman"/>
                      <w:b w:val="0"/>
                      <w:bCs/>
                      <w:color w:val="auto"/>
                      <w:sz w:val="21"/>
                      <w:szCs w:val="21"/>
                    </w:rPr>
                  </w:pPr>
                  <w:r>
                    <w:rPr>
                      <w:rFonts w:hint="default" w:ascii="Times New Roman" w:hAnsi="Times New Roman" w:cs="Times New Roman" w:eastAsiaTheme="minorEastAsia"/>
                      <w:b w:val="0"/>
                      <w:bCs/>
                      <w:color w:val="auto"/>
                      <w:sz w:val="21"/>
                      <w:szCs w:val="21"/>
                      <w:vertAlign w:val="baseline"/>
                      <w:lang w:val="en-US" w:eastAsia="zh-CN"/>
                    </w:rPr>
                    <w:t>TP</w:t>
                  </w:r>
                </w:p>
              </w:tc>
              <w:tc>
                <w:tcPr>
                  <w:tcW w:w="672" w:type="pct"/>
                  <w:vMerge w:val="continue"/>
                  <w:tcBorders>
                    <w:left w:val="single" w:color="auto" w:sz="4" w:space="0"/>
                    <w:bottom w:val="single" w:color="auto" w:sz="4" w:space="0"/>
                    <w:right w:val="single" w:color="auto" w:sz="4" w:space="0"/>
                  </w:tcBorders>
                  <w:vAlign w:val="center"/>
                </w:tcPr>
                <w:p w14:paraId="4CF8056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463" w:type="pct"/>
                  <w:tcBorders>
                    <w:top w:val="single" w:color="auto" w:sz="4" w:space="0"/>
                    <w:left w:val="single" w:color="auto" w:sz="4" w:space="0"/>
                    <w:bottom w:val="single" w:color="auto" w:sz="4" w:space="0"/>
                    <w:right w:val="single" w:color="auto" w:sz="4" w:space="0"/>
                  </w:tcBorders>
                  <w:vAlign w:val="center"/>
                </w:tcPr>
                <w:p w14:paraId="3F2487F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59" w:type="pct"/>
                  <w:tcBorders>
                    <w:top w:val="single" w:color="auto" w:sz="4" w:space="0"/>
                    <w:left w:val="single" w:color="auto" w:sz="4" w:space="0"/>
                    <w:bottom w:val="single" w:color="auto" w:sz="4" w:space="0"/>
                    <w:right w:val="single" w:color="auto" w:sz="4" w:space="0"/>
                  </w:tcBorders>
                  <w:vAlign w:val="center"/>
                </w:tcPr>
                <w:p w14:paraId="37EA3F7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31" w:type="pct"/>
                  <w:vMerge w:val="continue"/>
                  <w:tcBorders>
                    <w:left w:val="single" w:color="auto" w:sz="4" w:space="0"/>
                    <w:bottom w:val="single" w:color="auto" w:sz="4" w:space="0"/>
                    <w:right w:val="single" w:color="auto" w:sz="4" w:space="0"/>
                  </w:tcBorders>
                  <w:vAlign w:val="center"/>
                </w:tcPr>
                <w:p w14:paraId="3DA17D2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37" w:type="pct"/>
                  <w:tcBorders>
                    <w:top w:val="single" w:color="auto" w:sz="4" w:space="0"/>
                    <w:left w:val="single" w:color="auto" w:sz="4" w:space="0"/>
                    <w:bottom w:val="single" w:color="auto" w:sz="4" w:space="0"/>
                    <w:right w:val="single" w:color="auto" w:sz="4" w:space="0"/>
                  </w:tcBorders>
                  <w:vAlign w:val="center"/>
                </w:tcPr>
                <w:p w14:paraId="64F6F23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436" w:type="pct"/>
                  <w:tcBorders>
                    <w:top w:val="single" w:color="auto" w:sz="4" w:space="0"/>
                    <w:left w:val="single" w:color="auto" w:sz="4" w:space="0"/>
                    <w:bottom w:val="single" w:color="auto" w:sz="4" w:space="0"/>
                  </w:tcBorders>
                  <w:vAlign w:val="center"/>
                </w:tcPr>
                <w:p w14:paraId="4A0AEF4E">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20" w:lineRule="atLeast"/>
                    <w:ind w:left="0" w:right="0"/>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w:t>
                  </w:r>
                </w:p>
              </w:tc>
            </w:tr>
            <w:tr w14:paraId="738FF9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tcBorders>
                    <w:top w:val="single" w:color="auto" w:sz="4" w:space="0"/>
                    <w:bottom w:val="single" w:color="auto" w:sz="4" w:space="0"/>
                    <w:right w:val="single" w:color="auto" w:sz="4" w:space="0"/>
                  </w:tcBorders>
                  <w:vAlign w:val="center"/>
                </w:tcPr>
                <w:p w14:paraId="41A1B8F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种类</w:t>
                  </w:r>
                </w:p>
              </w:tc>
              <w:tc>
                <w:tcPr>
                  <w:tcW w:w="853" w:type="pct"/>
                  <w:gridSpan w:val="2"/>
                  <w:tcBorders>
                    <w:top w:val="single" w:color="auto" w:sz="4" w:space="0"/>
                    <w:left w:val="single" w:color="auto" w:sz="4" w:space="0"/>
                    <w:bottom w:val="single" w:color="auto" w:sz="4" w:space="0"/>
                    <w:right w:val="single" w:color="auto" w:sz="4" w:space="0"/>
                  </w:tcBorders>
                  <w:vAlign w:val="center"/>
                </w:tcPr>
                <w:p w14:paraId="7B3F8D6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排放源</w:t>
                  </w:r>
                </w:p>
              </w:tc>
              <w:tc>
                <w:tcPr>
                  <w:tcW w:w="555" w:type="pct"/>
                  <w:tcBorders>
                    <w:top w:val="single" w:color="auto" w:sz="4" w:space="0"/>
                    <w:left w:val="single" w:color="auto" w:sz="4" w:space="0"/>
                    <w:bottom w:val="single" w:color="auto" w:sz="4" w:space="0"/>
                    <w:right w:val="single" w:color="auto" w:sz="4" w:space="0"/>
                  </w:tcBorders>
                  <w:vAlign w:val="center"/>
                </w:tcPr>
                <w:p w14:paraId="4CFA18B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tc>
              <w:tc>
                <w:tcPr>
                  <w:tcW w:w="672" w:type="pct"/>
                  <w:tcBorders>
                    <w:top w:val="single" w:color="auto" w:sz="4" w:space="0"/>
                    <w:left w:val="single" w:color="auto" w:sz="4" w:space="0"/>
                    <w:bottom w:val="single" w:color="auto" w:sz="4" w:space="0"/>
                    <w:right w:val="single" w:color="auto" w:sz="4" w:space="0"/>
                  </w:tcBorders>
                  <w:vAlign w:val="center"/>
                </w:tcPr>
                <w:p w14:paraId="5C75F0F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治理措施</w:t>
                  </w:r>
                </w:p>
              </w:tc>
              <w:tc>
                <w:tcPr>
                  <w:tcW w:w="463" w:type="pct"/>
                  <w:tcBorders>
                    <w:top w:val="single" w:color="auto" w:sz="4" w:space="0"/>
                    <w:left w:val="single" w:color="auto" w:sz="4" w:space="0"/>
                    <w:bottom w:val="single" w:color="auto" w:sz="4" w:space="0"/>
                    <w:right w:val="single" w:color="auto" w:sz="4" w:space="0"/>
                  </w:tcBorders>
                  <w:vAlign w:val="center"/>
                </w:tcPr>
                <w:p w14:paraId="48D466D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0A76433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产生量t/a</w:t>
                  </w:r>
                </w:p>
              </w:tc>
              <w:tc>
                <w:tcPr>
                  <w:tcW w:w="459" w:type="pct"/>
                  <w:tcBorders>
                    <w:top w:val="single" w:color="auto" w:sz="4" w:space="0"/>
                    <w:left w:val="single" w:color="auto" w:sz="4" w:space="0"/>
                    <w:bottom w:val="single" w:color="auto" w:sz="4" w:space="0"/>
                    <w:right w:val="single" w:color="auto" w:sz="4" w:space="0"/>
                  </w:tcBorders>
                  <w:vAlign w:val="center"/>
                </w:tcPr>
                <w:p w14:paraId="3B1E698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69E7A0D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排放量t/a</w:t>
                  </w:r>
                </w:p>
              </w:tc>
              <w:tc>
                <w:tcPr>
                  <w:tcW w:w="731" w:type="pct"/>
                  <w:tcBorders>
                    <w:top w:val="single" w:color="auto" w:sz="4" w:space="0"/>
                    <w:left w:val="single" w:color="auto" w:sz="4" w:space="0"/>
                    <w:bottom w:val="single" w:color="auto" w:sz="4" w:space="0"/>
                    <w:right w:val="single" w:color="auto" w:sz="4" w:space="0"/>
                  </w:tcBorders>
                  <w:vAlign w:val="center"/>
                </w:tcPr>
                <w:p w14:paraId="32AB78A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lang w:val="en-US"/>
                    </w:rPr>
                  </w:pPr>
                  <w:r>
                    <w:rPr>
                      <w:rFonts w:hint="default" w:ascii="Times New Roman" w:hAnsi="Times New Roman" w:eastAsia="宋体" w:cs="Times New Roman"/>
                      <w:b/>
                      <w:bCs/>
                      <w:color w:val="auto"/>
                      <w:w w:val="90"/>
                      <w:sz w:val="21"/>
                      <w:szCs w:val="21"/>
                    </w:rPr>
                    <w:t>治理</w:t>
                  </w:r>
                  <w:r>
                    <w:rPr>
                      <w:rFonts w:hint="default" w:ascii="Times New Roman" w:hAnsi="Times New Roman" w:eastAsia="宋体" w:cs="Times New Roman"/>
                      <w:b/>
                      <w:bCs/>
                      <w:color w:val="auto"/>
                      <w:w w:val="90"/>
                      <w:sz w:val="21"/>
                      <w:szCs w:val="21"/>
                      <w:lang w:val="en-US"/>
                    </w:rPr>
                    <w:t>措施</w:t>
                  </w:r>
                </w:p>
              </w:tc>
              <w:tc>
                <w:tcPr>
                  <w:tcW w:w="537" w:type="pct"/>
                  <w:tcBorders>
                    <w:top w:val="single" w:color="auto" w:sz="4" w:space="0"/>
                    <w:left w:val="single" w:color="auto" w:sz="4" w:space="0"/>
                    <w:bottom w:val="single" w:color="auto" w:sz="4" w:space="0"/>
                    <w:right w:val="single" w:color="auto" w:sz="4" w:space="0"/>
                  </w:tcBorders>
                  <w:vAlign w:val="center"/>
                </w:tcPr>
                <w:p w14:paraId="315EAC1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2CCE052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产生量t/a</w:t>
                  </w:r>
                </w:p>
              </w:tc>
              <w:tc>
                <w:tcPr>
                  <w:tcW w:w="436" w:type="pct"/>
                  <w:tcBorders>
                    <w:top w:val="single" w:color="auto" w:sz="4" w:space="0"/>
                    <w:left w:val="single" w:color="auto" w:sz="4" w:space="0"/>
                    <w:bottom w:val="single" w:color="auto" w:sz="4" w:space="0"/>
                  </w:tcBorders>
                  <w:vAlign w:val="center"/>
                </w:tcPr>
                <w:p w14:paraId="5E03E5E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b/>
                      <w:bCs/>
                      <w:color w:val="auto"/>
                      <w:w w:val="90"/>
                      <w:sz w:val="21"/>
                      <w:szCs w:val="21"/>
                    </w:rPr>
                  </w:pPr>
                  <w:r>
                    <w:rPr>
                      <w:rFonts w:hint="default" w:ascii="Times New Roman" w:hAnsi="Times New Roman" w:eastAsia="宋体" w:cs="Times New Roman"/>
                      <w:b/>
                      <w:bCs/>
                      <w:color w:val="auto"/>
                      <w:w w:val="90"/>
                      <w:sz w:val="21"/>
                      <w:szCs w:val="21"/>
                    </w:rPr>
                    <w:t>污染物</w:t>
                  </w:r>
                </w:p>
                <w:p w14:paraId="782AA01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90"/>
                      <w:sz w:val="21"/>
                      <w:szCs w:val="21"/>
                    </w:rPr>
                  </w:pPr>
                  <w:r>
                    <w:rPr>
                      <w:rFonts w:hint="default" w:ascii="Times New Roman" w:hAnsi="Times New Roman" w:eastAsia="宋体" w:cs="Times New Roman"/>
                      <w:b/>
                      <w:bCs/>
                      <w:color w:val="auto"/>
                      <w:w w:val="90"/>
                      <w:sz w:val="21"/>
                      <w:szCs w:val="21"/>
                    </w:rPr>
                    <w:t>排放量t/a</w:t>
                  </w:r>
                </w:p>
              </w:tc>
            </w:tr>
            <w:tr w14:paraId="485200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restart"/>
                  <w:tcBorders>
                    <w:top w:val="single" w:color="auto" w:sz="4" w:space="0"/>
                    <w:right w:val="single" w:color="auto" w:sz="4" w:space="0"/>
                  </w:tcBorders>
                  <w:vAlign w:val="center"/>
                </w:tcPr>
                <w:p w14:paraId="5EC32C8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固废</w:t>
                  </w:r>
                </w:p>
              </w:tc>
              <w:tc>
                <w:tcPr>
                  <w:tcW w:w="853" w:type="pct"/>
                  <w:gridSpan w:val="2"/>
                  <w:vMerge w:val="restart"/>
                  <w:tcBorders>
                    <w:top w:val="single" w:color="auto" w:sz="4" w:space="0"/>
                    <w:left w:val="single" w:color="auto" w:sz="4" w:space="0"/>
                    <w:right w:val="single" w:color="auto" w:sz="4" w:space="0"/>
                  </w:tcBorders>
                  <w:vAlign w:val="center"/>
                </w:tcPr>
                <w:p w14:paraId="5E49AB62">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tLeast"/>
                    <w:ind w:left="0" w:leftChars="0" w:right="0" w:rightChars="0"/>
                    <w:jc w:val="center"/>
                    <w:textAlignment w:val="auto"/>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rPr>
                    <w:t>危险废物</w:t>
                  </w:r>
                </w:p>
              </w:tc>
              <w:tc>
                <w:tcPr>
                  <w:tcW w:w="555" w:type="pct"/>
                  <w:tcBorders>
                    <w:top w:val="single" w:color="auto" w:sz="4" w:space="0"/>
                    <w:left w:val="single" w:color="auto" w:sz="4" w:space="0"/>
                    <w:bottom w:val="single" w:color="auto" w:sz="4" w:space="0"/>
                    <w:right w:val="single" w:color="auto" w:sz="4" w:space="0"/>
                  </w:tcBorders>
                  <w:vAlign w:val="center"/>
                </w:tcPr>
                <w:p w14:paraId="1F987B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废涂液</w:t>
                  </w:r>
                </w:p>
              </w:tc>
              <w:tc>
                <w:tcPr>
                  <w:tcW w:w="672" w:type="pct"/>
                  <w:vMerge w:val="restart"/>
                  <w:tcBorders>
                    <w:top w:val="single" w:color="auto" w:sz="4" w:space="0"/>
                    <w:left w:val="single" w:color="auto" w:sz="4" w:space="0"/>
                    <w:right w:val="single" w:color="auto" w:sz="4" w:space="0"/>
                  </w:tcBorders>
                  <w:vAlign w:val="center"/>
                </w:tcPr>
                <w:p w14:paraId="468CC08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危废库暂存后委托有资质单位安全处置</w:t>
                  </w:r>
                </w:p>
              </w:tc>
              <w:tc>
                <w:tcPr>
                  <w:tcW w:w="463" w:type="pct"/>
                  <w:tcBorders>
                    <w:top w:val="single" w:color="auto" w:sz="4" w:space="0"/>
                    <w:left w:val="single" w:color="auto" w:sz="4" w:space="0"/>
                    <w:bottom w:val="single" w:color="auto" w:sz="4" w:space="0"/>
                    <w:right w:val="single" w:color="auto" w:sz="4" w:space="0"/>
                  </w:tcBorders>
                  <w:vAlign w:val="center"/>
                </w:tcPr>
                <w:p w14:paraId="2AFD5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20</w:t>
                  </w:r>
                </w:p>
              </w:tc>
              <w:tc>
                <w:tcPr>
                  <w:tcW w:w="459" w:type="pct"/>
                  <w:tcBorders>
                    <w:top w:val="single" w:color="auto" w:sz="4" w:space="0"/>
                    <w:left w:val="single" w:color="auto" w:sz="4" w:space="0"/>
                    <w:bottom w:val="single" w:color="auto" w:sz="4" w:space="0"/>
                    <w:right w:val="single" w:color="auto" w:sz="4" w:space="0"/>
                  </w:tcBorders>
                  <w:vAlign w:val="center"/>
                </w:tcPr>
                <w:p w14:paraId="4562DEC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c>
                <w:tcPr>
                  <w:tcW w:w="731" w:type="pct"/>
                  <w:vMerge w:val="restart"/>
                  <w:tcBorders>
                    <w:top w:val="single" w:color="auto" w:sz="4" w:space="0"/>
                    <w:left w:val="single" w:color="auto" w:sz="4" w:space="0"/>
                    <w:right w:val="single" w:color="auto" w:sz="4" w:space="0"/>
                  </w:tcBorders>
                  <w:vAlign w:val="center"/>
                </w:tcPr>
                <w:p w14:paraId="50DFFF6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危废库暂存后委托有资质单位安全处置</w:t>
                  </w:r>
                </w:p>
              </w:tc>
              <w:tc>
                <w:tcPr>
                  <w:tcW w:w="537" w:type="pct"/>
                  <w:tcBorders>
                    <w:top w:val="single" w:color="auto" w:sz="4" w:space="0"/>
                    <w:left w:val="single" w:color="auto" w:sz="4" w:space="0"/>
                    <w:bottom w:val="single" w:color="auto" w:sz="4" w:space="0"/>
                    <w:right w:val="single" w:color="auto" w:sz="4" w:space="0"/>
                  </w:tcBorders>
                  <w:vAlign w:val="center"/>
                </w:tcPr>
                <w:p w14:paraId="4C38191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rPr>
                    <w:t>20</w:t>
                  </w:r>
                </w:p>
              </w:tc>
              <w:tc>
                <w:tcPr>
                  <w:tcW w:w="436" w:type="pct"/>
                  <w:tcBorders>
                    <w:top w:val="single" w:color="auto" w:sz="4" w:space="0"/>
                    <w:left w:val="single" w:color="auto" w:sz="4" w:space="0"/>
                    <w:bottom w:val="single" w:color="auto" w:sz="4" w:space="0"/>
                  </w:tcBorders>
                  <w:vAlign w:val="center"/>
                </w:tcPr>
                <w:p w14:paraId="403AF44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r>
            <w:tr w14:paraId="32D433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47443E4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7CB6EEB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2F6828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sz w:val="21"/>
                      <w:szCs w:val="21"/>
                      <w:lang w:val="en-US" w:eastAsia="zh-CN"/>
                    </w:rPr>
                    <w:t>废桶</w:t>
                  </w:r>
                </w:p>
              </w:tc>
              <w:tc>
                <w:tcPr>
                  <w:tcW w:w="672" w:type="pct"/>
                  <w:vMerge w:val="continue"/>
                  <w:tcBorders>
                    <w:left w:val="single" w:color="auto" w:sz="4" w:space="0"/>
                    <w:right w:val="single" w:color="auto" w:sz="4" w:space="0"/>
                  </w:tcBorders>
                  <w:vAlign w:val="center"/>
                </w:tcPr>
                <w:p w14:paraId="444D7A0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463" w:type="pct"/>
                  <w:tcBorders>
                    <w:top w:val="single" w:color="auto" w:sz="4" w:space="0"/>
                    <w:left w:val="single" w:color="auto" w:sz="4" w:space="0"/>
                    <w:bottom w:val="single" w:color="auto" w:sz="4" w:space="0"/>
                    <w:right w:val="single" w:color="auto" w:sz="4" w:space="0"/>
                  </w:tcBorders>
                  <w:vAlign w:val="center"/>
                </w:tcPr>
                <w:p w14:paraId="18ABB9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3.5</w:t>
                  </w:r>
                </w:p>
              </w:tc>
              <w:tc>
                <w:tcPr>
                  <w:tcW w:w="459" w:type="pct"/>
                  <w:tcBorders>
                    <w:top w:val="single" w:color="auto" w:sz="4" w:space="0"/>
                    <w:left w:val="single" w:color="auto" w:sz="4" w:space="0"/>
                    <w:bottom w:val="single" w:color="auto" w:sz="4" w:space="0"/>
                    <w:right w:val="single" w:color="auto" w:sz="4" w:space="0"/>
                  </w:tcBorders>
                  <w:vAlign w:val="center"/>
                </w:tcPr>
                <w:p w14:paraId="688B31F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c>
                <w:tcPr>
                  <w:tcW w:w="731" w:type="pct"/>
                  <w:vMerge w:val="continue"/>
                  <w:tcBorders>
                    <w:left w:val="single" w:color="auto" w:sz="4" w:space="0"/>
                    <w:right w:val="single" w:color="auto" w:sz="4" w:space="0"/>
                  </w:tcBorders>
                  <w:vAlign w:val="center"/>
                </w:tcPr>
                <w:p w14:paraId="623F15C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537" w:type="pct"/>
                  <w:tcBorders>
                    <w:top w:val="single" w:color="auto" w:sz="4" w:space="0"/>
                    <w:left w:val="single" w:color="auto" w:sz="4" w:space="0"/>
                    <w:bottom w:val="single" w:color="auto" w:sz="4" w:space="0"/>
                    <w:right w:val="single" w:color="auto" w:sz="4" w:space="0"/>
                  </w:tcBorders>
                  <w:vAlign w:val="center"/>
                </w:tcPr>
                <w:p w14:paraId="53B3EF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rPr>
                    <w:t>3.5</w:t>
                  </w:r>
                </w:p>
              </w:tc>
              <w:tc>
                <w:tcPr>
                  <w:tcW w:w="436" w:type="pct"/>
                  <w:tcBorders>
                    <w:top w:val="single" w:color="auto" w:sz="4" w:space="0"/>
                    <w:left w:val="single" w:color="auto" w:sz="4" w:space="0"/>
                    <w:bottom w:val="single" w:color="auto" w:sz="4" w:space="0"/>
                  </w:tcBorders>
                  <w:vAlign w:val="center"/>
                </w:tcPr>
                <w:p w14:paraId="18BF42B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r>
            <w:tr w14:paraId="56BC59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47" w:hRule="atLeast"/>
                <w:jc w:val="center"/>
              </w:trPr>
              <w:tc>
                <w:tcPr>
                  <w:tcW w:w="291" w:type="pct"/>
                  <w:vMerge w:val="continue"/>
                  <w:tcBorders>
                    <w:right w:val="single" w:color="auto" w:sz="4" w:space="0"/>
                  </w:tcBorders>
                  <w:vAlign w:val="center"/>
                </w:tcPr>
                <w:p w14:paraId="047E4BA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57596D4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6969D9D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sz w:val="21"/>
                      <w:szCs w:val="21"/>
                      <w:lang w:eastAsia="zh-CN"/>
                    </w:rPr>
                    <w:t>废活性炭</w:t>
                  </w:r>
                </w:p>
              </w:tc>
              <w:tc>
                <w:tcPr>
                  <w:tcW w:w="672" w:type="pct"/>
                  <w:vMerge w:val="continue"/>
                  <w:tcBorders>
                    <w:left w:val="single" w:color="auto" w:sz="4" w:space="0"/>
                    <w:right w:val="single" w:color="auto" w:sz="4" w:space="0"/>
                  </w:tcBorders>
                  <w:vAlign w:val="center"/>
                </w:tcPr>
                <w:p w14:paraId="42F4B49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463" w:type="pct"/>
                  <w:tcBorders>
                    <w:top w:val="single" w:color="auto" w:sz="4" w:space="0"/>
                    <w:left w:val="single" w:color="auto" w:sz="4" w:space="0"/>
                    <w:bottom w:val="single" w:color="auto" w:sz="4" w:space="0"/>
                    <w:right w:val="single" w:color="auto" w:sz="4" w:space="0"/>
                  </w:tcBorders>
                  <w:vAlign w:val="center"/>
                </w:tcPr>
                <w:p w14:paraId="105C8A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49.15</w:t>
                  </w:r>
                </w:p>
              </w:tc>
              <w:tc>
                <w:tcPr>
                  <w:tcW w:w="459" w:type="pct"/>
                  <w:tcBorders>
                    <w:top w:val="single" w:color="auto" w:sz="4" w:space="0"/>
                    <w:left w:val="single" w:color="auto" w:sz="4" w:space="0"/>
                    <w:bottom w:val="single" w:color="auto" w:sz="4" w:space="0"/>
                    <w:right w:val="single" w:color="auto" w:sz="4" w:space="0"/>
                  </w:tcBorders>
                  <w:vAlign w:val="center"/>
                </w:tcPr>
                <w:p w14:paraId="2E07753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c>
                <w:tcPr>
                  <w:tcW w:w="731" w:type="pct"/>
                  <w:vMerge w:val="continue"/>
                  <w:tcBorders>
                    <w:left w:val="single" w:color="auto" w:sz="4" w:space="0"/>
                    <w:right w:val="single" w:color="auto" w:sz="4" w:space="0"/>
                  </w:tcBorders>
                  <w:vAlign w:val="center"/>
                </w:tcPr>
                <w:p w14:paraId="2F0E37E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537" w:type="pct"/>
                  <w:tcBorders>
                    <w:top w:val="single" w:color="auto" w:sz="4" w:space="0"/>
                    <w:left w:val="single" w:color="auto" w:sz="4" w:space="0"/>
                    <w:bottom w:val="single" w:color="auto" w:sz="4" w:space="0"/>
                    <w:right w:val="single" w:color="auto" w:sz="4" w:space="0"/>
                  </w:tcBorders>
                  <w:vAlign w:val="center"/>
                </w:tcPr>
                <w:p w14:paraId="54547D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sz w:val="21"/>
                      <w:szCs w:val="21"/>
                      <w:lang w:val="en-US" w:eastAsia="zh-CN"/>
                    </w:rPr>
                    <w:t>49.15</w:t>
                  </w:r>
                </w:p>
              </w:tc>
              <w:tc>
                <w:tcPr>
                  <w:tcW w:w="436" w:type="pct"/>
                  <w:tcBorders>
                    <w:top w:val="single" w:color="auto" w:sz="4" w:space="0"/>
                    <w:left w:val="single" w:color="auto" w:sz="4" w:space="0"/>
                    <w:bottom w:val="single" w:color="auto" w:sz="4" w:space="0"/>
                  </w:tcBorders>
                  <w:vAlign w:val="center"/>
                </w:tcPr>
                <w:p w14:paraId="613178D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r>
            <w:tr w14:paraId="27843DE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4C0852F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31C95CD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77B82D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sz w:val="21"/>
                      <w:szCs w:val="21"/>
                      <w:lang w:val="en-US" w:eastAsia="zh-CN"/>
                    </w:rPr>
                    <w:t>废渣</w:t>
                  </w:r>
                </w:p>
              </w:tc>
              <w:tc>
                <w:tcPr>
                  <w:tcW w:w="672" w:type="pct"/>
                  <w:vMerge w:val="continue"/>
                  <w:tcBorders>
                    <w:left w:val="single" w:color="auto" w:sz="4" w:space="0"/>
                    <w:bottom w:val="single" w:color="auto" w:sz="4" w:space="0"/>
                    <w:right w:val="single" w:color="auto" w:sz="4" w:space="0"/>
                  </w:tcBorders>
                  <w:vAlign w:val="center"/>
                </w:tcPr>
                <w:p w14:paraId="69EED9F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463" w:type="pct"/>
                  <w:tcBorders>
                    <w:top w:val="single" w:color="auto" w:sz="4" w:space="0"/>
                    <w:left w:val="single" w:color="auto" w:sz="4" w:space="0"/>
                    <w:bottom w:val="single" w:color="auto" w:sz="4" w:space="0"/>
                    <w:right w:val="single" w:color="auto" w:sz="4" w:space="0"/>
                  </w:tcBorders>
                  <w:vAlign w:val="center"/>
                </w:tcPr>
                <w:p w14:paraId="74C063F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20</w:t>
                  </w:r>
                </w:p>
              </w:tc>
              <w:tc>
                <w:tcPr>
                  <w:tcW w:w="459" w:type="pct"/>
                  <w:tcBorders>
                    <w:top w:val="single" w:color="auto" w:sz="4" w:space="0"/>
                    <w:left w:val="single" w:color="auto" w:sz="4" w:space="0"/>
                    <w:bottom w:val="single" w:color="auto" w:sz="4" w:space="0"/>
                    <w:right w:val="single" w:color="auto" w:sz="4" w:space="0"/>
                  </w:tcBorders>
                  <w:vAlign w:val="center"/>
                </w:tcPr>
                <w:p w14:paraId="506021C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0</w:t>
                  </w:r>
                </w:p>
              </w:tc>
              <w:tc>
                <w:tcPr>
                  <w:tcW w:w="731" w:type="pct"/>
                  <w:vMerge w:val="continue"/>
                  <w:tcBorders>
                    <w:left w:val="single" w:color="auto" w:sz="4" w:space="0"/>
                    <w:bottom w:val="single" w:color="auto" w:sz="4" w:space="0"/>
                    <w:right w:val="single" w:color="auto" w:sz="4" w:space="0"/>
                  </w:tcBorders>
                  <w:vAlign w:val="center"/>
                </w:tcPr>
                <w:p w14:paraId="55F1919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537" w:type="pct"/>
                  <w:tcBorders>
                    <w:top w:val="single" w:color="auto" w:sz="4" w:space="0"/>
                    <w:left w:val="single" w:color="auto" w:sz="4" w:space="0"/>
                    <w:bottom w:val="single" w:color="auto" w:sz="4" w:space="0"/>
                    <w:right w:val="single" w:color="auto" w:sz="4" w:space="0"/>
                  </w:tcBorders>
                  <w:vAlign w:val="center"/>
                </w:tcPr>
                <w:p w14:paraId="653B1CB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rPr>
                    <w:t>20</w:t>
                  </w:r>
                </w:p>
              </w:tc>
              <w:tc>
                <w:tcPr>
                  <w:tcW w:w="436" w:type="pct"/>
                  <w:tcBorders>
                    <w:top w:val="single" w:color="auto" w:sz="4" w:space="0"/>
                    <w:left w:val="single" w:color="auto" w:sz="4" w:space="0"/>
                    <w:bottom w:val="single" w:color="auto" w:sz="4" w:space="0"/>
                  </w:tcBorders>
                  <w:vAlign w:val="center"/>
                </w:tcPr>
                <w:p w14:paraId="704AB3CA">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0</w:t>
                  </w:r>
                </w:p>
              </w:tc>
            </w:tr>
            <w:tr w14:paraId="731849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37A5069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bottom w:val="single" w:color="auto" w:sz="4" w:space="0"/>
                    <w:right w:val="single" w:color="auto" w:sz="4" w:space="0"/>
                  </w:tcBorders>
                  <w:vAlign w:val="center"/>
                </w:tcPr>
                <w:p w14:paraId="3B7710B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62A227C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eastAsia"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水喷淋废水</w:t>
                  </w:r>
                </w:p>
              </w:tc>
              <w:tc>
                <w:tcPr>
                  <w:tcW w:w="672" w:type="pct"/>
                  <w:tcBorders>
                    <w:left w:val="single" w:color="auto" w:sz="4" w:space="0"/>
                    <w:bottom w:val="single" w:color="auto" w:sz="4" w:space="0"/>
                    <w:right w:val="single" w:color="auto" w:sz="4" w:space="0"/>
                  </w:tcBorders>
                  <w:vAlign w:val="center"/>
                </w:tcPr>
                <w:p w14:paraId="14036DA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w:t>
                  </w:r>
                </w:p>
              </w:tc>
              <w:tc>
                <w:tcPr>
                  <w:tcW w:w="463" w:type="pct"/>
                  <w:tcBorders>
                    <w:top w:val="single" w:color="auto" w:sz="4" w:space="0"/>
                    <w:left w:val="single" w:color="auto" w:sz="4" w:space="0"/>
                    <w:bottom w:val="single" w:color="auto" w:sz="4" w:space="0"/>
                    <w:right w:val="single" w:color="auto" w:sz="4" w:space="0"/>
                  </w:tcBorders>
                  <w:vAlign w:val="center"/>
                </w:tcPr>
                <w:p w14:paraId="4620BC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bidi="ar-SA"/>
                    </w:rPr>
                    <w:t>/</w:t>
                  </w:r>
                </w:p>
              </w:tc>
              <w:tc>
                <w:tcPr>
                  <w:tcW w:w="459" w:type="pct"/>
                  <w:tcBorders>
                    <w:top w:val="single" w:color="auto" w:sz="4" w:space="0"/>
                    <w:left w:val="single" w:color="auto" w:sz="4" w:space="0"/>
                    <w:bottom w:val="single" w:color="auto" w:sz="4" w:space="0"/>
                    <w:right w:val="single" w:color="auto" w:sz="4" w:space="0"/>
                  </w:tcBorders>
                  <w:vAlign w:val="center"/>
                </w:tcPr>
                <w:p w14:paraId="0A0E12A6">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w:t>
                  </w:r>
                </w:p>
              </w:tc>
              <w:tc>
                <w:tcPr>
                  <w:tcW w:w="731" w:type="pct"/>
                  <w:tcBorders>
                    <w:left w:val="single" w:color="auto" w:sz="4" w:space="0"/>
                    <w:bottom w:val="single" w:color="auto" w:sz="4" w:space="0"/>
                    <w:right w:val="single" w:color="auto" w:sz="4" w:space="0"/>
                  </w:tcBorders>
                  <w:vAlign w:val="center"/>
                </w:tcPr>
                <w:p w14:paraId="17A3FB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w:t>
                  </w:r>
                </w:p>
              </w:tc>
              <w:tc>
                <w:tcPr>
                  <w:tcW w:w="537" w:type="pct"/>
                  <w:tcBorders>
                    <w:top w:val="single" w:color="auto" w:sz="4" w:space="0"/>
                    <w:left w:val="single" w:color="auto" w:sz="4" w:space="0"/>
                    <w:bottom w:val="single" w:color="auto" w:sz="4" w:space="0"/>
                    <w:right w:val="single" w:color="auto" w:sz="4" w:space="0"/>
                  </w:tcBorders>
                  <w:vAlign w:val="center"/>
                </w:tcPr>
                <w:p w14:paraId="7AF1A7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1.0</w:t>
                  </w:r>
                </w:p>
              </w:tc>
              <w:tc>
                <w:tcPr>
                  <w:tcW w:w="436" w:type="pct"/>
                  <w:tcBorders>
                    <w:top w:val="single" w:color="auto" w:sz="4" w:space="0"/>
                    <w:left w:val="single" w:color="auto" w:sz="4" w:space="0"/>
                    <w:bottom w:val="single" w:color="auto" w:sz="4" w:space="0"/>
                  </w:tcBorders>
                  <w:vAlign w:val="center"/>
                </w:tcPr>
                <w:p w14:paraId="34FACD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sz w:val="21"/>
                      <w:szCs w:val="21"/>
                      <w:lang w:val="en-US" w:eastAsia="zh-CN"/>
                    </w:rPr>
                  </w:pPr>
                  <w:r>
                    <w:rPr>
                      <w:rFonts w:hint="eastAsia" w:ascii="Times New Roman" w:hAnsi="Times New Roman" w:eastAsia="宋体" w:cs="Times New Roman"/>
                      <w:color w:val="auto"/>
                      <w:w w:val="100"/>
                      <w:sz w:val="21"/>
                      <w:szCs w:val="21"/>
                      <w:lang w:val="en-US" w:eastAsia="zh-CN"/>
                    </w:rPr>
                    <w:t>1.0</w:t>
                  </w:r>
                </w:p>
              </w:tc>
            </w:tr>
            <w:tr w14:paraId="68E282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579" w:hRule="atLeast"/>
                <w:jc w:val="center"/>
              </w:trPr>
              <w:tc>
                <w:tcPr>
                  <w:tcW w:w="291" w:type="pct"/>
                  <w:vMerge w:val="continue"/>
                  <w:tcBorders>
                    <w:right w:val="single" w:color="auto" w:sz="4" w:space="0"/>
                  </w:tcBorders>
                  <w:vAlign w:val="center"/>
                </w:tcPr>
                <w:p w14:paraId="22A9AF3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restart"/>
                  <w:tcBorders>
                    <w:top w:val="single" w:color="auto" w:sz="4" w:space="0"/>
                    <w:left w:val="single" w:color="auto" w:sz="4" w:space="0"/>
                    <w:right w:val="single" w:color="auto" w:sz="4" w:space="0"/>
                  </w:tcBorders>
                  <w:vAlign w:val="center"/>
                </w:tcPr>
                <w:p w14:paraId="5502E38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一般工业固废</w:t>
                  </w:r>
                </w:p>
              </w:tc>
              <w:tc>
                <w:tcPr>
                  <w:tcW w:w="555" w:type="pct"/>
                  <w:tcBorders>
                    <w:top w:val="single" w:color="auto" w:sz="4" w:space="0"/>
                    <w:left w:val="single" w:color="auto" w:sz="4" w:space="0"/>
                    <w:bottom w:val="single" w:color="auto" w:sz="4" w:space="0"/>
                    <w:right w:val="single" w:color="auto" w:sz="4" w:space="0"/>
                  </w:tcBorders>
                  <w:vAlign w:val="center"/>
                </w:tcPr>
                <w:p w14:paraId="3DB8584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不合格产品</w:t>
                  </w:r>
                </w:p>
              </w:tc>
              <w:tc>
                <w:tcPr>
                  <w:tcW w:w="672" w:type="pct"/>
                  <w:vMerge w:val="restart"/>
                  <w:tcBorders>
                    <w:top w:val="single" w:color="auto" w:sz="4" w:space="0"/>
                    <w:left w:val="single" w:color="auto" w:sz="4" w:space="0"/>
                    <w:right w:val="single" w:color="auto" w:sz="4" w:space="0"/>
                  </w:tcBorders>
                  <w:vAlign w:val="center"/>
                </w:tcPr>
                <w:p w14:paraId="20C0FCF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一般固废库暂存后外售相关单位</w:t>
                  </w:r>
                </w:p>
              </w:tc>
              <w:tc>
                <w:tcPr>
                  <w:tcW w:w="463" w:type="pct"/>
                  <w:tcBorders>
                    <w:top w:val="single" w:color="auto" w:sz="4" w:space="0"/>
                    <w:left w:val="single" w:color="auto" w:sz="4" w:space="0"/>
                    <w:bottom w:val="single" w:color="auto" w:sz="4" w:space="0"/>
                    <w:right w:val="single" w:color="auto" w:sz="4" w:space="0"/>
                  </w:tcBorders>
                  <w:vAlign w:val="center"/>
                </w:tcPr>
                <w:p w14:paraId="5DDED4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360</w:t>
                  </w:r>
                </w:p>
              </w:tc>
              <w:tc>
                <w:tcPr>
                  <w:tcW w:w="459" w:type="pct"/>
                  <w:tcBorders>
                    <w:top w:val="single" w:color="auto" w:sz="4" w:space="0"/>
                    <w:left w:val="single" w:color="auto" w:sz="4" w:space="0"/>
                    <w:bottom w:val="single" w:color="auto" w:sz="4" w:space="0"/>
                    <w:right w:val="single" w:color="auto" w:sz="4" w:space="0"/>
                  </w:tcBorders>
                  <w:vAlign w:val="center"/>
                </w:tcPr>
                <w:p w14:paraId="0195D1E1">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kern w:val="0"/>
                      <w:sz w:val="21"/>
                      <w:szCs w:val="21"/>
                      <w:lang w:val="en-US" w:eastAsia="zh-CN" w:bidi="ar-SA"/>
                    </w:rPr>
                    <w:t>0</w:t>
                  </w:r>
                </w:p>
              </w:tc>
              <w:tc>
                <w:tcPr>
                  <w:tcW w:w="731" w:type="pct"/>
                  <w:vMerge w:val="restart"/>
                  <w:tcBorders>
                    <w:top w:val="single" w:color="auto" w:sz="4" w:space="0"/>
                    <w:left w:val="single" w:color="auto" w:sz="4" w:space="0"/>
                    <w:right w:val="single" w:color="auto" w:sz="4" w:space="0"/>
                  </w:tcBorders>
                  <w:vAlign w:val="center"/>
                </w:tcPr>
                <w:p w14:paraId="54A377A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一般固废库暂存后外售相关单位</w:t>
                  </w:r>
                </w:p>
              </w:tc>
              <w:tc>
                <w:tcPr>
                  <w:tcW w:w="537" w:type="pct"/>
                  <w:tcBorders>
                    <w:top w:val="single" w:color="auto" w:sz="4" w:space="0"/>
                    <w:left w:val="single" w:color="auto" w:sz="4" w:space="0"/>
                    <w:bottom w:val="single" w:color="auto" w:sz="4" w:space="0"/>
                    <w:right w:val="single" w:color="auto" w:sz="4" w:space="0"/>
                  </w:tcBorders>
                  <w:vAlign w:val="center"/>
                </w:tcPr>
                <w:p w14:paraId="4A8E6B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360</w:t>
                  </w:r>
                </w:p>
              </w:tc>
              <w:tc>
                <w:tcPr>
                  <w:tcW w:w="436" w:type="pct"/>
                  <w:tcBorders>
                    <w:top w:val="single" w:color="auto" w:sz="4" w:space="0"/>
                    <w:left w:val="single" w:color="auto" w:sz="4" w:space="0"/>
                    <w:bottom w:val="single" w:color="auto" w:sz="4" w:space="0"/>
                  </w:tcBorders>
                  <w:vAlign w:val="center"/>
                </w:tcPr>
                <w:p w14:paraId="34A6096D">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kern w:val="0"/>
                      <w:sz w:val="21"/>
                      <w:szCs w:val="21"/>
                      <w:lang w:val="en-US" w:eastAsia="zh-CN" w:bidi="ar-SA"/>
                    </w:rPr>
                    <w:t>0</w:t>
                  </w:r>
                </w:p>
              </w:tc>
            </w:tr>
            <w:tr w14:paraId="649762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60F90DB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0F021FC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447146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废包装材料</w:t>
                  </w:r>
                </w:p>
              </w:tc>
              <w:tc>
                <w:tcPr>
                  <w:tcW w:w="672" w:type="pct"/>
                  <w:vMerge w:val="continue"/>
                  <w:tcBorders>
                    <w:left w:val="single" w:color="auto" w:sz="4" w:space="0"/>
                    <w:right w:val="single" w:color="auto" w:sz="4" w:space="0"/>
                  </w:tcBorders>
                  <w:vAlign w:val="center"/>
                </w:tcPr>
                <w:p w14:paraId="2014106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463" w:type="pct"/>
                  <w:tcBorders>
                    <w:top w:val="single" w:color="auto" w:sz="4" w:space="0"/>
                    <w:left w:val="single" w:color="auto" w:sz="4" w:space="0"/>
                    <w:bottom w:val="single" w:color="auto" w:sz="4" w:space="0"/>
                    <w:right w:val="single" w:color="auto" w:sz="4" w:space="0"/>
                  </w:tcBorders>
                  <w:vAlign w:val="center"/>
                </w:tcPr>
                <w:p w14:paraId="3D2D63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2</w:t>
                  </w:r>
                </w:p>
              </w:tc>
              <w:tc>
                <w:tcPr>
                  <w:tcW w:w="459" w:type="pct"/>
                  <w:tcBorders>
                    <w:top w:val="single" w:color="auto" w:sz="4" w:space="0"/>
                    <w:left w:val="single" w:color="auto" w:sz="4" w:space="0"/>
                    <w:bottom w:val="single" w:color="auto" w:sz="4" w:space="0"/>
                    <w:right w:val="single" w:color="auto" w:sz="4" w:space="0"/>
                  </w:tcBorders>
                  <w:vAlign w:val="center"/>
                </w:tcPr>
                <w:p w14:paraId="71D24C85">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kern w:val="0"/>
                      <w:sz w:val="21"/>
                      <w:szCs w:val="21"/>
                      <w:lang w:val="en-US" w:eastAsia="zh-CN" w:bidi="ar-SA"/>
                    </w:rPr>
                    <w:t>0</w:t>
                  </w:r>
                </w:p>
              </w:tc>
              <w:tc>
                <w:tcPr>
                  <w:tcW w:w="731" w:type="pct"/>
                  <w:vMerge w:val="continue"/>
                  <w:tcBorders>
                    <w:left w:val="single" w:color="auto" w:sz="4" w:space="0"/>
                    <w:right w:val="single" w:color="auto" w:sz="4" w:space="0"/>
                  </w:tcBorders>
                  <w:vAlign w:val="center"/>
                </w:tcPr>
                <w:p w14:paraId="7739179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537" w:type="pct"/>
                  <w:tcBorders>
                    <w:top w:val="single" w:color="auto" w:sz="4" w:space="0"/>
                    <w:left w:val="single" w:color="auto" w:sz="4" w:space="0"/>
                    <w:bottom w:val="single" w:color="auto" w:sz="4" w:space="0"/>
                    <w:right w:val="single" w:color="auto" w:sz="4" w:space="0"/>
                  </w:tcBorders>
                  <w:vAlign w:val="center"/>
                </w:tcPr>
                <w:p w14:paraId="1DC8FD7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2</w:t>
                  </w:r>
                </w:p>
              </w:tc>
              <w:tc>
                <w:tcPr>
                  <w:tcW w:w="436" w:type="pct"/>
                  <w:tcBorders>
                    <w:top w:val="single" w:color="auto" w:sz="4" w:space="0"/>
                    <w:left w:val="single" w:color="auto" w:sz="4" w:space="0"/>
                    <w:bottom w:val="single" w:color="auto" w:sz="4" w:space="0"/>
                  </w:tcBorders>
                  <w:vAlign w:val="center"/>
                </w:tcPr>
                <w:p w14:paraId="7CD57DFE">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kern w:val="0"/>
                      <w:sz w:val="21"/>
                      <w:szCs w:val="21"/>
                      <w:lang w:val="en-US" w:eastAsia="zh-CN" w:bidi="ar-SA"/>
                    </w:rPr>
                    <w:t>0</w:t>
                  </w:r>
                </w:p>
              </w:tc>
            </w:tr>
            <w:tr w14:paraId="324A9F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21FD258B">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5A0405F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2B251F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ascii="Times New Roman" w:hAnsi="Times New Roman" w:eastAsia="宋体" w:cs="Times New Roman"/>
                      <w:color w:val="auto"/>
                      <w:w w:val="100"/>
                      <w:sz w:val="21"/>
                      <w:szCs w:val="21"/>
                      <w:lang w:eastAsia="zh-CN"/>
                    </w:rPr>
                    <w:t>粉尘</w:t>
                  </w:r>
                </w:p>
              </w:tc>
              <w:tc>
                <w:tcPr>
                  <w:tcW w:w="672" w:type="pct"/>
                  <w:vMerge w:val="continue"/>
                  <w:tcBorders>
                    <w:left w:val="single" w:color="auto" w:sz="4" w:space="0"/>
                    <w:right w:val="single" w:color="auto" w:sz="4" w:space="0"/>
                  </w:tcBorders>
                  <w:vAlign w:val="center"/>
                </w:tcPr>
                <w:p w14:paraId="0424E673">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463" w:type="pct"/>
                  <w:tcBorders>
                    <w:top w:val="single" w:color="auto" w:sz="4" w:space="0"/>
                    <w:left w:val="single" w:color="auto" w:sz="4" w:space="0"/>
                    <w:bottom w:val="single" w:color="auto" w:sz="4" w:space="0"/>
                    <w:right w:val="single" w:color="auto" w:sz="4" w:space="0"/>
                  </w:tcBorders>
                  <w:vAlign w:val="center"/>
                </w:tcPr>
                <w:p w14:paraId="157672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1.70</w:t>
                  </w:r>
                </w:p>
              </w:tc>
              <w:tc>
                <w:tcPr>
                  <w:tcW w:w="459" w:type="pct"/>
                  <w:tcBorders>
                    <w:top w:val="single" w:color="auto" w:sz="4" w:space="0"/>
                    <w:left w:val="single" w:color="auto" w:sz="4" w:space="0"/>
                    <w:bottom w:val="single" w:color="auto" w:sz="4" w:space="0"/>
                    <w:right w:val="single" w:color="auto" w:sz="4" w:space="0"/>
                  </w:tcBorders>
                  <w:vAlign w:val="center"/>
                </w:tcPr>
                <w:p w14:paraId="176C422A">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0</w:t>
                  </w:r>
                </w:p>
              </w:tc>
              <w:tc>
                <w:tcPr>
                  <w:tcW w:w="731" w:type="pct"/>
                  <w:vMerge w:val="continue"/>
                  <w:tcBorders>
                    <w:left w:val="single" w:color="auto" w:sz="4" w:space="0"/>
                    <w:right w:val="single" w:color="auto" w:sz="4" w:space="0"/>
                  </w:tcBorders>
                  <w:vAlign w:val="center"/>
                </w:tcPr>
                <w:p w14:paraId="292A0148">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p>
              </w:tc>
              <w:tc>
                <w:tcPr>
                  <w:tcW w:w="537" w:type="pct"/>
                  <w:tcBorders>
                    <w:top w:val="single" w:color="auto" w:sz="4" w:space="0"/>
                    <w:left w:val="single" w:color="auto" w:sz="4" w:space="0"/>
                    <w:bottom w:val="single" w:color="auto" w:sz="4" w:space="0"/>
                    <w:right w:val="single" w:color="auto" w:sz="4" w:space="0"/>
                  </w:tcBorders>
                  <w:vAlign w:val="center"/>
                </w:tcPr>
                <w:p w14:paraId="743373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cs="Times New Roman" w:eastAsiaTheme="minorEastAsia"/>
                      <w:color w:val="auto"/>
                      <w:kern w:val="2"/>
                      <w:sz w:val="21"/>
                      <w:szCs w:val="24"/>
                      <w:lang w:val="en-US" w:eastAsia="zh-CN" w:bidi="ar-SA"/>
                    </w:rPr>
                  </w:pPr>
                  <w:r>
                    <w:rPr>
                      <w:rFonts w:hint="eastAsia" w:ascii="Times New Roman" w:hAnsi="Times New Roman" w:eastAsia="宋体" w:cs="Times New Roman"/>
                      <w:color w:val="auto"/>
                      <w:w w:val="100"/>
                      <w:sz w:val="21"/>
                      <w:szCs w:val="21"/>
                      <w:lang w:val="en-US" w:eastAsia="zh-CN"/>
                    </w:rPr>
                    <w:t>1.70</w:t>
                  </w:r>
                </w:p>
              </w:tc>
              <w:tc>
                <w:tcPr>
                  <w:tcW w:w="436" w:type="pct"/>
                  <w:tcBorders>
                    <w:top w:val="single" w:color="auto" w:sz="4" w:space="0"/>
                    <w:left w:val="single" w:color="auto" w:sz="4" w:space="0"/>
                    <w:bottom w:val="single" w:color="auto" w:sz="4" w:space="0"/>
                  </w:tcBorders>
                  <w:vAlign w:val="center"/>
                </w:tcPr>
                <w:p w14:paraId="2514DABF">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0</w:t>
                  </w:r>
                </w:p>
              </w:tc>
            </w:tr>
            <w:tr w14:paraId="46E0C2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284EC0A7">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vMerge w:val="continue"/>
                  <w:tcBorders>
                    <w:left w:val="single" w:color="auto" w:sz="4" w:space="0"/>
                    <w:right w:val="single" w:color="auto" w:sz="4" w:space="0"/>
                  </w:tcBorders>
                  <w:vAlign w:val="center"/>
                </w:tcPr>
                <w:p w14:paraId="5076F44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555" w:type="pct"/>
                  <w:tcBorders>
                    <w:top w:val="single" w:color="auto" w:sz="4" w:space="0"/>
                    <w:left w:val="single" w:color="auto" w:sz="4" w:space="0"/>
                    <w:bottom w:val="single" w:color="auto" w:sz="4" w:space="0"/>
                    <w:right w:val="single" w:color="auto" w:sz="4" w:space="0"/>
                  </w:tcBorders>
                  <w:vAlign w:val="center"/>
                </w:tcPr>
                <w:p w14:paraId="01D011E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default"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sz w:val="21"/>
                      <w:szCs w:val="21"/>
                      <w:lang w:eastAsia="zh-CN"/>
                    </w:rPr>
                    <w:t>沉渣</w:t>
                  </w:r>
                </w:p>
              </w:tc>
              <w:tc>
                <w:tcPr>
                  <w:tcW w:w="672" w:type="pct"/>
                  <w:tcBorders>
                    <w:left w:val="single" w:color="auto" w:sz="4" w:space="0"/>
                    <w:right w:val="single" w:color="auto" w:sz="4" w:space="0"/>
                  </w:tcBorders>
                  <w:vAlign w:val="center"/>
                </w:tcPr>
                <w:p w14:paraId="0531DD3F">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环卫清运</w:t>
                  </w:r>
                </w:p>
              </w:tc>
              <w:tc>
                <w:tcPr>
                  <w:tcW w:w="463" w:type="pct"/>
                  <w:tcBorders>
                    <w:top w:val="single" w:color="auto" w:sz="4" w:space="0"/>
                    <w:left w:val="single" w:color="auto" w:sz="4" w:space="0"/>
                    <w:bottom w:val="single" w:color="auto" w:sz="4" w:space="0"/>
                    <w:right w:val="single" w:color="auto" w:sz="4" w:space="0"/>
                  </w:tcBorders>
                  <w:vAlign w:val="center"/>
                </w:tcPr>
                <w:p w14:paraId="1B0D576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eastAsia"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sz w:val="21"/>
                      <w:szCs w:val="21"/>
                      <w:lang w:val="en-US" w:eastAsia="zh-CN"/>
                    </w:rPr>
                    <w:t>0.05</w:t>
                  </w:r>
                </w:p>
              </w:tc>
              <w:tc>
                <w:tcPr>
                  <w:tcW w:w="459" w:type="pct"/>
                  <w:tcBorders>
                    <w:top w:val="single" w:color="auto" w:sz="4" w:space="0"/>
                    <w:left w:val="single" w:color="auto" w:sz="4" w:space="0"/>
                    <w:bottom w:val="single" w:color="auto" w:sz="4" w:space="0"/>
                    <w:right w:val="single" w:color="auto" w:sz="4" w:space="0"/>
                  </w:tcBorders>
                  <w:vAlign w:val="center"/>
                </w:tcPr>
                <w:p w14:paraId="323496F6">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eastAsia"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0</w:t>
                  </w:r>
                </w:p>
              </w:tc>
              <w:tc>
                <w:tcPr>
                  <w:tcW w:w="731" w:type="pct"/>
                  <w:tcBorders>
                    <w:left w:val="single" w:color="auto" w:sz="4" w:space="0"/>
                    <w:right w:val="single" w:color="auto" w:sz="4" w:space="0"/>
                  </w:tcBorders>
                  <w:vAlign w:val="center"/>
                </w:tcPr>
                <w:p w14:paraId="7EF50FA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eastAsia" w:ascii="Times New Roman" w:hAnsi="Times New Roman" w:eastAsia="宋体" w:cs="Times New Roman"/>
                      <w:color w:val="auto"/>
                      <w:w w:val="100"/>
                      <w:sz w:val="21"/>
                      <w:szCs w:val="21"/>
                      <w:lang w:val="en-US" w:eastAsia="zh-CN" w:bidi="ar-SA"/>
                    </w:rPr>
                    <w:t>环卫清运</w:t>
                  </w:r>
                </w:p>
              </w:tc>
              <w:tc>
                <w:tcPr>
                  <w:tcW w:w="537" w:type="pct"/>
                  <w:tcBorders>
                    <w:top w:val="single" w:color="auto" w:sz="4" w:space="0"/>
                    <w:left w:val="single" w:color="auto" w:sz="4" w:space="0"/>
                    <w:bottom w:val="single" w:color="auto" w:sz="4" w:space="0"/>
                    <w:right w:val="single" w:color="auto" w:sz="4" w:space="0"/>
                  </w:tcBorders>
                  <w:vAlign w:val="center"/>
                </w:tcPr>
                <w:p w14:paraId="129AFF1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center"/>
                    <w:textAlignment w:val="auto"/>
                    <w:rPr>
                      <w:rFonts w:hint="eastAsia"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sz w:val="21"/>
                      <w:szCs w:val="21"/>
                      <w:lang w:val="en-US" w:eastAsia="zh-CN"/>
                    </w:rPr>
                    <w:t>0.05</w:t>
                  </w:r>
                </w:p>
              </w:tc>
              <w:tc>
                <w:tcPr>
                  <w:tcW w:w="436" w:type="pct"/>
                  <w:tcBorders>
                    <w:top w:val="single" w:color="auto" w:sz="4" w:space="0"/>
                    <w:left w:val="single" w:color="auto" w:sz="4" w:space="0"/>
                    <w:bottom w:val="single" w:color="auto" w:sz="4" w:space="0"/>
                  </w:tcBorders>
                  <w:vAlign w:val="center"/>
                </w:tcPr>
                <w:p w14:paraId="7A4F7D6E">
                  <w:pPr>
                    <w:pStyle w:val="69"/>
                    <w:keepNext w:val="0"/>
                    <w:keepLines w:val="0"/>
                    <w:pageBreakBefore w:val="0"/>
                    <w:widowControl/>
                    <w:suppressLineNumbers w:val="0"/>
                    <w:overflowPunct/>
                    <w:topLinePunct w:val="0"/>
                    <w:bidi w:val="0"/>
                    <w:spacing w:before="0" w:beforeAutospacing="0" w:after="0" w:afterAutospacing="0" w:line="360" w:lineRule="atLeast"/>
                    <w:ind w:left="0" w:right="0" w:firstLine="0" w:firstLineChars="0"/>
                    <w:rPr>
                      <w:rFonts w:hint="eastAsia"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0</w:t>
                  </w:r>
                </w:p>
              </w:tc>
            </w:tr>
            <w:tr w14:paraId="5533AA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vMerge w:val="continue"/>
                  <w:tcBorders>
                    <w:right w:val="single" w:color="auto" w:sz="4" w:space="0"/>
                  </w:tcBorders>
                  <w:vAlign w:val="center"/>
                </w:tcPr>
                <w:p w14:paraId="67FBAFE4">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p>
              </w:tc>
              <w:tc>
                <w:tcPr>
                  <w:tcW w:w="853" w:type="pct"/>
                  <w:gridSpan w:val="2"/>
                  <w:tcBorders>
                    <w:top w:val="single" w:color="auto" w:sz="4" w:space="0"/>
                    <w:left w:val="single" w:color="auto" w:sz="4" w:space="0"/>
                    <w:bottom w:val="single" w:color="auto" w:sz="4" w:space="0"/>
                    <w:right w:val="single" w:color="auto" w:sz="4" w:space="0"/>
                  </w:tcBorders>
                  <w:vAlign w:val="center"/>
                </w:tcPr>
                <w:p w14:paraId="4878A12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生活垃圾</w:t>
                  </w:r>
                </w:p>
              </w:tc>
              <w:tc>
                <w:tcPr>
                  <w:tcW w:w="555" w:type="pct"/>
                  <w:tcBorders>
                    <w:top w:val="single" w:color="auto" w:sz="4" w:space="0"/>
                    <w:left w:val="single" w:color="auto" w:sz="4" w:space="0"/>
                    <w:bottom w:val="single" w:color="auto" w:sz="4" w:space="0"/>
                    <w:right w:val="single" w:color="auto" w:sz="4" w:space="0"/>
                  </w:tcBorders>
                  <w:vAlign w:val="center"/>
                </w:tcPr>
                <w:p w14:paraId="2D6373C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生活垃圾</w:t>
                  </w:r>
                </w:p>
              </w:tc>
              <w:tc>
                <w:tcPr>
                  <w:tcW w:w="672" w:type="pct"/>
                  <w:tcBorders>
                    <w:top w:val="single" w:color="auto" w:sz="4" w:space="0"/>
                    <w:left w:val="single" w:color="auto" w:sz="4" w:space="0"/>
                    <w:bottom w:val="single" w:color="auto" w:sz="4" w:space="0"/>
                    <w:right w:val="single" w:color="auto" w:sz="4" w:space="0"/>
                  </w:tcBorders>
                  <w:vAlign w:val="center"/>
                </w:tcPr>
                <w:p w14:paraId="214BDCE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垃圾桶暂存后环卫</w:t>
                  </w:r>
                  <w:r>
                    <w:rPr>
                      <w:rFonts w:hint="eastAsia" w:ascii="Times New Roman" w:hAnsi="Times New Roman" w:eastAsia="宋体" w:cs="Times New Roman"/>
                      <w:color w:val="auto"/>
                      <w:w w:val="100"/>
                      <w:sz w:val="21"/>
                      <w:szCs w:val="21"/>
                      <w:lang w:val="en-US" w:eastAsia="zh-CN" w:bidi="ar-SA"/>
                    </w:rPr>
                    <w:t>部门</w:t>
                  </w:r>
                  <w:r>
                    <w:rPr>
                      <w:rFonts w:hint="default" w:ascii="Times New Roman" w:hAnsi="Times New Roman" w:eastAsia="宋体" w:cs="Times New Roman"/>
                      <w:color w:val="auto"/>
                      <w:w w:val="100"/>
                      <w:sz w:val="21"/>
                      <w:szCs w:val="21"/>
                      <w:lang w:val="en-US" w:eastAsia="zh-CN" w:bidi="ar-SA"/>
                    </w:rPr>
                    <w:t>定期清运</w:t>
                  </w:r>
                </w:p>
              </w:tc>
              <w:tc>
                <w:tcPr>
                  <w:tcW w:w="463" w:type="pct"/>
                  <w:tcBorders>
                    <w:top w:val="single" w:color="auto" w:sz="4" w:space="0"/>
                    <w:left w:val="single" w:color="auto" w:sz="4" w:space="0"/>
                    <w:bottom w:val="single" w:color="auto" w:sz="4" w:space="0"/>
                    <w:right w:val="single" w:color="auto" w:sz="4" w:space="0"/>
                  </w:tcBorders>
                  <w:vAlign w:val="center"/>
                </w:tcPr>
                <w:p w14:paraId="77E478A2">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30</w:t>
                  </w:r>
                </w:p>
              </w:tc>
              <w:tc>
                <w:tcPr>
                  <w:tcW w:w="459" w:type="pct"/>
                  <w:tcBorders>
                    <w:top w:val="single" w:color="auto" w:sz="4" w:space="0"/>
                    <w:left w:val="single" w:color="auto" w:sz="4" w:space="0"/>
                    <w:bottom w:val="single" w:color="auto" w:sz="4" w:space="0"/>
                    <w:right w:val="single" w:color="auto" w:sz="4" w:space="0"/>
                  </w:tcBorders>
                  <w:vAlign w:val="center"/>
                </w:tcPr>
                <w:p w14:paraId="31CC638C">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c>
                <w:tcPr>
                  <w:tcW w:w="731" w:type="pct"/>
                  <w:tcBorders>
                    <w:top w:val="single" w:color="auto" w:sz="4" w:space="0"/>
                    <w:left w:val="single" w:color="auto" w:sz="4" w:space="0"/>
                    <w:bottom w:val="single" w:color="auto" w:sz="4" w:space="0"/>
                    <w:right w:val="single" w:color="auto" w:sz="4" w:space="0"/>
                  </w:tcBorders>
                  <w:vAlign w:val="center"/>
                </w:tcPr>
                <w:p w14:paraId="73E04F20">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垃圾桶暂存后环卫</w:t>
                  </w:r>
                  <w:r>
                    <w:rPr>
                      <w:rFonts w:hint="eastAsia" w:ascii="Times New Roman" w:hAnsi="Times New Roman" w:eastAsia="宋体" w:cs="Times New Roman"/>
                      <w:color w:val="auto"/>
                      <w:w w:val="100"/>
                      <w:sz w:val="21"/>
                      <w:szCs w:val="21"/>
                      <w:lang w:val="en-US" w:eastAsia="zh-CN" w:bidi="ar-SA"/>
                    </w:rPr>
                    <w:t>部门</w:t>
                  </w:r>
                  <w:r>
                    <w:rPr>
                      <w:rFonts w:hint="default" w:ascii="Times New Roman" w:hAnsi="Times New Roman" w:eastAsia="宋体" w:cs="Times New Roman"/>
                      <w:color w:val="auto"/>
                      <w:w w:val="100"/>
                      <w:sz w:val="21"/>
                      <w:szCs w:val="21"/>
                      <w:lang w:val="en-US" w:eastAsia="zh-CN" w:bidi="ar-SA"/>
                    </w:rPr>
                    <w:t>定期清运</w:t>
                  </w:r>
                </w:p>
              </w:tc>
              <w:tc>
                <w:tcPr>
                  <w:tcW w:w="537" w:type="pct"/>
                  <w:tcBorders>
                    <w:top w:val="single" w:color="auto" w:sz="4" w:space="0"/>
                    <w:left w:val="single" w:color="auto" w:sz="4" w:space="0"/>
                    <w:bottom w:val="single" w:color="auto" w:sz="4" w:space="0"/>
                    <w:right w:val="single" w:color="auto" w:sz="4" w:space="0"/>
                  </w:tcBorders>
                  <w:vAlign w:val="center"/>
                </w:tcPr>
                <w:p w14:paraId="2F0914E9">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eastAsia" w:ascii="Times New Roman" w:hAnsi="Times New Roman" w:eastAsia="宋体" w:cs="Times New Roman"/>
                      <w:color w:val="auto"/>
                      <w:w w:val="100"/>
                      <w:kern w:val="0"/>
                      <w:sz w:val="21"/>
                      <w:szCs w:val="21"/>
                      <w:lang w:val="en-US" w:eastAsia="zh-CN" w:bidi="ar-SA"/>
                    </w:rPr>
                    <w:t>30</w:t>
                  </w:r>
                </w:p>
              </w:tc>
              <w:tc>
                <w:tcPr>
                  <w:tcW w:w="436" w:type="pct"/>
                  <w:tcBorders>
                    <w:top w:val="single" w:color="auto" w:sz="4" w:space="0"/>
                    <w:left w:val="single" w:color="auto" w:sz="4" w:space="0"/>
                    <w:bottom w:val="single" w:color="auto" w:sz="4" w:space="0"/>
                  </w:tcBorders>
                  <w:vAlign w:val="center"/>
                </w:tcPr>
                <w:p w14:paraId="1257A3D9">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w w:val="100"/>
                      <w:kern w:val="0"/>
                      <w:sz w:val="21"/>
                      <w:szCs w:val="21"/>
                      <w:lang w:val="en-US" w:eastAsia="zh-CN" w:bidi="ar-SA"/>
                    </w:rPr>
                  </w:pPr>
                  <w:r>
                    <w:rPr>
                      <w:rFonts w:hint="default" w:ascii="Times New Roman" w:hAnsi="Times New Roman" w:eastAsia="宋体" w:cs="Times New Roman"/>
                      <w:color w:val="auto"/>
                      <w:w w:val="100"/>
                      <w:sz w:val="21"/>
                      <w:szCs w:val="21"/>
                      <w:lang w:val="en-US" w:eastAsia="zh-CN" w:bidi="ar-SA"/>
                    </w:rPr>
                    <w:t>0</w:t>
                  </w:r>
                </w:p>
              </w:tc>
            </w:tr>
            <w:tr w14:paraId="3F612D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91" w:type="pct"/>
                  <w:tcBorders>
                    <w:top w:val="single" w:color="auto" w:sz="4" w:space="0"/>
                    <w:bottom w:val="single" w:color="auto" w:sz="12" w:space="0"/>
                    <w:right w:val="single" w:color="auto" w:sz="4" w:space="0"/>
                  </w:tcBorders>
                  <w:vAlign w:val="center"/>
                </w:tcPr>
                <w:p w14:paraId="6D77DA75">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853" w:type="pct"/>
                  <w:gridSpan w:val="2"/>
                  <w:tcBorders>
                    <w:top w:val="single" w:color="auto" w:sz="4" w:space="0"/>
                    <w:left w:val="single" w:color="auto" w:sz="4" w:space="0"/>
                    <w:bottom w:val="single" w:color="auto" w:sz="12" w:space="0"/>
                    <w:right w:val="single" w:color="auto" w:sz="4" w:space="0"/>
                  </w:tcBorders>
                  <w:vAlign w:val="center"/>
                </w:tcPr>
                <w:p w14:paraId="3FB6650D">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生产设备</w:t>
                  </w:r>
                </w:p>
              </w:tc>
              <w:tc>
                <w:tcPr>
                  <w:tcW w:w="555" w:type="pct"/>
                  <w:tcBorders>
                    <w:top w:val="single" w:color="auto" w:sz="4" w:space="0"/>
                    <w:left w:val="single" w:color="auto" w:sz="4" w:space="0"/>
                    <w:bottom w:val="single" w:color="auto" w:sz="12" w:space="0"/>
                    <w:right w:val="single" w:color="auto" w:sz="4" w:space="0"/>
                  </w:tcBorders>
                  <w:vAlign w:val="center"/>
                </w:tcPr>
                <w:p w14:paraId="52007DA1">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等效A声级</w:t>
                  </w:r>
                </w:p>
              </w:tc>
              <w:tc>
                <w:tcPr>
                  <w:tcW w:w="1594" w:type="pct"/>
                  <w:gridSpan w:val="3"/>
                  <w:tcBorders>
                    <w:top w:val="single" w:color="auto" w:sz="4" w:space="0"/>
                    <w:left w:val="single" w:color="auto" w:sz="4" w:space="0"/>
                    <w:bottom w:val="single" w:color="auto" w:sz="12" w:space="0"/>
                    <w:right w:val="single" w:color="auto" w:sz="4" w:space="0"/>
                  </w:tcBorders>
                  <w:vAlign w:val="center"/>
                </w:tcPr>
                <w:p w14:paraId="2F90FBD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b w:val="0"/>
                      <w:bCs/>
                      <w:color w:val="auto"/>
                      <w:sz w:val="21"/>
                      <w:szCs w:val="21"/>
                      <w:vertAlign w:val="baseline"/>
                      <w:lang w:val="en-US" w:eastAsia="zh-CN"/>
                    </w:rPr>
                    <w:t>选用低噪音设备</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消声减震</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利用建筑物隔声屏蔽</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加强操作管理和维护</w:t>
                  </w:r>
                  <w:r>
                    <w:rPr>
                      <w:rFonts w:hint="eastAsia" w:eastAsia="宋体" w:cs="Times New Roman"/>
                      <w:b w:val="0"/>
                      <w:bCs/>
                      <w:color w:val="auto"/>
                      <w:sz w:val="21"/>
                      <w:szCs w:val="21"/>
                      <w:vertAlign w:val="baseline"/>
                      <w:lang w:val="en-US" w:eastAsia="zh-CN"/>
                    </w:rPr>
                    <w:t>、</w:t>
                  </w:r>
                  <w:r>
                    <w:rPr>
                      <w:rFonts w:hint="default" w:ascii="Times New Roman" w:hAnsi="Times New Roman" w:eastAsia="宋体" w:cs="Times New Roman"/>
                      <w:b w:val="0"/>
                      <w:bCs/>
                      <w:color w:val="auto"/>
                      <w:sz w:val="21"/>
                      <w:szCs w:val="21"/>
                      <w:vertAlign w:val="baseline"/>
                      <w:lang w:val="en-US" w:eastAsia="zh-CN"/>
                    </w:rPr>
                    <w:t>合理布局等</w:t>
                  </w:r>
                </w:p>
              </w:tc>
              <w:tc>
                <w:tcPr>
                  <w:tcW w:w="1705" w:type="pct"/>
                  <w:gridSpan w:val="3"/>
                  <w:tcBorders>
                    <w:top w:val="single" w:color="auto" w:sz="4" w:space="0"/>
                    <w:left w:val="single" w:color="auto" w:sz="4" w:space="0"/>
                    <w:bottom w:val="single" w:color="auto" w:sz="12" w:space="0"/>
                  </w:tcBorders>
                  <w:vAlign w:val="center"/>
                </w:tcPr>
                <w:p w14:paraId="37B4542E">
                  <w:pPr>
                    <w:keepNext w:val="0"/>
                    <w:keepLines w:val="0"/>
                    <w:pageBreakBefore w:val="0"/>
                    <w:widowControl w:val="0"/>
                    <w:suppressLineNumbers w:val="0"/>
                    <w:overflowPunct/>
                    <w:topLinePunct w:val="0"/>
                    <w:autoSpaceDE/>
                    <w:autoSpaceDN/>
                    <w:bidi w:val="0"/>
                    <w:adjustRightInd w:val="0"/>
                    <w:snapToGrid w:val="0"/>
                    <w:spacing w:before="0" w:beforeAutospacing="0" w:after="0" w:afterAutospacing="0" w:line="360" w:lineRule="atLeast"/>
                    <w:ind w:left="0" w:right="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选用低噪声设备，采用隔声、</w:t>
                  </w:r>
                  <w:r>
                    <w:rPr>
                      <w:rFonts w:hint="eastAsia" w:ascii="Times New Roman" w:hAnsi="Times New Roman" w:eastAsia="宋体" w:cs="Times New Roman"/>
                      <w:color w:val="auto"/>
                      <w:sz w:val="21"/>
                      <w:szCs w:val="21"/>
                      <w:lang w:val="en-US" w:eastAsia="zh-CN"/>
                    </w:rPr>
                    <w:t>消音、</w:t>
                  </w:r>
                  <w:r>
                    <w:rPr>
                      <w:rFonts w:hint="default" w:ascii="Times New Roman" w:hAnsi="Times New Roman" w:eastAsia="宋体" w:cs="Times New Roman"/>
                      <w:color w:val="auto"/>
                      <w:sz w:val="21"/>
                      <w:szCs w:val="21"/>
                      <w:lang w:eastAsia="zh-CN"/>
                    </w:rPr>
                    <w:t>减震等</w:t>
                  </w:r>
                  <w:r>
                    <w:rPr>
                      <w:rFonts w:hint="eastAsia" w:ascii="Times New Roman" w:hAnsi="Times New Roman" w:eastAsia="宋体" w:cs="Times New Roman"/>
                      <w:color w:val="auto"/>
                      <w:sz w:val="21"/>
                      <w:szCs w:val="21"/>
                      <w:lang w:eastAsia="zh-CN"/>
                    </w:rPr>
                    <w:t>措施</w:t>
                  </w:r>
                </w:p>
              </w:tc>
            </w:tr>
          </w:tbl>
          <w:p w14:paraId="36E46FA0">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2" w:firstLineChars="200"/>
              <w:jc w:val="left"/>
              <w:textAlignment w:val="auto"/>
              <w:outlineLvl w:val="9"/>
              <w:rPr>
                <w:rFonts w:hint="default" w:ascii="Times New Roman" w:hAnsi="Times New Roman" w:eastAsia="宋体" w:cs="Times New Roman"/>
                <w:b/>
                <w:bCs w:val="0"/>
                <w:color w:val="auto"/>
                <w:sz w:val="22"/>
                <w:szCs w:val="22"/>
                <w:lang w:val="en-US" w:eastAsia="zh-CN"/>
              </w:rPr>
            </w:pPr>
            <w:r>
              <w:rPr>
                <w:rFonts w:hint="eastAsia" w:cs="Times New Roman"/>
                <w:b/>
                <w:bCs w:val="0"/>
                <w:color w:val="auto"/>
                <w:sz w:val="22"/>
                <w:szCs w:val="22"/>
                <w:lang w:val="en-US" w:eastAsia="zh-CN"/>
              </w:rPr>
              <w:t>5.</w:t>
            </w:r>
            <w:r>
              <w:rPr>
                <w:rFonts w:hint="default" w:ascii="Times New Roman" w:hAnsi="Times New Roman" w:eastAsia="宋体" w:cs="Times New Roman"/>
                <w:b/>
                <w:bCs w:val="0"/>
                <w:color w:val="auto"/>
                <w:sz w:val="22"/>
                <w:szCs w:val="22"/>
                <w:lang w:val="en-US" w:eastAsia="zh-CN"/>
              </w:rPr>
              <w:t>现有项目排污许可证编号</w:t>
            </w:r>
          </w:p>
          <w:p w14:paraId="1A3BC9A3">
            <w:pPr>
              <w:pStyle w:val="17"/>
              <w:keepNext w:val="0"/>
              <w:keepLines w:val="0"/>
              <w:pageBreakBefore w:val="0"/>
              <w:widowControl w:val="0"/>
              <w:tabs>
                <w:tab w:val="left" w:pos="0"/>
              </w:tabs>
              <w:kinsoku/>
              <w:wordWrap w:val="0"/>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color w:val="auto"/>
                <w:w w:val="100"/>
                <w:kern w:val="32"/>
                <w:sz w:val="22"/>
                <w:szCs w:val="22"/>
                <w:lang w:val="en-US" w:eastAsia="zh-CN"/>
              </w:rPr>
            </w:pPr>
            <w:r>
              <w:rPr>
                <w:rFonts w:hint="default" w:ascii="Times New Roman" w:hAnsi="Times New Roman" w:eastAsia="宋体" w:cs="Times New Roman"/>
                <w:color w:val="auto"/>
                <w:w w:val="100"/>
                <w:kern w:val="32"/>
                <w:sz w:val="22"/>
                <w:szCs w:val="22"/>
                <w:lang w:eastAsia="zh-CN"/>
              </w:rPr>
              <w:t>淮安欣展高分子科技有限公司现有项目排污许可证编号：</w:t>
            </w:r>
            <w:r>
              <w:rPr>
                <w:rFonts w:hint="default" w:ascii="Times New Roman" w:hAnsi="Times New Roman" w:eastAsia="宋体" w:cs="Times New Roman"/>
                <w:color w:val="auto"/>
                <w:w w:val="100"/>
                <w:kern w:val="32"/>
                <w:sz w:val="22"/>
                <w:szCs w:val="22"/>
                <w:lang w:val="en-US" w:eastAsia="zh-CN"/>
              </w:rPr>
              <w:t>913208005653424978001X。现有项目按照要求进行排污许可年度执行报告填报。</w:t>
            </w:r>
          </w:p>
          <w:p w14:paraId="7B00F823">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2" w:firstLineChars="200"/>
              <w:textAlignment w:val="auto"/>
              <w:outlineLvl w:val="9"/>
              <w:rPr>
                <w:rFonts w:hint="eastAsia" w:cs="Times New Roman"/>
                <w:b/>
                <w:bCs/>
                <w:color w:val="auto"/>
                <w:sz w:val="22"/>
                <w:szCs w:val="22"/>
                <w:lang w:val="en-US" w:eastAsia="zh-CN"/>
              </w:rPr>
            </w:pPr>
            <w:r>
              <w:rPr>
                <w:rFonts w:hint="eastAsia" w:cs="Times New Roman"/>
                <w:b/>
                <w:bCs/>
                <w:color w:val="auto"/>
                <w:sz w:val="22"/>
                <w:szCs w:val="22"/>
                <w:lang w:val="en-US" w:eastAsia="zh-CN"/>
              </w:rPr>
              <w:t>6.项目现状存在的环境问题及整改措施</w:t>
            </w:r>
          </w:p>
          <w:p w14:paraId="2A2B026C">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textAlignment w:val="auto"/>
              <w:outlineLvl w:val="9"/>
              <w:rPr>
                <w:rFonts w:hint="default" w:ascii="Times New Roman" w:hAnsi="Times New Roman" w:eastAsia="宋体" w:cs="Times New Roman"/>
                <w:b/>
                <w:bCs/>
                <w:color w:val="auto"/>
                <w:sz w:val="22"/>
                <w:szCs w:val="22"/>
                <w:lang w:val="en-US" w:eastAsia="zh-CN"/>
              </w:rPr>
            </w:pPr>
            <w:r>
              <w:rPr>
                <w:rFonts w:hint="eastAsia" w:ascii="Times New Roman" w:hAnsi="Times New Roman" w:cs="Times New Roman"/>
                <w:color w:val="auto"/>
                <w:sz w:val="22"/>
                <w:szCs w:val="22"/>
                <w:lang w:val="en-US" w:eastAsia="zh-CN"/>
              </w:rPr>
              <w:t>淮安欣展高分子科技有限公司现有项目均已按照其环评及排污许可证的要求进行管理。</w:t>
            </w:r>
          </w:p>
          <w:p w14:paraId="01D178F0">
            <w:pPr>
              <w:pStyle w:val="17"/>
              <w:keepNext w:val="0"/>
              <w:keepLines w:val="0"/>
              <w:pageBreakBefore w:val="0"/>
              <w:widowControl w:val="0"/>
              <w:tabs>
                <w:tab w:val="left" w:pos="0"/>
              </w:tabs>
              <w:kinsoku/>
              <w:wordWrap/>
              <w:overflowPunct/>
              <w:topLinePunct w:val="0"/>
              <w:autoSpaceDE/>
              <w:autoSpaceDN/>
              <w:bidi w:val="0"/>
              <w:adjustRightInd/>
              <w:snapToGrid/>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sz w:val="22"/>
                <w:szCs w:val="22"/>
                <w:vertAlign w:val="baseline"/>
              </w:rPr>
            </w:pPr>
          </w:p>
          <w:p w14:paraId="236EE2DA">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51233AAC">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0E6B7478">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18E71F40">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5564163C">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7D5A103F">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0A441960">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524EB08C">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31BB9D02">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3E2A5CE3">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430207D2">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4691A0C1">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344027B1">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26B23012">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54A77D90">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226A64D7">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10BA1E3F">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2FA03B14">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1B06E58E">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3DC42422">
            <w:pPr>
              <w:pStyle w:val="20"/>
              <w:widowControl w:val="0"/>
              <w:numPr>
                <w:ilvl w:val="0"/>
                <w:numId w:val="0"/>
              </w:numPr>
              <w:jc w:val="both"/>
              <w:rPr>
                <w:rFonts w:hint="default" w:ascii="Times New Roman" w:hAnsi="Times New Roman" w:eastAsia="宋体" w:cs="Times New Roman"/>
                <w:bCs/>
                <w:color w:val="auto"/>
                <w:sz w:val="22"/>
                <w:szCs w:val="22"/>
                <w:vertAlign w:val="baseline"/>
              </w:rPr>
            </w:pPr>
          </w:p>
          <w:p w14:paraId="0099CB6F">
            <w:pPr>
              <w:keepNext w:val="0"/>
              <w:keepLines w:val="0"/>
              <w:pageBreakBefore w:val="0"/>
              <w:widowControl w:val="0"/>
              <w:kinsoku/>
              <w:wordWrap/>
              <w:overflowPunct/>
              <w:topLinePunct w:val="0"/>
              <w:autoSpaceDE/>
              <w:autoSpaceDN/>
              <w:bidi w:val="0"/>
              <w:adjustRightInd w:val="0"/>
              <w:snapToGrid w:val="0"/>
              <w:spacing w:line="500" w:lineRule="exact"/>
              <w:jc w:val="both"/>
              <w:textAlignment w:val="auto"/>
              <w:outlineLvl w:val="9"/>
              <w:rPr>
                <w:rFonts w:hint="default" w:ascii="Times New Roman" w:hAnsi="Times New Roman" w:eastAsia="宋体" w:cs="Times New Roman"/>
                <w:bCs/>
                <w:color w:val="auto"/>
                <w:sz w:val="22"/>
                <w:szCs w:val="22"/>
                <w:lang w:val="en-US" w:eastAsia="zh-CN"/>
              </w:rPr>
            </w:pPr>
          </w:p>
        </w:tc>
      </w:tr>
    </w:tbl>
    <w:p w14:paraId="5796364B">
      <w:pPr>
        <w:pStyle w:val="31"/>
        <w:jc w:val="center"/>
        <w:rPr>
          <w:rFonts w:ascii="黑体" w:hAnsi="黑体" w:eastAsia="黑体"/>
          <w:snapToGrid w:val="0"/>
          <w:color w:val="auto"/>
          <w:sz w:val="36"/>
          <w:szCs w:val="36"/>
        </w:rPr>
        <w:sectPr>
          <w:pgSz w:w="11906" w:h="16838"/>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p w14:paraId="68CB3E6E">
      <w:pPr>
        <w:pStyle w:val="31"/>
        <w:keepNext w:val="0"/>
        <w:keepLines w:val="0"/>
        <w:pageBreakBefore w:val="0"/>
        <w:widowControl w:val="0"/>
        <w:kinsoku/>
        <w:wordWrap/>
        <w:overflowPunct/>
        <w:topLinePunct w:val="0"/>
        <w:autoSpaceDE/>
        <w:autoSpaceDN/>
        <w:bidi w:val="0"/>
        <w:adjustRightInd/>
        <w:snapToGrid/>
        <w:spacing w:before="0" w:beforeAutospacing="0" w:after="0" w:afterAutospacing="0" w:line="500" w:lineRule="exact"/>
        <w:jc w:val="center"/>
        <w:textAlignment w:val="auto"/>
        <w:outlineLvl w:val="0"/>
        <w:rPr>
          <w:rFonts w:hint="default" w:ascii="Times New Roman" w:hAnsi="Times New Roman" w:eastAsia="宋体" w:cs="Times New Roman"/>
          <w:b/>
          <w:bCs/>
          <w:snapToGrid w:val="0"/>
          <w:color w:val="auto"/>
          <w:sz w:val="28"/>
          <w:szCs w:val="28"/>
        </w:rPr>
      </w:pPr>
      <w:bookmarkStart w:id="44" w:name="_Toc10291"/>
      <w:r>
        <w:rPr>
          <w:rFonts w:hint="default" w:ascii="Times New Roman" w:hAnsi="Times New Roman" w:eastAsia="宋体" w:cs="Times New Roman"/>
          <w:b/>
          <w:bCs/>
          <w:snapToGrid w:val="0"/>
          <w:color w:val="auto"/>
          <w:sz w:val="28"/>
          <w:szCs w:val="28"/>
        </w:rPr>
        <w:t>三、区域环境质量现状、环境保护目标及评价标准</w:t>
      </w:r>
      <w:bookmarkEnd w:id="44"/>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636"/>
        <w:gridCol w:w="9059"/>
      </w:tblGrid>
      <w:tr w14:paraId="13E64B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545" w:hRule="atLeast"/>
          <w:jc w:val="center"/>
        </w:trPr>
        <w:tc>
          <w:tcPr>
            <w:tcW w:w="328" w:type="pct"/>
            <w:tcBorders>
              <w:bottom w:val="single" w:color="auto" w:sz="12" w:space="0"/>
              <w:tl2br w:val="nil"/>
              <w:tr2bl w:val="nil"/>
            </w:tcBorders>
            <w:noWrap w:val="0"/>
            <w:vAlign w:val="center"/>
          </w:tcPr>
          <w:p w14:paraId="681D9A19">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区域</w:t>
            </w:r>
          </w:p>
          <w:p w14:paraId="79EBCA5A">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环境</w:t>
            </w:r>
          </w:p>
          <w:p w14:paraId="2D9303D7">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质量</w:t>
            </w:r>
          </w:p>
          <w:p w14:paraId="0B857FD2">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现状</w:t>
            </w:r>
          </w:p>
        </w:tc>
        <w:tc>
          <w:tcPr>
            <w:tcW w:w="4671" w:type="pct"/>
            <w:tcBorders>
              <w:bottom w:val="single" w:color="auto" w:sz="12" w:space="0"/>
              <w:tl2br w:val="nil"/>
              <w:tr2bl w:val="nil"/>
            </w:tcBorders>
            <w:noWrap w:val="0"/>
            <w:vAlign w:val="top"/>
          </w:tcPr>
          <w:p w14:paraId="77D2ABE0">
            <w:pPr>
              <w:keepNext w:val="0"/>
              <w:keepLines w:val="0"/>
              <w:pageBreakBefore w:val="0"/>
              <w:widowControl w:val="0"/>
              <w:tabs>
                <w:tab w:val="left" w:pos="1800"/>
              </w:tabs>
              <w:kinsoku/>
              <w:wordWrap/>
              <w:overflowPunct/>
              <w:topLinePunct w:val="0"/>
              <w:autoSpaceDE/>
              <w:autoSpaceDN/>
              <w:bidi w:val="0"/>
              <w:spacing w:line="500" w:lineRule="exact"/>
              <w:ind w:left="0" w:right="0" w:firstLine="442" w:firstLineChars="200"/>
              <w:textAlignment w:val="auto"/>
              <w:outlineLvl w:val="9"/>
              <w:rPr>
                <w:rFonts w:hint="default" w:ascii="Times New Roman" w:hAnsi="Times New Roman" w:eastAsia="宋体" w:cs="Times New Roman"/>
                <w:b/>
                <w:color w:val="auto"/>
                <w:w w:val="100"/>
                <w:sz w:val="22"/>
                <w:szCs w:val="22"/>
                <w:lang w:val="en-US" w:eastAsia="zh-CN"/>
              </w:rPr>
            </w:pPr>
            <w:r>
              <w:rPr>
                <w:rFonts w:hint="eastAsia" w:ascii="Times New Roman" w:hAnsi="Times New Roman" w:eastAsia="宋体" w:cs="Times New Roman"/>
                <w:b/>
                <w:color w:val="auto"/>
                <w:w w:val="100"/>
                <w:sz w:val="22"/>
                <w:szCs w:val="22"/>
                <w:lang w:val="en-US" w:eastAsia="zh-CN"/>
              </w:rPr>
              <w:t>3.1区域环境质量现状</w:t>
            </w:r>
          </w:p>
          <w:p w14:paraId="10155923">
            <w:pPr>
              <w:keepNext w:val="0"/>
              <w:keepLines w:val="0"/>
              <w:pageBreakBefore w:val="0"/>
              <w:widowControl w:val="0"/>
              <w:tabs>
                <w:tab w:val="left" w:pos="1800"/>
              </w:tabs>
              <w:kinsoku/>
              <w:wordWrap/>
              <w:overflowPunct/>
              <w:topLinePunct w:val="0"/>
              <w:autoSpaceDE/>
              <w:autoSpaceDN/>
              <w:bidi w:val="0"/>
              <w:spacing w:line="500" w:lineRule="exact"/>
              <w:ind w:left="0" w:right="0" w:firstLine="442" w:firstLineChars="200"/>
              <w:textAlignment w:val="auto"/>
              <w:outlineLvl w:val="9"/>
              <w:rPr>
                <w:rFonts w:hint="default" w:ascii="Times New Roman" w:hAnsi="Times New Roman" w:eastAsia="宋体" w:cs="Times New Roman"/>
                <w:b/>
                <w:color w:val="auto"/>
                <w:w w:val="100"/>
                <w:sz w:val="22"/>
                <w:szCs w:val="22"/>
              </w:rPr>
            </w:pPr>
            <w:r>
              <w:rPr>
                <w:rFonts w:hint="eastAsia" w:ascii="Times New Roman" w:hAnsi="Times New Roman" w:eastAsia="宋体" w:cs="Times New Roman"/>
                <w:b/>
                <w:color w:val="auto"/>
                <w:w w:val="100"/>
                <w:sz w:val="22"/>
                <w:szCs w:val="22"/>
                <w:lang w:val="en-US" w:eastAsia="zh-CN"/>
              </w:rPr>
              <w:t>3.1.1</w:t>
            </w:r>
            <w:r>
              <w:rPr>
                <w:rFonts w:hint="default" w:ascii="Times New Roman" w:hAnsi="Times New Roman" w:eastAsia="宋体" w:cs="Times New Roman"/>
                <w:b/>
                <w:color w:val="auto"/>
                <w:w w:val="100"/>
                <w:sz w:val="22"/>
                <w:szCs w:val="22"/>
              </w:rPr>
              <w:t>大气环境质量现状</w:t>
            </w:r>
          </w:p>
          <w:p w14:paraId="2E649A08">
            <w:pPr>
              <w:pStyle w:val="82"/>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2" w:firstLineChars="200"/>
              <w:jc w:val="left"/>
              <w:textAlignment w:val="auto"/>
              <w:outlineLvl w:val="9"/>
              <w:rPr>
                <w:rFonts w:hint="default" w:ascii="Times New Roman" w:hAnsi="Times New Roman" w:eastAsia="宋体" w:cs="Times New Roman"/>
                <w:color w:val="auto"/>
                <w:w w:val="100"/>
                <w:sz w:val="22"/>
                <w:szCs w:val="22"/>
                <w:lang w:eastAsia="zh-CN"/>
              </w:rPr>
            </w:pPr>
            <w:r>
              <w:rPr>
                <w:rFonts w:hint="eastAsia" w:ascii="仿宋" w:hAnsi="仿宋" w:eastAsia="仿宋" w:cs="仿宋"/>
                <w:b/>
                <w:bCs/>
                <w:color w:val="auto"/>
                <w:w w:val="100"/>
                <w:sz w:val="22"/>
                <w:szCs w:val="22"/>
                <w:lang w:eastAsia="zh-CN"/>
              </w:rPr>
              <w:t>⑴</w:t>
            </w:r>
            <w:r>
              <w:rPr>
                <w:rFonts w:hint="default" w:ascii="Times New Roman" w:hAnsi="Times New Roman" w:eastAsia="宋体" w:cs="Times New Roman"/>
                <w:b/>
                <w:bCs/>
                <w:color w:val="auto"/>
                <w:w w:val="100"/>
                <w:sz w:val="22"/>
                <w:szCs w:val="22"/>
                <w:lang w:eastAsia="zh-CN"/>
              </w:rPr>
              <w:t>环境空气质量达标区判定</w:t>
            </w:r>
          </w:p>
          <w:p w14:paraId="5EF05C2D">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 w:val="0"/>
                <w:bCs/>
                <w:color w:val="auto"/>
                <w:w w:val="100"/>
                <w:kern w:val="2"/>
                <w:sz w:val="22"/>
                <w:szCs w:val="22"/>
                <w:lang w:val="en-US" w:eastAsia="zh-CN" w:bidi="ar-SA"/>
              </w:rPr>
              <w:t>根据《环境影响评价技术导则大气环境》（HJ2.2-2018），项目所在区域达标情况优先选用国家或地方生态环境主管部门公开发布的环境质量公告或环境质量公告中的数据或结论。本次评价选取202</w:t>
            </w:r>
            <w:r>
              <w:rPr>
                <w:rFonts w:hint="eastAsia" w:cs="Times New Roman"/>
                <w:b w:val="0"/>
                <w:bCs/>
                <w:color w:val="auto"/>
                <w:w w:val="100"/>
                <w:kern w:val="2"/>
                <w:sz w:val="22"/>
                <w:szCs w:val="22"/>
                <w:lang w:val="en-US" w:eastAsia="zh-CN" w:bidi="ar-SA"/>
              </w:rPr>
              <w:t>4</w:t>
            </w:r>
            <w:r>
              <w:rPr>
                <w:rFonts w:hint="default" w:ascii="Times New Roman" w:hAnsi="Times New Roman" w:eastAsia="宋体" w:cs="Times New Roman"/>
                <w:b w:val="0"/>
                <w:bCs/>
                <w:color w:val="auto"/>
                <w:w w:val="100"/>
                <w:kern w:val="2"/>
                <w:sz w:val="22"/>
                <w:szCs w:val="22"/>
                <w:lang w:val="en-US" w:eastAsia="zh-CN" w:bidi="ar-SA"/>
              </w:rPr>
              <w:t>年作为评价基准年，</w:t>
            </w:r>
            <w:r>
              <w:rPr>
                <w:rFonts w:hint="default" w:ascii="Times New Roman" w:hAnsi="Times New Roman" w:eastAsia="宋体" w:cs="Times New Roman"/>
                <w:bCs/>
                <w:color w:val="auto"/>
                <w:w w:val="100"/>
                <w:kern w:val="2"/>
                <w:sz w:val="22"/>
                <w:szCs w:val="22"/>
                <w:lang w:val="en-US" w:eastAsia="zh-CN" w:bidi="ar-SA"/>
              </w:rPr>
              <w:t>根据《</w:t>
            </w:r>
            <w:r>
              <w:rPr>
                <w:rFonts w:hint="default" w:ascii="Times New Roman" w:hAnsi="Times New Roman" w:eastAsia="宋体" w:cs="Times New Roman"/>
                <w:b w:val="0"/>
                <w:bCs/>
                <w:color w:val="auto"/>
                <w:w w:val="100"/>
                <w:kern w:val="2"/>
                <w:sz w:val="22"/>
                <w:szCs w:val="22"/>
                <w:lang w:val="en-US" w:eastAsia="zh-CN" w:bidi="ar-SA"/>
              </w:rPr>
              <w:t>202</w:t>
            </w:r>
            <w:r>
              <w:rPr>
                <w:rFonts w:hint="eastAsia" w:cs="Times New Roman"/>
                <w:b w:val="0"/>
                <w:bCs/>
                <w:color w:val="auto"/>
                <w:w w:val="100"/>
                <w:kern w:val="2"/>
                <w:sz w:val="22"/>
                <w:szCs w:val="22"/>
                <w:lang w:val="en-US" w:eastAsia="zh-CN" w:bidi="ar-SA"/>
              </w:rPr>
              <w:t>4</w:t>
            </w:r>
            <w:r>
              <w:rPr>
                <w:rFonts w:hint="default" w:ascii="Times New Roman" w:hAnsi="Times New Roman" w:eastAsia="宋体" w:cs="Times New Roman"/>
                <w:b w:val="0"/>
                <w:bCs/>
                <w:color w:val="auto"/>
                <w:w w:val="100"/>
                <w:kern w:val="2"/>
                <w:sz w:val="22"/>
                <w:szCs w:val="22"/>
                <w:lang w:val="en-US" w:eastAsia="zh-CN" w:bidi="ar-SA"/>
              </w:rPr>
              <w:t>年淮安市生态环境状况公报</w:t>
            </w:r>
            <w:r>
              <w:rPr>
                <w:rFonts w:hint="default" w:ascii="Times New Roman" w:hAnsi="Times New Roman" w:eastAsia="宋体" w:cs="Times New Roman"/>
                <w:bCs/>
                <w:color w:val="auto"/>
                <w:w w:val="100"/>
                <w:kern w:val="2"/>
                <w:sz w:val="22"/>
                <w:szCs w:val="22"/>
                <w:lang w:val="en-US" w:eastAsia="zh-CN" w:bidi="ar-SA"/>
              </w:rPr>
              <w:t>》</w:t>
            </w:r>
            <w:r>
              <w:rPr>
                <w:rFonts w:hint="default" w:ascii="Times New Roman" w:hAnsi="Times New Roman" w:eastAsia="宋体" w:cs="Times New Roman"/>
                <w:b w:val="0"/>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2024年淮安市环境空气质量持续稳中向好，全市空气质量等级优良天数比率84.2%</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创历史最优</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)和可吸入颗粒物(PM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)浓度为“十四五”以来最低。可吸入颗粒物(PM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)、二氧化硫(SO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)、二氧化氮(NO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)、一氧化碳(CO)、臭氧(O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)浓度达到国家二级标准限值。</w:t>
            </w:r>
          </w:p>
          <w:p w14:paraId="41B5A9F3">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2024年淮安市空气质量等级优良308天(扣除沙尘影响异常超标天)，优良率为84.2%。与2023年相比，空气质量等级优良的天数增加18天，优良率比率提升4.7个百分点。县区优良天数比率介于83.6%~89.6%之间，淮阴区最高，金湖县最低。</w:t>
            </w:r>
          </w:p>
          <w:p w14:paraId="46AAD48C">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全市细颗粒物(PM</w:t>
            </w:r>
            <w:r>
              <w:rPr>
                <w:rFonts w:hint="default" w:ascii="Times New Roman" w:hAnsi="Times New Roman" w:eastAsia="宋体" w:cs="Times New Roman"/>
                <w:bCs/>
                <w:color w:val="auto"/>
                <w:w w:val="100"/>
                <w:kern w:val="2"/>
                <w:sz w:val="22"/>
                <w:szCs w:val="22"/>
                <w:vertAlign w:val="subscript"/>
                <w:lang w:val="en-US" w:eastAsia="zh-CN" w:bidi="ar-SA"/>
              </w:rPr>
              <w:t>2.5</w:t>
            </w:r>
            <w:r>
              <w:rPr>
                <w:rFonts w:hint="default" w:ascii="Times New Roman" w:hAnsi="Times New Roman" w:eastAsia="宋体" w:cs="Times New Roman"/>
                <w:bCs/>
                <w:color w:val="auto"/>
                <w:w w:val="100"/>
                <w:kern w:val="2"/>
                <w:sz w:val="22"/>
                <w:szCs w:val="22"/>
                <w:lang w:val="en-US" w:eastAsia="zh-CN" w:bidi="ar-SA"/>
              </w:rPr>
              <w:t>)、可吸入颗粒物(PM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)、二氧化硫(SO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)、二氧化氮(NO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)、一氧化碳(CO)和臭氧(O</w:t>
            </w:r>
            <w:r>
              <w:rPr>
                <w:rFonts w:hint="default" w:ascii="Times New Roman" w:hAnsi="Times New Roman" w:eastAsia="宋体"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)浓度年均浓度分别为37微克/立方米、54微克/立方米、7微克/立方米、25微克/立方米、0.9毫克/立方米、152微克/立方米。PM</w:t>
            </w:r>
            <w:r>
              <w:rPr>
                <w:rFonts w:hint="default" w:ascii="Times New Roman" w:hAnsi="Times New Roman" w:eastAsia="宋体"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、SO</w:t>
            </w:r>
            <w:r>
              <w:rPr>
                <w:rFonts w:hint="default" w:ascii="Times New Roman" w:hAnsi="Times New Roman" w:eastAsia="宋体" w:cs="Times New Roman"/>
                <w:bCs/>
                <w:color w:val="auto"/>
                <w:w w:val="100"/>
                <w:kern w:val="2"/>
                <w:sz w:val="22"/>
                <w:szCs w:val="22"/>
                <w:vertAlign w:val="subscript"/>
                <w:lang w:val="en-US" w:eastAsia="zh-CN" w:bidi="ar-SA"/>
              </w:rPr>
              <w:t>2</w:t>
            </w:r>
            <w:r>
              <w:rPr>
                <w:rFonts w:hint="default" w:ascii="Times New Roman" w:hAnsi="Times New Roman" w:eastAsia="宋体" w:cs="Times New Roman"/>
                <w:bCs/>
                <w:color w:val="auto"/>
                <w:w w:val="100"/>
                <w:kern w:val="2"/>
                <w:sz w:val="22"/>
                <w:szCs w:val="22"/>
                <w:lang w:val="en-US" w:eastAsia="zh-CN" w:bidi="ar-SA"/>
              </w:rPr>
              <w:t>、CO、O</w:t>
            </w:r>
            <w:r>
              <w:rPr>
                <w:rFonts w:hint="eastAsia" w:cs="Times New Roman"/>
                <w:bCs/>
                <w:color w:val="auto"/>
                <w:w w:val="100"/>
                <w:kern w:val="2"/>
                <w:sz w:val="22"/>
                <w:szCs w:val="22"/>
                <w:vertAlign w:val="subscript"/>
                <w:lang w:val="en-US" w:eastAsia="zh-CN" w:bidi="ar-SA"/>
              </w:rPr>
              <w:t>3</w:t>
            </w:r>
            <w:r>
              <w:rPr>
                <w:rFonts w:hint="default" w:ascii="Times New Roman" w:hAnsi="Times New Roman" w:eastAsia="宋体" w:cs="Times New Roman"/>
                <w:bCs/>
                <w:color w:val="auto"/>
                <w:w w:val="100"/>
                <w:kern w:val="2"/>
                <w:sz w:val="22"/>
                <w:szCs w:val="22"/>
                <w:lang w:val="en-US" w:eastAsia="zh-CN" w:bidi="ar-SA"/>
              </w:rPr>
              <w:t>降幅分别为6.9%、12.5%、10%、3.8%。县区PM</w:t>
            </w:r>
            <w:r>
              <w:rPr>
                <w:rFonts w:hint="default" w:ascii="Times New Roman" w:hAnsi="Times New Roman" w:eastAsia="宋体" w:cs="Times New Roman"/>
                <w:bCs/>
                <w:color w:val="auto"/>
                <w:w w:val="100"/>
                <w:kern w:val="2"/>
                <w:sz w:val="22"/>
                <w:szCs w:val="22"/>
                <w:vertAlign w:val="subscript"/>
                <w:lang w:val="en-US" w:eastAsia="zh-CN" w:bidi="ar-SA"/>
              </w:rPr>
              <w:t>2.5</w:t>
            </w:r>
            <w:r>
              <w:rPr>
                <w:rFonts w:hint="default" w:ascii="Times New Roman" w:hAnsi="Times New Roman" w:eastAsia="宋体" w:cs="Times New Roman"/>
                <w:bCs/>
                <w:color w:val="auto"/>
                <w:w w:val="100"/>
                <w:kern w:val="2"/>
                <w:sz w:val="22"/>
                <w:szCs w:val="22"/>
                <w:lang w:val="en-US" w:eastAsia="zh-CN" w:bidi="ar-SA"/>
              </w:rPr>
              <w:t>年均浓度介于30-37微克/立方米之间，金湖县最低，清江浦区最高</w:t>
            </w:r>
            <w:r>
              <w:rPr>
                <w:rFonts w:hint="eastAsia"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PM</w:t>
            </w:r>
            <w:r>
              <w:rPr>
                <w:rFonts w:hint="eastAsia" w:cs="Times New Roman"/>
                <w:bCs/>
                <w:color w:val="auto"/>
                <w:w w:val="100"/>
                <w:kern w:val="2"/>
                <w:sz w:val="22"/>
                <w:szCs w:val="22"/>
                <w:vertAlign w:val="subscript"/>
                <w:lang w:val="en-US" w:eastAsia="zh-CN" w:bidi="ar-SA"/>
              </w:rPr>
              <w:t>10</w:t>
            </w:r>
            <w:r>
              <w:rPr>
                <w:rFonts w:hint="default" w:ascii="Times New Roman" w:hAnsi="Times New Roman" w:eastAsia="宋体" w:cs="Times New Roman"/>
                <w:bCs/>
                <w:color w:val="auto"/>
                <w:w w:val="100"/>
                <w:kern w:val="2"/>
                <w:sz w:val="22"/>
                <w:szCs w:val="22"/>
                <w:lang w:val="en-US" w:eastAsia="zh-CN" w:bidi="ar-SA"/>
              </w:rPr>
              <w:t>年均浓度介于43-59微克/立方米之间，经济开发区浓度最低，淮阴区浓度最高。</w:t>
            </w:r>
          </w:p>
          <w:p w14:paraId="3483E1B1">
            <w:pPr>
              <w:keepNext w:val="0"/>
              <w:keepLines w:val="0"/>
              <w:pageBreakBefore w:val="0"/>
              <w:widowControl w:val="0"/>
              <w:kinsoku/>
              <w:wordWrap/>
              <w:overflowPunct/>
              <w:topLinePunct w:val="0"/>
              <w:autoSpaceDE/>
              <w:autoSpaceDN/>
              <w:bidi w:val="0"/>
              <w:adjustRightInd w:val="0"/>
              <w:snapToGrid w:val="0"/>
              <w:spacing w:line="500" w:lineRule="exact"/>
              <w:ind w:left="0" w:right="0" w:firstLine="440" w:firstLineChars="200"/>
              <w:jc w:val="left"/>
              <w:textAlignment w:val="auto"/>
              <w:outlineLvl w:val="9"/>
              <w:rPr>
                <w:rFonts w:hint="default" w:ascii="Times New Roman" w:hAnsi="Times New Roman" w:eastAsia="宋体" w:cs="Times New Roman"/>
                <w:color w:val="000000"/>
                <w:sz w:val="22"/>
                <w:szCs w:val="22"/>
                <w:lang w:val="en-US" w:eastAsia="zh-CN"/>
              </w:rPr>
            </w:pPr>
            <w:r>
              <w:rPr>
                <w:rFonts w:hint="default" w:ascii="Times New Roman" w:hAnsi="Times New Roman" w:eastAsia="宋体" w:cs="Times New Roman"/>
                <w:color w:val="auto"/>
                <w:sz w:val="22"/>
                <w:szCs w:val="22"/>
              </w:rPr>
              <w:t>针对202</w:t>
            </w:r>
            <w:r>
              <w:rPr>
                <w:rFonts w:hint="default"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rPr>
              <w:t>年淮安市环境空气质量PM</w:t>
            </w:r>
            <w:r>
              <w:rPr>
                <w:rFonts w:hint="default" w:ascii="Times New Roman" w:hAnsi="Times New Roman" w:eastAsia="宋体" w:cs="Times New Roman"/>
                <w:color w:val="auto"/>
                <w:sz w:val="22"/>
                <w:szCs w:val="22"/>
                <w:vertAlign w:val="subscript"/>
              </w:rPr>
              <w:t>2.5</w:t>
            </w:r>
            <w:r>
              <w:rPr>
                <w:rFonts w:hint="default" w:ascii="Times New Roman" w:hAnsi="Times New Roman" w:eastAsia="宋体" w:cs="Times New Roman"/>
                <w:color w:val="auto"/>
                <w:sz w:val="22"/>
                <w:szCs w:val="22"/>
              </w:rPr>
              <w:t>不达标问题，</w:t>
            </w:r>
            <w:r>
              <w:rPr>
                <w:rFonts w:hint="default" w:ascii="Times New Roman" w:hAnsi="Times New Roman" w:eastAsia="宋体" w:cs="Times New Roman"/>
                <w:color w:val="000000"/>
                <w:sz w:val="22"/>
                <w:szCs w:val="22"/>
                <w:lang w:val="en-US" w:eastAsia="zh-CN"/>
              </w:rPr>
              <w:t>《淮安市2025年大气污染防治工作计划》（淮生态办发〔2025〕32号）明确了工作目标：2025年全市PM</w:t>
            </w:r>
            <w:r>
              <w:rPr>
                <w:rFonts w:hint="default" w:ascii="Times New Roman" w:hAnsi="Times New Roman" w:eastAsia="宋体" w:cs="Times New Roman"/>
                <w:color w:val="000000"/>
                <w:sz w:val="22"/>
                <w:szCs w:val="22"/>
                <w:vertAlign w:val="subscript"/>
                <w:lang w:val="en-US" w:eastAsia="zh-CN"/>
              </w:rPr>
              <w:t>2.5</w:t>
            </w:r>
            <w:r>
              <w:rPr>
                <w:rFonts w:hint="default" w:ascii="Times New Roman" w:hAnsi="Times New Roman" w:eastAsia="宋体" w:cs="Times New Roman"/>
                <w:color w:val="000000"/>
                <w:sz w:val="22"/>
                <w:szCs w:val="22"/>
                <w:lang w:val="en-US" w:eastAsia="zh-CN"/>
              </w:rPr>
              <w:t>浓度不高于36微克/立方米，优良天数比率达到82.4%，重污染天数1天；完成国家下达的氮氧化物、挥发性有机物重点工程减排量目标。并提出以下重点任务：（一）源头治理推动全市行业产业提升；（二）推动重点行业大气污染深度治理；（三）强化VOCs全过程综合治理；（四）推进老旧柴油货车和非道路移动机械淘汰；（五）推动各类移动源新能源使用率；（六）推动清洁运输比例提升；（七）加强移动源全链条监督管理；（八）严格合理控制煤炭消费总量；（九）加强秸秆综合利用和禁烧；（十）有序推进烟花爆竹禁燃限放；（十一）深化“两治一提升”专项行动；（十二）加强扬尘污染防治；（十三）全面强化空气质量管理；（十四）完善重污染天气应对机制；（十五）提升大气环境监测监控执法能力。</w:t>
            </w:r>
          </w:p>
          <w:p w14:paraId="78288983">
            <w:pPr>
              <w:keepNext w:val="0"/>
              <w:keepLines w:val="0"/>
              <w:pageBreakBefore w:val="0"/>
              <w:widowControl w:val="0"/>
              <w:kinsoku/>
              <w:wordWrap/>
              <w:overflowPunct/>
              <w:topLinePunct w:val="0"/>
              <w:autoSpaceDE w:val="0"/>
              <w:autoSpaceDN w:val="0"/>
              <w:bidi w:val="0"/>
              <w:adjustRightInd/>
              <w:snapToGrid w:val="0"/>
              <w:spacing w:before="0" w:after="0" w:line="500" w:lineRule="exact"/>
              <w:ind w:left="0" w:right="0" w:firstLine="440" w:firstLineChars="200"/>
              <w:jc w:val="left"/>
              <w:textAlignment w:val="auto"/>
              <w:outlineLvl w:val="9"/>
              <w:rPr>
                <w:rFonts w:hint="default" w:ascii="Times New Roman" w:hAnsi="Times New Roman" w:cs="Times New Roman" w:eastAsiaTheme="minorEastAsia"/>
                <w:color w:val="auto"/>
                <w:sz w:val="22"/>
                <w:szCs w:val="28"/>
              </w:rPr>
            </w:pPr>
            <w:r>
              <w:rPr>
                <w:rFonts w:hint="default" w:ascii="Times New Roman" w:hAnsi="Times New Roman" w:eastAsia="宋体" w:cs="Times New Roman"/>
                <w:color w:val="000000"/>
                <w:kern w:val="0"/>
                <w:sz w:val="22"/>
                <w:szCs w:val="22"/>
                <w:lang w:val="en-US" w:eastAsia="zh-CN" w:bidi="ar"/>
              </w:rPr>
              <w:t>随着</w:t>
            </w:r>
            <w:r>
              <w:rPr>
                <w:rFonts w:hint="default" w:ascii="Times New Roman" w:hAnsi="Times New Roman" w:eastAsia="宋体" w:cs="Times New Roman"/>
                <w:color w:val="000000"/>
                <w:sz w:val="22"/>
                <w:szCs w:val="22"/>
                <w:lang w:val="en-US" w:eastAsia="zh-CN"/>
              </w:rPr>
              <w:t>计划</w:t>
            </w:r>
            <w:r>
              <w:rPr>
                <w:rFonts w:hint="default" w:ascii="Times New Roman" w:hAnsi="Times New Roman" w:eastAsia="宋体" w:cs="Times New Roman"/>
                <w:color w:val="000000"/>
                <w:kern w:val="0"/>
                <w:sz w:val="22"/>
                <w:szCs w:val="22"/>
                <w:lang w:val="en-US" w:eastAsia="zh-CN" w:bidi="ar"/>
              </w:rPr>
              <w:t>的逐步落实，淮安市环境空气质量将逐渐得到改善，能够满足区域环境质量改善目标管理的要求</w:t>
            </w:r>
            <w:r>
              <w:rPr>
                <w:rFonts w:hint="default" w:ascii="Times New Roman" w:hAnsi="Times New Roman" w:eastAsia="宋体" w:cs="Times New Roman"/>
                <w:color w:val="000000"/>
                <w:kern w:val="2"/>
                <w:sz w:val="22"/>
                <w:szCs w:val="22"/>
                <w:lang w:val="en-US" w:eastAsia="zh-CN" w:bidi="ar-SA"/>
              </w:rPr>
              <w:t>。</w:t>
            </w:r>
          </w:p>
          <w:p w14:paraId="78E67B20">
            <w:pPr>
              <w:widowControl w:val="0"/>
              <w:snapToGrid/>
              <w:spacing w:before="0" w:after="0" w:line="500" w:lineRule="exact"/>
              <w:ind w:right="0" w:firstLine="478" w:firstLineChars="200"/>
              <w:jc w:val="both"/>
              <w:rPr>
                <w:rFonts w:hint="eastAsia" w:ascii="宋体" w:hAnsi="宋体" w:eastAsia="宋体" w:cs="宋体"/>
                <w:b/>
                <w:bCs/>
                <w:color w:val="auto"/>
                <w:spacing w:val="-1"/>
                <w:kern w:val="24"/>
                <w:sz w:val="24"/>
                <w:szCs w:val="24"/>
                <w:lang w:val="en-US" w:eastAsia="zh-CN" w:bidi="ar"/>
              </w:rPr>
            </w:pPr>
            <w:r>
              <w:rPr>
                <w:rFonts w:hint="eastAsia" w:ascii="宋体" w:hAnsi="宋体" w:eastAsia="宋体" w:cs="宋体"/>
                <w:b/>
                <w:bCs/>
                <w:color w:val="auto"/>
                <w:spacing w:val="-1"/>
                <w:kern w:val="24"/>
                <w:sz w:val="24"/>
                <w:szCs w:val="24"/>
                <w:lang w:val="en-US" w:eastAsia="zh-CN" w:bidi="ar"/>
              </w:rPr>
              <w:t>⑵其他污染物的环境质量现状</w:t>
            </w:r>
          </w:p>
          <w:p w14:paraId="12F49E73">
            <w:pPr>
              <w:keepNext w:val="0"/>
              <w:keepLines w:val="0"/>
              <w:pageBreakBefore w:val="0"/>
              <w:widowControl w:val="0"/>
              <w:kinsoku/>
              <w:wordWrap/>
              <w:overflowPunct/>
              <w:topLinePunct w:val="0"/>
              <w:autoSpaceDE/>
              <w:autoSpaceDN/>
              <w:bidi w:val="0"/>
              <w:adjustRightInd w:val="0"/>
              <w:snapToGrid w:val="0"/>
              <w:spacing w:line="500" w:lineRule="exact"/>
              <w:ind w:firstLine="440" w:firstLineChars="200"/>
              <w:textAlignment w:val="auto"/>
              <w:rPr>
                <w:rFonts w:hint="eastAsia" w:ascii="Times New Roman" w:hAnsi="Times New Roman" w:eastAsia="宋体" w:cs="Times New Roman"/>
                <w:bCs/>
                <w:color w:val="auto"/>
                <w:sz w:val="22"/>
                <w:szCs w:val="22"/>
              </w:rPr>
            </w:pPr>
            <w:r>
              <w:rPr>
                <w:rFonts w:hint="eastAsia" w:ascii="Times New Roman" w:hAnsi="Times New Roman" w:eastAsia="宋体" w:cs="Times New Roman"/>
                <w:bCs/>
                <w:color w:val="auto"/>
                <w:sz w:val="22"/>
                <w:szCs w:val="22"/>
              </w:rPr>
              <w:t>根据《淮安市行健再生资源利用有限公司</w:t>
            </w:r>
            <w:r>
              <w:rPr>
                <w:rFonts w:hint="eastAsia" w:ascii="Times New Roman" w:hAnsi="Times New Roman" w:eastAsia="宋体" w:cs="Times New Roman"/>
                <w:bCs/>
                <w:color w:val="auto"/>
                <w:sz w:val="22"/>
                <w:szCs w:val="22"/>
                <w:lang w:val="en-US" w:eastAsia="zh-CN"/>
              </w:rPr>
              <w:t>检测报告</w:t>
            </w:r>
            <w:r>
              <w:rPr>
                <w:rFonts w:hint="eastAsia" w:ascii="Times New Roman" w:hAnsi="Times New Roman" w:eastAsia="宋体" w:cs="Times New Roman"/>
                <w:bCs/>
                <w:color w:val="auto"/>
                <w:sz w:val="22"/>
                <w:szCs w:val="22"/>
              </w:rPr>
              <w:t>》</w:t>
            </w:r>
            <w:r>
              <w:rPr>
                <w:rFonts w:hint="eastAsia" w:ascii="Times New Roman" w:hAnsi="Times New Roman" w:eastAsia="宋体" w:cs="Times New Roman"/>
                <w:bCs/>
                <w:color w:val="auto"/>
                <w:sz w:val="22"/>
                <w:szCs w:val="22"/>
                <w:lang w:eastAsia="zh-CN"/>
              </w:rPr>
              <w:t>（编号：</w:t>
            </w:r>
            <w:r>
              <w:rPr>
                <w:rFonts w:hint="eastAsia" w:ascii="Times New Roman" w:hAnsi="Times New Roman" w:eastAsia="宋体" w:cs="Times New Roman"/>
                <w:bCs/>
                <w:color w:val="auto"/>
                <w:sz w:val="22"/>
                <w:szCs w:val="22"/>
                <w:lang w:val="en-US" w:eastAsia="zh-CN"/>
              </w:rPr>
              <w:t>HW202312073</w:t>
            </w:r>
            <w:r>
              <w:rPr>
                <w:rFonts w:hint="eastAsia" w:ascii="Times New Roman" w:hAnsi="Times New Roman" w:eastAsia="宋体" w:cs="Times New Roman"/>
                <w:bCs/>
                <w:color w:val="auto"/>
                <w:sz w:val="22"/>
                <w:szCs w:val="22"/>
                <w:lang w:eastAsia="zh-CN"/>
              </w:rPr>
              <w:t>）</w:t>
            </w:r>
            <w:r>
              <w:rPr>
                <w:rFonts w:hint="eastAsia" w:cs="Times New Roman"/>
                <w:bCs/>
                <w:color w:val="auto"/>
                <w:sz w:val="22"/>
                <w:szCs w:val="22"/>
                <w:lang w:eastAsia="zh-CN"/>
              </w:rPr>
              <w:t>（</w:t>
            </w:r>
            <w:r>
              <w:rPr>
                <w:rFonts w:hint="eastAsia" w:cs="Times New Roman"/>
                <w:bCs/>
                <w:color w:val="auto"/>
                <w:sz w:val="22"/>
                <w:szCs w:val="22"/>
                <w:lang w:val="en-US" w:eastAsia="zh-CN"/>
              </w:rPr>
              <w:t>详见附件13 引用环境质量现状监测</w:t>
            </w:r>
            <w:r>
              <w:rPr>
                <w:rFonts w:hint="eastAsia" w:cs="Times New Roman"/>
                <w:bCs/>
                <w:color w:val="auto"/>
                <w:sz w:val="22"/>
                <w:szCs w:val="22"/>
                <w:lang w:eastAsia="zh-CN"/>
              </w:rPr>
              <w:t>）</w:t>
            </w:r>
            <w:r>
              <w:rPr>
                <w:rFonts w:hint="eastAsia" w:ascii="Times New Roman" w:hAnsi="Times New Roman" w:eastAsia="宋体" w:cs="Times New Roman"/>
                <w:bCs/>
                <w:color w:val="auto"/>
                <w:sz w:val="22"/>
                <w:szCs w:val="22"/>
              </w:rPr>
              <w:t>，项目区域</w:t>
            </w:r>
            <w:r>
              <w:rPr>
                <w:rFonts w:hint="eastAsia" w:ascii="Times New Roman" w:hAnsi="Times New Roman" w:eastAsia="宋体" w:cs="Times New Roman"/>
                <w:bCs/>
                <w:color w:val="auto"/>
                <w:sz w:val="22"/>
                <w:szCs w:val="22"/>
                <w:lang w:eastAsia="zh-CN"/>
              </w:rPr>
              <w:t>非甲烷总烃</w:t>
            </w:r>
            <w:r>
              <w:rPr>
                <w:rFonts w:hint="eastAsia" w:ascii="Times New Roman" w:hAnsi="Times New Roman" w:eastAsia="宋体" w:cs="Times New Roman"/>
                <w:bCs/>
                <w:color w:val="auto"/>
                <w:sz w:val="22"/>
                <w:szCs w:val="22"/>
              </w:rPr>
              <w:t>现状浓度满足《大气污染物综合排放标准详解》推荐值（2</w:t>
            </w:r>
            <w:r>
              <w:rPr>
                <w:rFonts w:hint="default" w:ascii="Times New Roman" w:hAnsi="Times New Roman" w:eastAsia="宋体" w:cs="Times New Roman"/>
                <w:bCs/>
                <w:color w:val="auto"/>
                <w:sz w:val="22"/>
                <w:szCs w:val="22"/>
              </w:rPr>
              <w:t>mg/m</w:t>
            </w:r>
            <w:r>
              <w:rPr>
                <w:rFonts w:hint="default" w:ascii="Times New Roman" w:hAnsi="Times New Roman" w:eastAsia="宋体" w:cs="Times New Roman"/>
                <w:bCs/>
                <w:color w:val="auto"/>
                <w:sz w:val="22"/>
                <w:szCs w:val="22"/>
                <w:vertAlign w:val="superscript"/>
              </w:rPr>
              <w:t>3</w:t>
            </w:r>
            <w:r>
              <w:rPr>
                <w:rFonts w:hint="eastAsia" w:ascii="Times New Roman" w:hAnsi="Times New Roman" w:eastAsia="宋体" w:cs="Times New Roman"/>
                <w:bCs/>
                <w:color w:val="auto"/>
                <w:sz w:val="22"/>
                <w:szCs w:val="22"/>
              </w:rPr>
              <w:t>）</w:t>
            </w:r>
            <w:r>
              <w:rPr>
                <w:rFonts w:hint="eastAsia" w:ascii="Times New Roman" w:hAnsi="Times New Roman" w:eastAsia="宋体" w:cs="Times New Roman"/>
                <w:bCs/>
                <w:color w:val="auto"/>
                <w:sz w:val="22"/>
                <w:szCs w:val="22"/>
                <w:lang w:eastAsia="zh-CN"/>
              </w:rPr>
              <w:t>；</w:t>
            </w:r>
            <w:r>
              <w:rPr>
                <w:rFonts w:hint="eastAsia" w:ascii="Times New Roman" w:hAnsi="Times New Roman" w:eastAsia="宋体" w:cs="Times New Roman"/>
                <w:bCs/>
                <w:color w:val="auto"/>
                <w:sz w:val="22"/>
                <w:szCs w:val="22"/>
                <w:lang w:val="en-US" w:eastAsia="zh-CN"/>
              </w:rPr>
              <w:t>TSP</w:t>
            </w:r>
            <w:r>
              <w:rPr>
                <w:rFonts w:hint="eastAsia" w:ascii="Times New Roman" w:hAnsi="Times New Roman" w:eastAsia="宋体" w:cs="Times New Roman"/>
                <w:bCs/>
                <w:color w:val="auto"/>
                <w:sz w:val="22"/>
                <w:szCs w:val="22"/>
              </w:rPr>
              <w:t>现状浓度满足《环境空气质量标准》（GB3095-2012）中二级标准及其修改单（生态环境部公告2018年第29号）中的要求</w:t>
            </w:r>
            <w:r>
              <w:rPr>
                <w:rFonts w:hint="eastAsia" w:ascii="Times New Roman" w:hAnsi="Times New Roman" w:eastAsia="宋体" w:cs="Times New Roman"/>
                <w:bCs/>
                <w:color w:val="auto"/>
                <w:sz w:val="22"/>
                <w:szCs w:val="22"/>
                <w:lang w:eastAsia="zh-CN"/>
              </w:rPr>
              <w:t>（</w:t>
            </w:r>
            <w:r>
              <w:rPr>
                <w:rFonts w:hint="eastAsia" w:ascii="Times New Roman" w:hAnsi="Times New Roman" w:eastAsia="宋体" w:cs="Times New Roman"/>
                <w:bCs/>
                <w:color w:val="auto"/>
                <w:sz w:val="22"/>
                <w:szCs w:val="22"/>
                <w:lang w:val="en-US" w:eastAsia="zh-CN"/>
              </w:rPr>
              <w:t>0.3</w:t>
            </w:r>
            <w:r>
              <w:rPr>
                <w:rFonts w:hint="default" w:ascii="Times New Roman" w:hAnsi="Times New Roman" w:eastAsia="宋体" w:cs="Times New Roman"/>
                <w:bCs/>
                <w:color w:val="auto"/>
                <w:sz w:val="22"/>
                <w:szCs w:val="22"/>
              </w:rPr>
              <w:t>mg/m</w:t>
            </w:r>
            <w:r>
              <w:rPr>
                <w:rFonts w:hint="default" w:ascii="Times New Roman" w:hAnsi="Times New Roman" w:eastAsia="宋体" w:cs="Times New Roman"/>
                <w:bCs/>
                <w:color w:val="auto"/>
                <w:sz w:val="22"/>
                <w:szCs w:val="22"/>
                <w:vertAlign w:val="superscript"/>
              </w:rPr>
              <w:t>3</w:t>
            </w:r>
            <w:r>
              <w:rPr>
                <w:rFonts w:hint="eastAsia" w:ascii="Times New Roman" w:hAnsi="Times New Roman" w:eastAsia="宋体" w:cs="Times New Roman"/>
                <w:bCs/>
                <w:color w:val="auto"/>
                <w:sz w:val="22"/>
                <w:szCs w:val="22"/>
                <w:lang w:eastAsia="zh-CN"/>
              </w:rPr>
              <w:t>）</w:t>
            </w:r>
            <w:r>
              <w:rPr>
                <w:rFonts w:hint="eastAsia" w:ascii="Times New Roman" w:hAnsi="Times New Roman" w:eastAsia="宋体" w:cs="Times New Roman"/>
                <w:bCs/>
                <w:color w:val="auto"/>
                <w:sz w:val="22"/>
                <w:szCs w:val="22"/>
              </w:rPr>
              <w:t>。具体见表3</w:t>
            </w:r>
            <w:r>
              <w:rPr>
                <w:rFonts w:hint="eastAsia" w:ascii="Times New Roman" w:hAnsi="Times New Roman" w:eastAsia="宋体" w:cs="Times New Roman"/>
                <w:bCs/>
                <w:color w:val="auto"/>
                <w:sz w:val="22"/>
                <w:szCs w:val="22"/>
                <w:lang w:val="en-US" w:eastAsia="zh-CN"/>
              </w:rPr>
              <w:t>.1</w:t>
            </w:r>
            <w:r>
              <w:rPr>
                <w:rFonts w:hint="eastAsia" w:ascii="Times New Roman" w:hAnsi="Times New Roman" w:eastAsia="宋体" w:cs="Times New Roman"/>
                <w:bCs/>
                <w:color w:val="auto"/>
                <w:sz w:val="22"/>
                <w:szCs w:val="22"/>
              </w:rPr>
              <w:t>-2。</w:t>
            </w:r>
          </w:p>
          <w:p w14:paraId="7CDA677F">
            <w:pPr>
              <w:keepNext w:val="0"/>
              <w:keepLines w:val="0"/>
              <w:pageBreakBefore w:val="0"/>
              <w:widowControl w:val="0"/>
              <w:kinsoku/>
              <w:wordWrap/>
              <w:overflowPunct/>
              <w:topLinePunct w:val="0"/>
              <w:autoSpaceDE/>
              <w:autoSpaceDN/>
              <w:bidi w:val="0"/>
              <w:adjustRightInd/>
              <w:snapToGrid/>
              <w:spacing w:line="500" w:lineRule="exact"/>
              <w:ind w:firstLine="0" w:firstLineChars="0"/>
              <w:jc w:val="center"/>
              <w:textAlignment w:val="auto"/>
              <w:rPr>
                <w:rFonts w:hint="eastAsia" w:ascii="Times New Roman" w:hAnsi="Times New Roman" w:eastAsia="宋体" w:cs="Times New Roman"/>
                <w:b/>
                <w:bCs/>
                <w:color w:val="auto"/>
                <w:sz w:val="22"/>
                <w:szCs w:val="22"/>
                <w:highlight w:val="none"/>
                <w:lang w:eastAsia="zh-CN"/>
              </w:rPr>
            </w:pPr>
            <w:r>
              <w:rPr>
                <w:rFonts w:hint="eastAsia" w:ascii="Times New Roman" w:hAnsi="Times New Roman" w:eastAsia="宋体" w:cs="Times New Roman"/>
                <w:b/>
                <w:bCs/>
                <w:color w:val="auto"/>
                <w:sz w:val="22"/>
                <w:szCs w:val="22"/>
                <w:highlight w:val="none"/>
                <w:lang w:eastAsia="zh-CN"/>
              </w:rPr>
              <w:t>表3</w:t>
            </w:r>
            <w:r>
              <w:rPr>
                <w:rFonts w:hint="eastAsia" w:ascii="Times New Roman" w:hAnsi="Times New Roman" w:eastAsia="宋体" w:cs="Times New Roman"/>
                <w:b/>
                <w:bCs/>
                <w:color w:val="auto"/>
                <w:sz w:val="22"/>
                <w:szCs w:val="22"/>
                <w:highlight w:val="none"/>
                <w:lang w:val="en-US" w:eastAsia="zh-CN"/>
              </w:rPr>
              <w:t>.1</w:t>
            </w:r>
            <w:r>
              <w:rPr>
                <w:rFonts w:hint="eastAsia" w:ascii="Times New Roman" w:hAnsi="Times New Roman" w:eastAsia="宋体" w:cs="Times New Roman"/>
                <w:b/>
                <w:bCs/>
                <w:color w:val="auto"/>
                <w:sz w:val="22"/>
                <w:szCs w:val="22"/>
                <w:highlight w:val="none"/>
                <w:lang w:eastAsia="zh-CN"/>
              </w:rPr>
              <w:t xml:space="preserve">-2 </w:t>
            </w:r>
            <w:r>
              <w:rPr>
                <w:rFonts w:hint="eastAsia" w:ascii="Times New Roman" w:hAnsi="Times New Roman" w:eastAsia="宋体" w:cs="Times New Roman"/>
                <w:b/>
                <w:bCs/>
                <w:color w:val="auto"/>
                <w:sz w:val="22"/>
                <w:szCs w:val="22"/>
                <w:highlight w:val="none"/>
                <w:lang w:val="en-US" w:eastAsia="zh-CN"/>
              </w:rPr>
              <w:t xml:space="preserve"> </w:t>
            </w:r>
            <w:r>
              <w:rPr>
                <w:rFonts w:hint="eastAsia" w:ascii="Times New Roman" w:hAnsi="Times New Roman" w:eastAsia="宋体" w:cs="Times New Roman"/>
                <w:b/>
                <w:bCs/>
                <w:color w:val="auto"/>
                <w:sz w:val="22"/>
                <w:szCs w:val="22"/>
                <w:highlight w:val="none"/>
                <w:lang w:eastAsia="zh-CN"/>
              </w:rPr>
              <w:t>项目区域非甲烷总烃现状监测结果</w:t>
            </w:r>
          </w:p>
          <w:tbl>
            <w:tblPr>
              <w:tblStyle w:val="43"/>
              <w:tblW w:w="5000" w:type="pct"/>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28" w:type="dxa"/>
                <w:bottom w:w="0" w:type="dxa"/>
                <w:right w:w="28" w:type="dxa"/>
              </w:tblCellMar>
            </w:tblPr>
            <w:tblGrid>
              <w:gridCol w:w="2346"/>
              <w:gridCol w:w="1271"/>
              <w:gridCol w:w="1389"/>
              <w:gridCol w:w="2690"/>
              <w:gridCol w:w="1307"/>
            </w:tblGrid>
            <w:tr w14:paraId="172D79DA">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28" w:type="dxa"/>
                  <w:bottom w:w="0" w:type="dxa"/>
                  <w:right w:w="28" w:type="dxa"/>
                </w:tblCellMar>
              </w:tblPrEx>
              <w:trPr>
                <w:trHeight w:val="454" w:hRule="atLeast"/>
                <w:jc w:val="center"/>
              </w:trPr>
              <w:tc>
                <w:tcPr>
                  <w:tcW w:w="1302" w:type="pct"/>
                  <w:noWrap w:val="0"/>
                  <w:vAlign w:val="center"/>
                </w:tcPr>
                <w:p w14:paraId="26CECB45">
                  <w:pPr>
                    <w:keepNext w:val="0"/>
                    <w:keepLines w:val="0"/>
                    <w:pageBreakBefore w:val="0"/>
                    <w:widowControl/>
                    <w:kinsoku/>
                    <w:wordWrap/>
                    <w:overflowPunct/>
                    <w:topLinePunct w:val="0"/>
                    <w:autoSpaceDE w:val="0"/>
                    <w:autoSpaceDN w:val="0"/>
                    <w:bidi w:val="0"/>
                    <w:adjustRightInd/>
                    <w:snapToGrid/>
                    <w:spacing w:line="360" w:lineRule="exact"/>
                    <w:jc w:val="center"/>
                    <w:rPr>
                      <w:rFonts w:hint="default" w:ascii="Times New Roman" w:hAnsi="Times New Roman" w:eastAsia="宋体" w:cs="Times New Roman"/>
                      <w:b/>
                      <w:bCs w:val="0"/>
                      <w:color w:val="auto"/>
                      <w:spacing w:val="-20"/>
                      <w:sz w:val="21"/>
                      <w:szCs w:val="21"/>
                    </w:rPr>
                  </w:pPr>
                  <w:r>
                    <w:rPr>
                      <w:rFonts w:hint="default" w:ascii="Times New Roman" w:hAnsi="Times New Roman" w:eastAsia="宋体" w:cs="Times New Roman"/>
                      <w:b/>
                      <w:bCs w:val="0"/>
                      <w:color w:val="auto"/>
                      <w:sz w:val="21"/>
                      <w:szCs w:val="21"/>
                    </w:rPr>
                    <w:t>点位编号及名称</w:t>
                  </w:r>
                </w:p>
              </w:tc>
              <w:tc>
                <w:tcPr>
                  <w:tcW w:w="705" w:type="pct"/>
                  <w:noWrap w:val="0"/>
                  <w:vAlign w:val="center"/>
                </w:tcPr>
                <w:p w14:paraId="550456CF">
                  <w:pPr>
                    <w:keepNext w:val="0"/>
                    <w:keepLines w:val="0"/>
                    <w:pageBreakBefore w:val="0"/>
                    <w:widowControl/>
                    <w:kinsoku/>
                    <w:wordWrap/>
                    <w:overflowPunct/>
                    <w:topLinePunct w:val="0"/>
                    <w:autoSpaceDE w:val="0"/>
                    <w:autoSpaceDN w:val="0"/>
                    <w:bidi w:val="0"/>
                    <w:adjustRightInd/>
                    <w:snapToGrid/>
                    <w:spacing w:line="360" w:lineRule="exact"/>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监测日期</w:t>
                  </w:r>
                </w:p>
              </w:tc>
              <w:tc>
                <w:tcPr>
                  <w:tcW w:w="771" w:type="pct"/>
                  <w:noWrap w:val="0"/>
                  <w:vAlign w:val="center"/>
                </w:tcPr>
                <w:p w14:paraId="246F85B2">
                  <w:pPr>
                    <w:keepNext w:val="0"/>
                    <w:keepLines w:val="0"/>
                    <w:pageBreakBefore w:val="0"/>
                    <w:widowControl/>
                    <w:kinsoku/>
                    <w:wordWrap/>
                    <w:overflowPunct/>
                    <w:topLinePunct w:val="0"/>
                    <w:autoSpaceDE w:val="0"/>
                    <w:autoSpaceDN w:val="0"/>
                    <w:bidi w:val="0"/>
                    <w:adjustRightInd/>
                    <w:snapToGrid/>
                    <w:spacing w:line="360" w:lineRule="exact"/>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监测因子</w:t>
                  </w:r>
                </w:p>
              </w:tc>
              <w:tc>
                <w:tcPr>
                  <w:tcW w:w="1493" w:type="pct"/>
                  <w:noWrap w:val="0"/>
                  <w:vAlign w:val="center"/>
                </w:tcPr>
                <w:p w14:paraId="07E41420">
                  <w:pPr>
                    <w:keepNext w:val="0"/>
                    <w:keepLines w:val="0"/>
                    <w:pageBreakBefore w:val="0"/>
                    <w:widowControl w:val="0"/>
                    <w:kinsoku/>
                    <w:wordWrap/>
                    <w:overflowPunct/>
                    <w:topLinePunct w:val="0"/>
                    <w:bidi w:val="0"/>
                    <w:adjustRightInd/>
                    <w:snapToGrid/>
                    <w:spacing w:line="360" w:lineRule="exact"/>
                    <w:jc w:val="center"/>
                    <w:rPr>
                      <w:rFonts w:hint="default" w:ascii="Times New Roman" w:hAnsi="Times New Roman" w:eastAsia="宋体" w:cs="Times New Roman"/>
                      <w:b/>
                      <w:bCs w:val="0"/>
                      <w:color w:val="auto"/>
                      <w:kern w:val="2"/>
                      <w:sz w:val="21"/>
                      <w:szCs w:val="21"/>
                      <w:lang w:val="zh-CN" w:eastAsia="zh-CN" w:bidi="zh-CN"/>
                    </w:rPr>
                  </w:pPr>
                  <w:r>
                    <w:rPr>
                      <w:rFonts w:hint="default" w:ascii="Times New Roman" w:hAnsi="Times New Roman" w:eastAsia="宋体" w:cs="Times New Roman"/>
                      <w:b/>
                      <w:bCs w:val="0"/>
                      <w:color w:val="auto"/>
                      <w:kern w:val="2"/>
                      <w:sz w:val="21"/>
                      <w:szCs w:val="21"/>
                      <w:lang w:val="zh-CN" w:eastAsia="zh-CN" w:bidi="zh-CN"/>
                    </w:rPr>
                    <w:t>现状浓度</w:t>
                  </w:r>
                </w:p>
                <w:p w14:paraId="0CC821FF">
                  <w:pPr>
                    <w:keepNext w:val="0"/>
                    <w:keepLines w:val="0"/>
                    <w:pageBreakBefore w:val="0"/>
                    <w:widowControl w:val="0"/>
                    <w:kinsoku/>
                    <w:wordWrap/>
                    <w:overflowPunct/>
                    <w:topLinePunct w:val="0"/>
                    <w:bidi w:val="0"/>
                    <w:adjustRightInd/>
                    <w:snapToGrid/>
                    <w:spacing w:line="360" w:lineRule="exact"/>
                    <w:jc w:val="center"/>
                    <w:rPr>
                      <w:rFonts w:hint="default" w:ascii="Times New Roman" w:hAnsi="Times New Roman" w:eastAsia="宋体" w:cs="Times New Roman"/>
                      <w:b/>
                      <w:bCs w:val="0"/>
                      <w:color w:val="auto"/>
                      <w:kern w:val="2"/>
                      <w:sz w:val="21"/>
                      <w:szCs w:val="21"/>
                      <w:lang w:val="zh-CN" w:eastAsia="zh-CN" w:bidi="zh-CN"/>
                    </w:rPr>
                  </w:pPr>
                  <w:r>
                    <w:rPr>
                      <w:rFonts w:hint="default" w:ascii="Times New Roman" w:hAnsi="Times New Roman" w:eastAsia="宋体" w:cs="Times New Roman"/>
                      <w:b/>
                      <w:bCs w:val="0"/>
                      <w:color w:val="auto"/>
                      <w:kern w:val="2"/>
                      <w:sz w:val="21"/>
                      <w:szCs w:val="21"/>
                      <w:lang w:val="zh-CN" w:eastAsia="zh-CN" w:bidi="zh-CN"/>
                    </w:rPr>
                    <w:t>（小时平均，mg/m</w:t>
                  </w:r>
                  <w:r>
                    <w:rPr>
                      <w:rFonts w:hint="default" w:ascii="Times New Roman" w:hAnsi="Times New Roman" w:eastAsia="宋体" w:cs="Times New Roman"/>
                      <w:b/>
                      <w:bCs w:val="0"/>
                      <w:color w:val="auto"/>
                      <w:kern w:val="2"/>
                      <w:sz w:val="21"/>
                      <w:szCs w:val="21"/>
                      <w:vertAlign w:val="superscript"/>
                      <w:lang w:val="zh-CN" w:eastAsia="zh-CN" w:bidi="zh-CN"/>
                    </w:rPr>
                    <w:t>3</w:t>
                  </w:r>
                  <w:r>
                    <w:rPr>
                      <w:rFonts w:hint="default" w:ascii="Times New Roman" w:hAnsi="Times New Roman" w:eastAsia="宋体" w:cs="Times New Roman"/>
                      <w:b/>
                      <w:bCs w:val="0"/>
                      <w:color w:val="auto"/>
                      <w:kern w:val="2"/>
                      <w:sz w:val="21"/>
                      <w:szCs w:val="21"/>
                      <w:lang w:val="zh-CN" w:eastAsia="zh-CN" w:bidi="zh-CN"/>
                    </w:rPr>
                    <w:t>）</w:t>
                  </w:r>
                </w:p>
              </w:tc>
              <w:tc>
                <w:tcPr>
                  <w:tcW w:w="725" w:type="pct"/>
                  <w:noWrap w:val="0"/>
                  <w:vAlign w:val="center"/>
                </w:tcPr>
                <w:p w14:paraId="4AC65F1B">
                  <w:pPr>
                    <w:keepNext w:val="0"/>
                    <w:keepLines w:val="0"/>
                    <w:pageBreakBefore w:val="0"/>
                    <w:widowControl/>
                    <w:kinsoku/>
                    <w:wordWrap/>
                    <w:overflowPunct/>
                    <w:topLinePunct w:val="0"/>
                    <w:autoSpaceDE w:val="0"/>
                    <w:autoSpaceDN w:val="0"/>
                    <w:bidi w:val="0"/>
                    <w:adjustRightInd/>
                    <w:snapToGrid/>
                    <w:spacing w:line="360" w:lineRule="exact"/>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超标率%</w:t>
                  </w:r>
                </w:p>
              </w:tc>
            </w:tr>
            <w:tr w14:paraId="2B09490F">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28" w:type="dxa"/>
                  <w:bottom w:w="0" w:type="dxa"/>
                  <w:right w:w="28" w:type="dxa"/>
                </w:tblCellMar>
              </w:tblPrEx>
              <w:trPr>
                <w:trHeight w:val="454" w:hRule="atLeast"/>
                <w:jc w:val="center"/>
              </w:trPr>
              <w:tc>
                <w:tcPr>
                  <w:tcW w:w="1302" w:type="pct"/>
                  <w:vMerge w:val="restart"/>
                  <w:noWrap w:val="0"/>
                  <w:vAlign w:val="center"/>
                </w:tcPr>
                <w:p w14:paraId="15AC29D7">
                  <w:pPr>
                    <w:keepNext w:val="0"/>
                    <w:keepLines w:val="0"/>
                    <w:pageBreakBefore w:val="0"/>
                    <w:widowControl/>
                    <w:kinsoku/>
                    <w:wordWrap/>
                    <w:overflowPunct/>
                    <w:topLinePunct w:val="0"/>
                    <w:bidi w:val="0"/>
                    <w:adjustRightInd/>
                    <w:snapToGrid/>
                    <w:spacing w:line="360" w:lineRule="exact"/>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刘庄</w:t>
                  </w:r>
                </w:p>
                <w:p w14:paraId="030312D4">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eastAsia="zh-CN"/>
                    </w:rPr>
                    <w:t>东北</w:t>
                  </w:r>
                  <w:r>
                    <w:rPr>
                      <w:rFonts w:hint="eastAsia" w:ascii="Times New Roman" w:hAnsi="Times New Roman" w:eastAsia="宋体" w:cs="Times New Roman"/>
                      <w:color w:val="auto"/>
                      <w:sz w:val="21"/>
                      <w:szCs w:val="21"/>
                      <w:lang w:val="en-US" w:eastAsia="zh-CN"/>
                    </w:rPr>
                    <w:t>1.616</w:t>
                  </w:r>
                  <w:r>
                    <w:rPr>
                      <w:rFonts w:hint="default" w:ascii="Times New Roman" w:hAnsi="Times New Roman" w:eastAsia="宋体" w:cs="Times New Roman"/>
                      <w:color w:val="auto"/>
                      <w:sz w:val="21"/>
                      <w:szCs w:val="21"/>
                    </w:rPr>
                    <w:t>km）</w:t>
                  </w:r>
                </w:p>
              </w:tc>
              <w:tc>
                <w:tcPr>
                  <w:tcW w:w="705" w:type="pct"/>
                  <w:vMerge w:val="restart"/>
                  <w:noWrap w:val="0"/>
                  <w:vAlign w:val="center"/>
                </w:tcPr>
                <w:p w14:paraId="3BB3E9A0">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202</w:t>
                  </w:r>
                  <w:r>
                    <w:rPr>
                      <w:rFonts w:hint="eastAsia"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12</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27</w:t>
                  </w:r>
                  <w:r>
                    <w:rPr>
                      <w:rFonts w:hint="default" w:ascii="Times New Roman" w:hAnsi="Times New Roman" w:eastAsia="宋体" w:cs="Times New Roman"/>
                      <w:color w:val="auto"/>
                      <w:sz w:val="21"/>
                      <w:szCs w:val="21"/>
                    </w:rPr>
                    <w:t>~</w:t>
                  </w:r>
                </w:p>
                <w:p w14:paraId="33F558BC">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rPr>
                    <w:t>202</w:t>
                  </w:r>
                  <w:r>
                    <w:rPr>
                      <w:rFonts w:hint="eastAsia" w:ascii="Times New Roman" w:hAnsi="Times New Roman" w:eastAsia="宋体" w:cs="Times New Roman"/>
                      <w:color w:val="auto"/>
                      <w:sz w:val="21"/>
                      <w:szCs w:val="21"/>
                      <w:lang w:val="en-US" w:eastAsia="zh-CN"/>
                    </w:rPr>
                    <w:t>4.01.02</w:t>
                  </w:r>
                </w:p>
              </w:tc>
              <w:tc>
                <w:tcPr>
                  <w:tcW w:w="771" w:type="pct"/>
                  <w:noWrap w:val="0"/>
                  <w:vAlign w:val="center"/>
                </w:tcPr>
                <w:p w14:paraId="68EE16DC">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TSP</w:t>
                  </w:r>
                </w:p>
              </w:tc>
              <w:tc>
                <w:tcPr>
                  <w:tcW w:w="1493" w:type="pct"/>
                  <w:noWrap w:val="0"/>
                  <w:vAlign w:val="center"/>
                </w:tcPr>
                <w:p w14:paraId="40CCFFB2">
                  <w:pPr>
                    <w:keepNext w:val="0"/>
                    <w:keepLines w:val="0"/>
                    <w:pageBreakBefore w:val="0"/>
                    <w:kinsoku/>
                    <w:wordWrap/>
                    <w:overflowPunct/>
                    <w:topLinePunct w:val="0"/>
                    <w:bidi w:val="0"/>
                    <w:adjustRightInd/>
                    <w:snapToGrid/>
                    <w:spacing w:line="360" w:lineRule="exac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0.183-0.232</w:t>
                  </w:r>
                </w:p>
              </w:tc>
              <w:tc>
                <w:tcPr>
                  <w:tcW w:w="725" w:type="pct"/>
                  <w:noWrap w:val="0"/>
                  <w:vAlign w:val="center"/>
                </w:tcPr>
                <w:p w14:paraId="49D6A1EA">
                  <w:pPr>
                    <w:keepNext w:val="0"/>
                    <w:keepLines w:val="0"/>
                    <w:pageBreakBefore w:val="0"/>
                    <w:widowControl/>
                    <w:kinsoku/>
                    <w:wordWrap/>
                    <w:overflowPunct/>
                    <w:topLinePunct w:val="0"/>
                    <w:autoSpaceDE w:val="0"/>
                    <w:autoSpaceDN w:val="0"/>
                    <w:bidi w:val="0"/>
                    <w:adjustRightInd/>
                    <w:snapToGrid/>
                    <w:spacing w:line="360" w:lineRule="exac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w:t>
                  </w:r>
                </w:p>
              </w:tc>
            </w:tr>
            <w:tr w14:paraId="4B9450B4">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28" w:type="dxa"/>
                  <w:bottom w:w="0" w:type="dxa"/>
                  <w:right w:w="28" w:type="dxa"/>
                </w:tblCellMar>
              </w:tblPrEx>
              <w:trPr>
                <w:trHeight w:val="454" w:hRule="atLeast"/>
                <w:jc w:val="center"/>
              </w:trPr>
              <w:tc>
                <w:tcPr>
                  <w:tcW w:w="1302" w:type="pct"/>
                  <w:vMerge w:val="continue"/>
                  <w:noWrap w:val="0"/>
                  <w:vAlign w:val="center"/>
                </w:tcPr>
                <w:p w14:paraId="41855399">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rPr>
                  </w:pPr>
                </w:p>
              </w:tc>
              <w:tc>
                <w:tcPr>
                  <w:tcW w:w="705" w:type="pct"/>
                  <w:vMerge w:val="continue"/>
                  <w:noWrap w:val="0"/>
                  <w:vAlign w:val="center"/>
                </w:tcPr>
                <w:p w14:paraId="0462174C">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rPr>
                  </w:pPr>
                </w:p>
              </w:tc>
              <w:tc>
                <w:tcPr>
                  <w:tcW w:w="771" w:type="pct"/>
                  <w:noWrap w:val="0"/>
                  <w:vAlign w:val="center"/>
                </w:tcPr>
                <w:p w14:paraId="6443A015">
                  <w:pPr>
                    <w:keepNext w:val="0"/>
                    <w:keepLines w:val="0"/>
                    <w:pageBreakBefore w:val="0"/>
                    <w:widowControl/>
                    <w:kinsoku/>
                    <w:wordWrap/>
                    <w:overflowPunct/>
                    <w:topLinePunct w:val="0"/>
                    <w:bidi w:val="0"/>
                    <w:adjustRightInd/>
                    <w:snapToGrid/>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非甲烷总烃</w:t>
                  </w:r>
                </w:p>
              </w:tc>
              <w:tc>
                <w:tcPr>
                  <w:tcW w:w="1493" w:type="pct"/>
                  <w:noWrap w:val="0"/>
                  <w:vAlign w:val="center"/>
                </w:tcPr>
                <w:p w14:paraId="3D5AF8FB">
                  <w:pPr>
                    <w:keepNext w:val="0"/>
                    <w:keepLines w:val="0"/>
                    <w:pageBreakBefore w:val="0"/>
                    <w:kinsoku/>
                    <w:wordWrap/>
                    <w:overflowPunct/>
                    <w:topLinePunct w:val="0"/>
                    <w:bidi w:val="0"/>
                    <w:adjustRightInd/>
                    <w:snapToGrid/>
                    <w:spacing w:line="360" w:lineRule="exac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0.20-0.68</w:t>
                  </w:r>
                </w:p>
              </w:tc>
              <w:tc>
                <w:tcPr>
                  <w:tcW w:w="725" w:type="pct"/>
                  <w:noWrap w:val="0"/>
                  <w:vAlign w:val="center"/>
                </w:tcPr>
                <w:p w14:paraId="30CB2128">
                  <w:pPr>
                    <w:keepNext w:val="0"/>
                    <w:keepLines w:val="0"/>
                    <w:pageBreakBefore w:val="0"/>
                    <w:widowControl/>
                    <w:kinsoku/>
                    <w:wordWrap/>
                    <w:overflowPunct/>
                    <w:topLinePunct w:val="0"/>
                    <w:autoSpaceDE w:val="0"/>
                    <w:autoSpaceDN w:val="0"/>
                    <w:bidi w:val="0"/>
                    <w:adjustRightInd/>
                    <w:snapToGrid/>
                    <w:spacing w:line="360" w:lineRule="exact"/>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w:t>
                  </w:r>
                </w:p>
              </w:tc>
            </w:tr>
          </w:tbl>
          <w:p w14:paraId="4AD692A8">
            <w:pPr>
              <w:keepNext w:val="0"/>
              <w:keepLines w:val="0"/>
              <w:pageBreakBefore w:val="0"/>
              <w:widowControl w:val="0"/>
              <w:kinsoku/>
              <w:wordWrap/>
              <w:overflowPunct/>
              <w:topLinePunct w:val="0"/>
              <w:autoSpaceDE/>
              <w:autoSpaceDN/>
              <w:bidi w:val="0"/>
              <w:adjustRightInd w:val="0"/>
              <w:snapToGrid w:val="0"/>
              <w:spacing w:line="500" w:lineRule="exact"/>
              <w:ind w:firstLine="440" w:firstLineChars="20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根据《建设项目环境影响报告表编制技术指南》（污染影响类）（试行）可引用建设项目周边5千米范围内近3年的现有监测数据。</w:t>
            </w:r>
            <w:r>
              <w:rPr>
                <w:rFonts w:hint="eastAsia" w:ascii="Times New Roman" w:hAnsi="Times New Roman" w:eastAsia="宋体" w:cs="Times New Roman"/>
                <w:bCs/>
                <w:color w:val="auto"/>
                <w:sz w:val="22"/>
                <w:szCs w:val="22"/>
              </w:rPr>
              <w:t>《淮安市行健再生资源利用有限公司</w:t>
            </w:r>
            <w:r>
              <w:rPr>
                <w:rFonts w:hint="eastAsia" w:ascii="Times New Roman" w:hAnsi="Times New Roman" w:eastAsia="宋体" w:cs="Times New Roman"/>
                <w:bCs/>
                <w:color w:val="auto"/>
                <w:sz w:val="22"/>
                <w:szCs w:val="22"/>
                <w:lang w:val="en-US" w:eastAsia="zh-CN"/>
              </w:rPr>
              <w:t>检测报告</w:t>
            </w:r>
            <w:r>
              <w:rPr>
                <w:rFonts w:hint="eastAsia" w:ascii="Times New Roman" w:hAnsi="Times New Roman" w:eastAsia="宋体" w:cs="Times New Roman"/>
                <w:bCs/>
                <w:color w:val="auto"/>
                <w:sz w:val="22"/>
                <w:szCs w:val="22"/>
              </w:rPr>
              <w:t>》</w:t>
            </w:r>
            <w:r>
              <w:rPr>
                <w:rFonts w:hint="eastAsia" w:ascii="Times New Roman" w:hAnsi="Times New Roman" w:eastAsia="宋体" w:cs="Times New Roman"/>
                <w:bCs/>
                <w:color w:val="auto"/>
                <w:sz w:val="22"/>
                <w:szCs w:val="22"/>
                <w:lang w:eastAsia="zh-CN"/>
              </w:rPr>
              <w:t>（编号：</w:t>
            </w:r>
            <w:r>
              <w:rPr>
                <w:rFonts w:hint="eastAsia" w:ascii="Times New Roman" w:hAnsi="Times New Roman" w:eastAsia="宋体" w:cs="Times New Roman"/>
                <w:bCs/>
                <w:color w:val="auto"/>
                <w:sz w:val="22"/>
                <w:szCs w:val="22"/>
                <w:lang w:val="en-US" w:eastAsia="zh-CN"/>
              </w:rPr>
              <w:t>HW202312073</w:t>
            </w:r>
            <w:r>
              <w:rPr>
                <w:rFonts w:hint="eastAsia" w:ascii="Times New Roman" w:hAnsi="Times New Roman" w:eastAsia="宋体" w:cs="Times New Roman"/>
                <w:bCs/>
                <w:color w:val="auto"/>
                <w:sz w:val="22"/>
                <w:szCs w:val="22"/>
                <w:lang w:eastAsia="zh-CN"/>
              </w:rPr>
              <w:t>）</w:t>
            </w:r>
            <w:r>
              <w:rPr>
                <w:rFonts w:hint="default" w:ascii="Times New Roman" w:hAnsi="Times New Roman" w:eastAsia="宋体" w:cs="Times New Roman"/>
                <w:bCs/>
                <w:color w:val="auto"/>
                <w:sz w:val="22"/>
                <w:szCs w:val="22"/>
              </w:rPr>
              <w:t>中现状监测时间为202</w:t>
            </w:r>
            <w:r>
              <w:rPr>
                <w:rFonts w:hint="eastAsia" w:ascii="Times New Roman" w:hAnsi="Times New Roman" w:eastAsia="宋体" w:cs="Times New Roman"/>
                <w:bCs/>
                <w:color w:val="auto"/>
                <w:sz w:val="22"/>
                <w:szCs w:val="22"/>
                <w:lang w:val="en-US" w:eastAsia="zh-CN"/>
              </w:rPr>
              <w:t>3.12.27~2024.01.02</w:t>
            </w:r>
            <w:r>
              <w:rPr>
                <w:rFonts w:hint="default" w:ascii="Times New Roman" w:hAnsi="Times New Roman" w:eastAsia="宋体" w:cs="Times New Roman"/>
                <w:bCs/>
                <w:color w:val="auto"/>
                <w:sz w:val="22"/>
                <w:szCs w:val="22"/>
              </w:rPr>
              <w:t>，监测点位</w:t>
            </w:r>
            <w:r>
              <w:rPr>
                <w:rFonts w:hint="eastAsia" w:ascii="Times New Roman" w:hAnsi="Times New Roman" w:eastAsia="宋体" w:cs="Times New Roman"/>
                <w:bCs/>
                <w:color w:val="auto"/>
                <w:sz w:val="22"/>
                <w:szCs w:val="22"/>
                <w:lang w:eastAsia="zh-CN"/>
              </w:rPr>
              <w:t>刘庄</w:t>
            </w:r>
            <w:r>
              <w:rPr>
                <w:rFonts w:hint="default" w:ascii="Times New Roman" w:hAnsi="Times New Roman" w:eastAsia="宋体" w:cs="Times New Roman"/>
                <w:bCs/>
                <w:color w:val="auto"/>
                <w:sz w:val="22"/>
                <w:szCs w:val="22"/>
              </w:rPr>
              <w:t>位于</w:t>
            </w:r>
            <w:r>
              <w:rPr>
                <w:rFonts w:hint="default" w:ascii="Times New Roman" w:hAnsi="Times New Roman" w:eastAsia="宋体" w:cs="Times New Roman"/>
                <w:bCs/>
                <w:color w:val="auto"/>
                <w:sz w:val="22"/>
                <w:szCs w:val="22"/>
                <w:lang w:eastAsia="zh-CN"/>
              </w:rPr>
              <w:t>拟建</w:t>
            </w:r>
            <w:r>
              <w:rPr>
                <w:rFonts w:hint="default" w:ascii="Times New Roman" w:hAnsi="Times New Roman" w:eastAsia="宋体" w:cs="Times New Roman"/>
                <w:bCs/>
                <w:color w:val="auto"/>
                <w:sz w:val="22"/>
                <w:szCs w:val="22"/>
              </w:rPr>
              <w:t>项目5km</w:t>
            </w:r>
            <w:r>
              <w:rPr>
                <w:rFonts w:hint="eastAsia" w:ascii="Times New Roman" w:hAnsi="Times New Roman" w:eastAsia="宋体" w:cs="Times New Roman"/>
                <w:bCs/>
                <w:color w:val="auto"/>
                <w:sz w:val="22"/>
                <w:szCs w:val="22"/>
                <w:lang w:eastAsia="zh-CN"/>
              </w:rPr>
              <w:t>范围内</w:t>
            </w:r>
            <w:r>
              <w:rPr>
                <w:rFonts w:hint="default" w:ascii="Times New Roman" w:hAnsi="Times New Roman" w:eastAsia="宋体" w:cs="Times New Roman"/>
                <w:bCs/>
                <w:color w:val="auto"/>
                <w:sz w:val="22"/>
                <w:szCs w:val="22"/>
              </w:rPr>
              <w:t>，</w:t>
            </w:r>
            <w:r>
              <w:rPr>
                <w:rFonts w:hint="default" w:ascii="Times New Roman" w:hAnsi="Times New Roman" w:eastAsia="宋体" w:cs="Times New Roman"/>
                <w:bCs/>
                <w:color w:val="auto"/>
                <w:sz w:val="22"/>
                <w:szCs w:val="22"/>
                <w:lang w:eastAsia="zh-CN"/>
              </w:rPr>
              <w:t>拟建</w:t>
            </w:r>
            <w:r>
              <w:rPr>
                <w:rFonts w:hint="default" w:ascii="Times New Roman" w:hAnsi="Times New Roman" w:eastAsia="宋体" w:cs="Times New Roman"/>
                <w:bCs/>
                <w:color w:val="auto"/>
                <w:sz w:val="22"/>
                <w:szCs w:val="22"/>
              </w:rPr>
              <w:t>项目引用该点位满足《建设项目环境影响报告表编制技术指南》（污染影响类）（试行）要求。</w:t>
            </w:r>
          </w:p>
          <w:p w14:paraId="4BCEFFC0">
            <w:pPr>
              <w:keepNext w:val="0"/>
              <w:keepLines w:val="0"/>
              <w:pageBreakBefore w:val="0"/>
              <w:widowControl w:val="0"/>
              <w:kinsoku/>
              <w:wordWrap/>
              <w:overflowPunct/>
              <w:topLinePunct w:val="0"/>
              <w:autoSpaceDE/>
              <w:autoSpaceDN/>
              <w:bidi w:val="0"/>
              <w:adjustRightInd/>
              <w:snapToGrid w:val="0"/>
              <w:spacing w:line="500" w:lineRule="exact"/>
              <w:ind w:left="0" w:right="0" w:firstLine="442" w:firstLineChars="200"/>
              <w:textAlignment w:val="auto"/>
              <w:outlineLvl w:val="9"/>
              <w:rPr>
                <w:rFonts w:hint="default" w:ascii="Times New Roman" w:hAnsi="Times New Roman" w:eastAsia="宋体" w:cs="Times New Roman"/>
                <w:b/>
                <w:color w:val="auto"/>
                <w:w w:val="100"/>
                <w:sz w:val="22"/>
                <w:szCs w:val="22"/>
              </w:rPr>
            </w:pPr>
            <w:r>
              <w:rPr>
                <w:rFonts w:hint="eastAsia" w:ascii="Times New Roman" w:hAnsi="Times New Roman" w:eastAsia="宋体" w:cs="Times New Roman"/>
                <w:b/>
                <w:bCs/>
                <w:color w:val="auto"/>
                <w:sz w:val="22"/>
                <w:szCs w:val="22"/>
                <w:lang w:val="en-US" w:eastAsia="zh-CN"/>
              </w:rPr>
              <w:t>3.1.2</w:t>
            </w:r>
            <w:r>
              <w:rPr>
                <w:rFonts w:hint="default" w:ascii="Times New Roman" w:hAnsi="Times New Roman" w:eastAsia="宋体" w:cs="Times New Roman"/>
                <w:b/>
                <w:bCs/>
                <w:color w:val="auto"/>
                <w:sz w:val="22"/>
                <w:szCs w:val="22"/>
                <w:lang w:eastAsia="zh-CN"/>
              </w:rPr>
              <w:t>地表水</w:t>
            </w:r>
            <w:r>
              <w:rPr>
                <w:rFonts w:hint="eastAsia" w:ascii="Times New Roman" w:hAnsi="Times New Roman" w:eastAsia="宋体" w:cs="Times New Roman"/>
                <w:b/>
                <w:bCs/>
                <w:color w:val="auto"/>
                <w:sz w:val="22"/>
                <w:szCs w:val="22"/>
                <w:lang w:eastAsia="zh-CN"/>
              </w:rPr>
              <w:t>环境</w:t>
            </w:r>
          </w:p>
          <w:p w14:paraId="65A32DE5">
            <w:pPr>
              <w:autoSpaceDE w:val="0"/>
              <w:autoSpaceDN w:val="0"/>
              <w:adjustRightInd w:val="0"/>
              <w:snapToGrid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根据《202</w:t>
            </w:r>
            <w:r>
              <w:rPr>
                <w:rFonts w:hint="default"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rPr>
              <w:t>年淮安市环境质量状况公报》，2024年淮安市水环境质量总体保持稳定，25条主要河流断面整体水质状况达到优良，全市57个国省考断面优</w:t>
            </w:r>
            <w:r>
              <w:rPr>
                <w:rFonts w:hint="default" w:ascii="Times New Roman" w:hAnsi="Times New Roman" w:eastAsia="宋体" w:cs="Times New Roman"/>
                <w:color w:val="auto"/>
                <w:sz w:val="22"/>
                <w:szCs w:val="22"/>
                <w:lang w:eastAsia="zh-CN"/>
              </w:rPr>
              <w:t>Ⅲ</w:t>
            </w:r>
            <w:r>
              <w:rPr>
                <w:rFonts w:hint="default" w:ascii="Times New Roman" w:hAnsi="Times New Roman" w:eastAsia="宋体" w:cs="Times New Roman"/>
                <w:color w:val="auto"/>
                <w:sz w:val="22"/>
                <w:szCs w:val="22"/>
              </w:rPr>
              <w:t>比例 93%，优</w:t>
            </w:r>
            <w:r>
              <w:rPr>
                <w:rFonts w:hint="default" w:ascii="Times New Roman" w:hAnsi="Times New Roman" w:eastAsia="宋体" w:cs="Times New Roman"/>
                <w:color w:val="auto"/>
                <w:sz w:val="22"/>
                <w:szCs w:val="22"/>
                <w:lang w:eastAsia="zh-CN"/>
              </w:rPr>
              <w:t>Ⅱ</w:t>
            </w:r>
            <w:r>
              <w:rPr>
                <w:rFonts w:hint="default" w:ascii="Times New Roman" w:hAnsi="Times New Roman" w:eastAsia="宋体" w:cs="Times New Roman"/>
                <w:color w:val="auto"/>
                <w:sz w:val="22"/>
                <w:szCs w:val="22"/>
              </w:rPr>
              <w:t>比例28.1%，水环境质量稳中有升，主要湖泊水质保持稳定，总磷浓度有所下降，饮用水源地水质稳定达标，地下水水质稳中趋好。</w:t>
            </w:r>
          </w:p>
          <w:p w14:paraId="3093A93A">
            <w:pPr>
              <w:autoSpaceDE w:val="0"/>
              <w:autoSpaceDN w:val="0"/>
              <w:adjustRightInd w:val="0"/>
              <w:snapToGrid w:val="0"/>
              <w:spacing w:line="500" w:lineRule="exact"/>
              <w:ind w:firstLine="440" w:firstLineChars="200"/>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国省考断面</w:t>
            </w:r>
            <w:r>
              <w:rPr>
                <w:rFonts w:hint="default" w:ascii="Times New Roman" w:hAnsi="Times New Roman" w:eastAsia="宋体" w:cs="Times New Roman"/>
                <w:color w:val="auto"/>
                <w:sz w:val="22"/>
                <w:szCs w:val="22"/>
                <w:lang w:eastAsia="zh-CN"/>
              </w:rPr>
              <w:t>：纳入“十四五”国家地表水环境质量考核的11个国考断面中，年均水质达到或好于Ⅲ类标准的断面9个(Ⅱ类断面4个)，优Ⅲ比例81.8%；纳入江苏省“十四五”水环境质量目标考核的57个断面中水质达到或好于Ⅲ类标准的断面有53个，优Ⅲ比例93%。国省考断面达标率100%，优Ⅲ比例与2023年同比持平，无V类和劣V类断面。国考断面Ⅱ类好水比例为45.5%，较2023年上升9.1%，省考断面Ⅱ类好水比例为28.1%，较2023年上升5.3%。</w:t>
            </w:r>
          </w:p>
          <w:p w14:paraId="5734C1E2">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饮用水水源地</w:t>
            </w:r>
            <w:r>
              <w:rPr>
                <w:rFonts w:hint="default" w:ascii="Times New Roman" w:hAnsi="Times New Roman" w:eastAsia="宋体" w:cs="Times New Roman"/>
                <w:color w:val="auto"/>
                <w:sz w:val="22"/>
                <w:szCs w:val="22"/>
                <w:lang w:eastAsia="zh-CN"/>
              </w:rPr>
              <w:t>：全市城镇饮用水以集中式供水为主。淮安市集中式饮用水水源地取水总量35230万吨，主要取水水源为淮河、古淮河、里运河、洪泽湖、二河、淮沭河和入江水道。12个集中式饮用水水源地(2024年8月核销了涟水县古淮河涟城水源地)水质状况稳定，除盱眙县淮河河桥水源地达Ⅲ类水质外，其余水源地均达Ⅱ类水质，达标率为100%。淮安市城市集中式饮用水水源地水质能满足饮用水水质标准要求，保持较好状态。</w:t>
            </w:r>
          </w:p>
          <w:p w14:paraId="5437E0A5">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主要河流</w:t>
            </w:r>
            <w:r>
              <w:rPr>
                <w:rFonts w:hint="default" w:ascii="Times New Roman" w:hAnsi="Times New Roman" w:eastAsia="宋体" w:cs="Times New Roman"/>
                <w:color w:val="auto"/>
                <w:sz w:val="22"/>
                <w:szCs w:val="22"/>
                <w:lang w:eastAsia="zh-CN"/>
              </w:rPr>
              <w:t>：2024年，27条主要河流水质保持稳定，其中淮河、京杭大运河、苏北灌溉总渠、淮河入江水道、分淮入沂水道水质状况为优；南淮泗河、维桥河、张福河、团结河、高桥河、池河、淮河入海水道、盐河、黄河故道、金宝航道、南六塘河、草泽河、唐响河、头溪河、汪木排河、运西河-新河、浔河、一帆河、跃进河、周桥灌区总干渠为良好；公兴河、赵公河水质状况为轻度污染。</w:t>
            </w:r>
          </w:p>
          <w:p w14:paraId="69B4BFF0">
            <w:pPr>
              <w:keepNext w:val="0"/>
              <w:keepLines w:val="0"/>
              <w:pageBreakBefore w:val="0"/>
              <w:widowControl w:val="0"/>
              <w:kinsoku/>
              <w:wordWrap/>
              <w:overflowPunct/>
              <w:topLinePunct w:val="0"/>
              <w:autoSpaceDE/>
              <w:autoSpaceDN/>
              <w:bidi w:val="0"/>
              <w:adjustRightInd/>
              <w:snapToGrid/>
              <w:spacing w:line="500" w:lineRule="exact"/>
              <w:ind w:left="0" w:right="0" w:firstLine="440" w:firstLineChars="200"/>
              <w:jc w:val="both"/>
              <w:textAlignment w:val="auto"/>
              <w:outlineLvl w:val="9"/>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rPr>
              <w:t>湖库</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2024年，洪泽湖淮安片区总体水质达到地表水IV类标准，水质状况保持稳定，总磷、总氮年均浓度为0.062毫克/升、1.85毫克/升，总磷浓度同比下降18.4%，总氮浓度同比上升22.2%。综合营养状态指数54.1，处于轻度富营养状态，与2023年相比，综合营养状态指数下降了0.6。</w:t>
            </w:r>
          </w:p>
          <w:p w14:paraId="28FF83D3">
            <w:pPr>
              <w:pStyle w:val="81"/>
              <w:keepNext w:val="0"/>
              <w:keepLines w:val="0"/>
              <w:pageBreakBefore w:val="0"/>
              <w:widowControl w:val="0"/>
              <w:kinsoku/>
              <w:wordWrap/>
              <w:overflowPunct/>
              <w:topLinePunct w:val="0"/>
              <w:autoSpaceDN/>
              <w:bidi w:val="0"/>
              <w:adjustRightInd w:val="0"/>
              <w:spacing w:line="500" w:lineRule="exact"/>
              <w:ind w:left="0" w:right="0" w:firstLine="433" w:firstLineChars="196"/>
              <w:textAlignment w:val="auto"/>
              <w:outlineLvl w:val="9"/>
              <w:rPr>
                <w:rFonts w:hint="default" w:ascii="Times New Roman" w:hAnsi="Times New Roman" w:eastAsia="宋体" w:cs="Times New Roman"/>
                <w:b/>
                <w:color w:val="auto"/>
                <w:w w:val="100"/>
                <w:sz w:val="22"/>
                <w:szCs w:val="22"/>
              </w:rPr>
            </w:pPr>
            <w:r>
              <w:rPr>
                <w:rFonts w:hint="eastAsia" w:ascii="Times New Roman" w:hAnsi="Times New Roman" w:eastAsia="宋体" w:cs="Times New Roman"/>
                <w:b/>
                <w:color w:val="auto"/>
                <w:w w:val="100"/>
                <w:sz w:val="22"/>
                <w:szCs w:val="22"/>
                <w:lang w:val="en-US" w:eastAsia="zh-CN"/>
              </w:rPr>
              <w:t>3.1.3</w:t>
            </w:r>
            <w:r>
              <w:rPr>
                <w:rFonts w:hint="default" w:ascii="Times New Roman" w:hAnsi="Times New Roman" w:eastAsia="宋体" w:cs="Times New Roman"/>
                <w:b/>
                <w:color w:val="auto"/>
                <w:w w:val="100"/>
                <w:sz w:val="22"/>
                <w:szCs w:val="22"/>
              </w:rPr>
              <w:t>声环境</w:t>
            </w:r>
          </w:p>
          <w:p w14:paraId="2244CF5A">
            <w:pPr>
              <w:keepNext w:val="0"/>
              <w:keepLines w:val="0"/>
              <w:pageBreakBefore w:val="0"/>
              <w:widowControl w:val="0"/>
              <w:kinsoku/>
              <w:wordWrap/>
              <w:overflowPunct/>
              <w:topLinePunct w:val="0"/>
              <w:autoSpaceDN/>
              <w:bidi w:val="0"/>
              <w:spacing w:line="500" w:lineRule="exact"/>
              <w:ind w:left="0" w:right="0" w:firstLine="440" w:firstLineChars="200"/>
              <w:jc w:val="both"/>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根据《202</w:t>
            </w:r>
            <w:r>
              <w:rPr>
                <w:rFonts w:hint="eastAsia" w:cs="Times New Roman"/>
                <w:color w:val="auto"/>
                <w:w w:val="100"/>
                <w:sz w:val="22"/>
                <w:szCs w:val="22"/>
                <w:lang w:val="en-US" w:eastAsia="zh-CN"/>
              </w:rPr>
              <w:t>4</w:t>
            </w:r>
            <w:r>
              <w:rPr>
                <w:rFonts w:hint="default" w:ascii="Times New Roman" w:hAnsi="Times New Roman" w:eastAsia="宋体" w:cs="Times New Roman"/>
                <w:color w:val="auto"/>
                <w:w w:val="100"/>
                <w:sz w:val="22"/>
                <w:szCs w:val="22"/>
              </w:rPr>
              <w:t>年淮安市生态环境状况公报》显示，202</w:t>
            </w:r>
            <w:r>
              <w:rPr>
                <w:rFonts w:hint="eastAsia" w:cs="Times New Roman"/>
                <w:color w:val="auto"/>
                <w:w w:val="100"/>
                <w:sz w:val="22"/>
                <w:szCs w:val="22"/>
                <w:lang w:val="en-US" w:eastAsia="zh-CN"/>
              </w:rPr>
              <w:t>4</w:t>
            </w:r>
            <w:r>
              <w:rPr>
                <w:rFonts w:hint="default" w:ascii="Times New Roman" w:hAnsi="Times New Roman" w:eastAsia="宋体" w:cs="Times New Roman"/>
                <w:color w:val="auto"/>
                <w:w w:val="100"/>
                <w:sz w:val="22"/>
                <w:szCs w:val="22"/>
              </w:rPr>
              <w:t>年，淮安市声环境总体较好，全市各功能区昼、夜平均等效声级均达标，按达标点次统计，昼、夜间达标率分别为100%、97.2%，同比分别上升1.1%、8.3%。全市区域环境昼间噪声均值为55.3dB(A)，保持稳定，处于城市区域声环境质量“一般”水平</w:t>
            </w:r>
            <w:r>
              <w:rPr>
                <w:rFonts w:hint="eastAsia" w:cs="Times New Roman"/>
                <w:color w:val="auto"/>
                <w:w w:val="100"/>
                <w:sz w:val="22"/>
                <w:szCs w:val="22"/>
                <w:lang w:eastAsia="zh-CN"/>
              </w:rPr>
              <w:t>；</w:t>
            </w:r>
            <w:r>
              <w:rPr>
                <w:rFonts w:hint="default" w:ascii="Times New Roman" w:hAnsi="Times New Roman" w:eastAsia="宋体" w:cs="Times New Roman"/>
                <w:color w:val="auto"/>
                <w:w w:val="100"/>
                <w:sz w:val="22"/>
                <w:szCs w:val="22"/>
              </w:rPr>
              <w:t>全市昼间交通噪声均值为65.2dB(A)，同比下降0.2dB(A)，同比改善，处于“好”水平，昼间超过70dB(A)的路段长度显著减少。厂界外周边50米范围内不涉及声环境敏感保护目标。</w:t>
            </w:r>
          </w:p>
          <w:p w14:paraId="6C263CEA">
            <w:pPr>
              <w:keepNext w:val="0"/>
              <w:keepLines w:val="0"/>
              <w:pageBreakBefore w:val="0"/>
              <w:widowControl w:val="0"/>
              <w:kinsoku/>
              <w:wordWrap/>
              <w:overflowPunct/>
              <w:topLinePunct w:val="0"/>
              <w:autoSpaceDN/>
              <w:bidi w:val="0"/>
              <w:spacing w:line="500" w:lineRule="exact"/>
              <w:ind w:left="0" w:right="0" w:firstLine="442" w:firstLineChars="200"/>
              <w:jc w:val="both"/>
              <w:textAlignment w:val="auto"/>
              <w:outlineLvl w:val="9"/>
              <w:rPr>
                <w:rFonts w:hint="eastAsia" w:ascii="Times New Roman" w:hAnsi="Times New Roman" w:eastAsia="宋体" w:cs="Times New Roman"/>
                <w:color w:val="auto"/>
                <w:w w:val="100"/>
                <w:sz w:val="22"/>
                <w:szCs w:val="22"/>
                <w:lang w:val="en-US" w:eastAsia="zh-CN"/>
              </w:rPr>
            </w:pPr>
            <w:r>
              <w:rPr>
                <w:rFonts w:hint="eastAsia" w:ascii="Times New Roman" w:hAnsi="Times New Roman" w:eastAsia="宋体" w:cs="Times New Roman"/>
                <w:b/>
                <w:bCs/>
                <w:color w:val="auto"/>
                <w:w w:val="100"/>
                <w:sz w:val="22"/>
                <w:szCs w:val="22"/>
                <w:lang w:val="en-US" w:eastAsia="zh-CN"/>
              </w:rPr>
              <w:t>3.1.4生态环境</w:t>
            </w:r>
          </w:p>
          <w:p w14:paraId="093D085B">
            <w:pPr>
              <w:keepNext w:val="0"/>
              <w:keepLines w:val="0"/>
              <w:pageBreakBefore w:val="0"/>
              <w:widowControl w:val="0"/>
              <w:kinsoku/>
              <w:wordWrap/>
              <w:overflowPunct/>
              <w:topLinePunct w:val="0"/>
              <w:autoSpaceDN/>
              <w:bidi w:val="0"/>
              <w:spacing w:line="500" w:lineRule="exact"/>
              <w:ind w:left="0" w:right="0" w:firstLine="440" w:firstLineChars="200"/>
              <w:jc w:val="both"/>
              <w:textAlignment w:val="auto"/>
              <w:outlineLvl w:val="9"/>
              <w:rPr>
                <w:rFonts w:hint="default" w:ascii="Times New Roman" w:hAnsi="Times New Roman" w:eastAsia="宋体" w:cs="Times New Roman"/>
                <w:color w:val="auto"/>
                <w:w w:val="100"/>
                <w:sz w:val="22"/>
                <w:szCs w:val="22"/>
                <w:lang w:val="en-US" w:eastAsia="zh-CN"/>
              </w:rPr>
            </w:pPr>
            <w:r>
              <w:rPr>
                <w:rFonts w:hint="default" w:ascii="Times New Roman" w:hAnsi="Times New Roman" w:eastAsia="宋体" w:cs="Times New Roman"/>
                <w:color w:val="auto"/>
                <w:w w:val="100"/>
                <w:sz w:val="22"/>
                <w:szCs w:val="22"/>
                <w:lang w:val="en-US" w:eastAsia="zh-CN"/>
              </w:rPr>
              <w:t>本项目位于</w:t>
            </w:r>
            <w:r>
              <w:rPr>
                <w:rFonts w:hint="eastAsia" w:cs="Times New Roman"/>
                <w:color w:val="auto"/>
                <w:w w:val="100"/>
                <w:sz w:val="22"/>
                <w:szCs w:val="22"/>
                <w:lang w:val="en-US" w:eastAsia="zh-CN"/>
              </w:rPr>
              <w:t>淮安市淮阴区徐溜镇工业集中区</w:t>
            </w:r>
            <w:r>
              <w:rPr>
                <w:rFonts w:hint="default" w:ascii="Times New Roman" w:hAnsi="Times New Roman" w:eastAsia="宋体" w:cs="Times New Roman"/>
                <w:color w:val="auto"/>
                <w:w w:val="100"/>
                <w:sz w:val="22"/>
                <w:szCs w:val="22"/>
                <w:lang w:val="en-US" w:eastAsia="zh-CN"/>
              </w:rPr>
              <w:t>，用地范围内不涉及生态环境保护目标，因此本次评价不进行生态现状调查。</w:t>
            </w:r>
          </w:p>
          <w:p w14:paraId="095A9DAA">
            <w:pPr>
              <w:keepNext w:val="0"/>
              <w:keepLines w:val="0"/>
              <w:pageBreakBefore w:val="0"/>
              <w:widowControl w:val="0"/>
              <w:kinsoku/>
              <w:wordWrap/>
              <w:overflowPunct/>
              <w:topLinePunct w:val="0"/>
              <w:autoSpaceDN/>
              <w:bidi w:val="0"/>
              <w:spacing w:line="500" w:lineRule="exact"/>
              <w:ind w:left="0" w:right="0" w:firstLine="442" w:firstLineChars="200"/>
              <w:jc w:val="both"/>
              <w:textAlignment w:val="auto"/>
              <w:outlineLvl w:val="9"/>
              <w:rPr>
                <w:rFonts w:hint="eastAsia" w:ascii="Times New Roman" w:hAnsi="Times New Roman" w:eastAsia="宋体" w:cs="Times New Roman"/>
                <w:color w:val="auto"/>
                <w:w w:val="100"/>
                <w:sz w:val="22"/>
                <w:szCs w:val="22"/>
                <w:lang w:val="en-US" w:eastAsia="zh-CN"/>
              </w:rPr>
            </w:pPr>
            <w:r>
              <w:rPr>
                <w:rFonts w:hint="eastAsia" w:ascii="Times New Roman" w:hAnsi="Times New Roman" w:eastAsia="宋体" w:cs="Times New Roman"/>
                <w:b/>
                <w:color w:val="auto"/>
                <w:w w:val="100"/>
                <w:kern w:val="2"/>
                <w:sz w:val="22"/>
                <w:szCs w:val="22"/>
                <w:lang w:val="en-US" w:eastAsia="zh-CN" w:bidi="ar-SA"/>
              </w:rPr>
              <w:t>3.1.5电磁辐射</w:t>
            </w:r>
          </w:p>
          <w:p w14:paraId="1D74CDF9">
            <w:pPr>
              <w:keepNext w:val="0"/>
              <w:keepLines w:val="0"/>
              <w:pageBreakBefore w:val="0"/>
              <w:widowControl w:val="0"/>
              <w:tabs>
                <w:tab w:val="left" w:pos="1800"/>
              </w:tabs>
              <w:kinsoku/>
              <w:wordWrap/>
              <w:overflowPunct/>
              <w:topLinePunct w:val="0"/>
              <w:autoSpaceDE/>
              <w:autoSpaceDN/>
              <w:bidi w:val="0"/>
              <w:adjustRightInd/>
              <w:snapToGrid/>
              <w:spacing w:line="500" w:lineRule="exact"/>
              <w:ind w:right="0" w:firstLine="440" w:firstLineChars="200"/>
              <w:textAlignment w:val="auto"/>
              <w:outlineLvl w:val="9"/>
              <w:rPr>
                <w:rFonts w:hint="default" w:ascii="Times New Roman" w:hAnsi="Times New Roman" w:eastAsia="宋体" w:cs="Times New Roman"/>
                <w:b w:val="0"/>
                <w:bCs w:val="0"/>
                <w:color w:val="auto"/>
                <w:sz w:val="22"/>
                <w:szCs w:val="22"/>
                <w:lang w:val="en-US" w:eastAsia="zh-CN"/>
              </w:rPr>
            </w:pPr>
            <w:r>
              <w:rPr>
                <w:rFonts w:hint="default" w:ascii="Times New Roman" w:hAnsi="Times New Roman" w:eastAsia="宋体" w:cs="Times New Roman"/>
                <w:color w:val="auto"/>
                <w:w w:val="100"/>
                <w:sz w:val="22"/>
                <w:szCs w:val="22"/>
                <w:lang w:val="en-US" w:eastAsia="zh-CN"/>
              </w:rPr>
              <w:t>本项目不属于新建或改建、扩建广播电台、差转台、电视塔台、卫星地球上行站、雷达等电磁辐射类项目，因此本次评价不进行电磁辐射现状调查。</w:t>
            </w:r>
          </w:p>
        </w:tc>
      </w:tr>
      <w:tr w14:paraId="6212CB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2110" w:hRule="atLeast"/>
          <w:jc w:val="center"/>
        </w:trPr>
        <w:tc>
          <w:tcPr>
            <w:tcW w:w="328" w:type="pct"/>
            <w:tcBorders>
              <w:bottom w:val="single" w:color="auto" w:sz="12" w:space="0"/>
              <w:tl2br w:val="nil"/>
              <w:tr2bl w:val="nil"/>
            </w:tcBorders>
            <w:noWrap w:val="0"/>
            <w:vAlign w:val="center"/>
          </w:tcPr>
          <w:p w14:paraId="3DEC3DBF">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环境</w:t>
            </w:r>
          </w:p>
          <w:p w14:paraId="0D49B108">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保护</w:t>
            </w:r>
          </w:p>
          <w:p w14:paraId="651DAD4E">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目标</w:t>
            </w:r>
          </w:p>
        </w:tc>
        <w:tc>
          <w:tcPr>
            <w:tcW w:w="4671" w:type="pct"/>
            <w:tcBorders>
              <w:bottom w:val="single" w:color="auto" w:sz="12" w:space="0"/>
              <w:tl2br w:val="nil"/>
              <w:tr2bl w:val="nil"/>
            </w:tcBorders>
            <w:noWrap w:val="0"/>
            <w:vAlign w:val="top"/>
          </w:tcPr>
          <w:p w14:paraId="62FFBF13">
            <w:pPr>
              <w:keepNext w:val="0"/>
              <w:keepLines w:val="0"/>
              <w:pageBreakBefore w:val="0"/>
              <w:widowControl w:val="0"/>
              <w:kinsoku/>
              <w:wordWrap/>
              <w:overflowPunct/>
              <w:topLinePunct w:val="0"/>
              <w:autoSpaceDE/>
              <w:autoSpaceDN/>
              <w:bidi w:val="0"/>
              <w:adjustRightInd w:val="0"/>
              <w:snapToGrid w:val="0"/>
              <w:spacing w:line="500" w:lineRule="atLeast"/>
              <w:ind w:firstLine="442" w:firstLineChars="200"/>
              <w:jc w:val="both"/>
              <w:textAlignment w:val="auto"/>
              <w:outlineLvl w:val="9"/>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b/>
                <w:bCs/>
                <w:color w:val="auto"/>
                <w:sz w:val="22"/>
                <w:szCs w:val="22"/>
                <w:lang w:val="en-US" w:eastAsia="zh-CN"/>
              </w:rPr>
              <w:t>3.2主要环境保护目标</w:t>
            </w:r>
          </w:p>
          <w:p w14:paraId="41345747">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both"/>
              <w:textAlignment w:val="auto"/>
              <w:rPr>
                <w:rFonts w:ascii="Times New Roman" w:hAnsi="宋体" w:eastAsia="宋体" w:cs="Times New Roman"/>
                <w:b/>
                <w:bCs/>
                <w:color w:val="auto"/>
                <w:kern w:val="2"/>
                <w:sz w:val="22"/>
                <w:szCs w:val="22"/>
                <w:lang w:val="en-US" w:eastAsia="zh-CN" w:bidi="ar-SA"/>
              </w:rPr>
            </w:pPr>
            <w:r>
              <w:rPr>
                <w:rFonts w:hint="eastAsia" w:ascii="Times New Roman" w:hAnsi="宋体" w:eastAsia="宋体" w:cs="Times New Roman"/>
                <w:b/>
                <w:bCs/>
                <w:color w:val="auto"/>
                <w:kern w:val="2"/>
                <w:sz w:val="22"/>
                <w:szCs w:val="22"/>
                <w:lang w:val="en-US" w:eastAsia="zh-CN" w:bidi="ar-SA"/>
              </w:rPr>
              <w:t>⑴</w:t>
            </w:r>
            <w:r>
              <w:rPr>
                <w:rFonts w:ascii="Times New Roman" w:hAnsi="宋体" w:eastAsia="宋体" w:cs="Times New Roman"/>
                <w:b/>
                <w:bCs/>
                <w:color w:val="auto"/>
                <w:kern w:val="2"/>
                <w:sz w:val="22"/>
                <w:szCs w:val="22"/>
                <w:lang w:val="en-US" w:eastAsia="zh-CN" w:bidi="ar-SA"/>
              </w:rPr>
              <w:t>大气环境</w:t>
            </w:r>
          </w:p>
          <w:p w14:paraId="4B9A6EBF">
            <w:pPr>
              <w:autoSpaceDE w:val="0"/>
              <w:autoSpaceDN w:val="0"/>
              <w:adjustRightInd w:val="0"/>
              <w:spacing w:line="500" w:lineRule="exact"/>
              <w:ind w:firstLine="440" w:firstLineChars="200"/>
              <w:rPr>
                <w:rFonts w:hint="default" w:ascii="Times New Roman" w:hAnsi="Times New Roman" w:eastAsia="宋体" w:cs="Times New Roman"/>
                <w:color w:val="auto"/>
                <w:sz w:val="24"/>
              </w:rPr>
            </w:pPr>
            <w:r>
              <w:rPr>
                <w:rFonts w:hAnsi="宋体" w:eastAsia="宋体"/>
                <w:color w:val="auto"/>
                <w:sz w:val="22"/>
                <w:szCs w:val="22"/>
              </w:rPr>
              <w:t>根据现场勘查，</w:t>
            </w:r>
            <w:r>
              <w:rPr>
                <w:rFonts w:hint="eastAsia" w:hAnsi="宋体" w:eastAsia="宋体"/>
                <w:color w:val="auto"/>
                <w:sz w:val="22"/>
                <w:szCs w:val="22"/>
                <w:lang w:eastAsia="zh-CN"/>
              </w:rPr>
              <w:t>拟建</w:t>
            </w:r>
            <w:r>
              <w:rPr>
                <w:rFonts w:hAnsi="宋体" w:eastAsia="宋体"/>
                <w:color w:val="auto"/>
                <w:sz w:val="22"/>
                <w:szCs w:val="22"/>
              </w:rPr>
              <w:t>项目</w:t>
            </w:r>
            <w:r>
              <w:rPr>
                <w:rFonts w:hint="eastAsia" w:hAnsi="宋体" w:eastAsia="宋体"/>
                <w:color w:val="auto"/>
                <w:sz w:val="22"/>
                <w:szCs w:val="22"/>
                <w:lang w:eastAsia="zh-CN"/>
              </w:rPr>
              <w:t>厂界外</w:t>
            </w:r>
            <w:r>
              <w:rPr>
                <w:rFonts w:hint="eastAsia" w:hAnsi="宋体" w:eastAsia="宋体"/>
                <w:color w:val="auto"/>
                <w:sz w:val="22"/>
                <w:szCs w:val="22"/>
                <w:lang w:val="en-US" w:eastAsia="zh-CN"/>
              </w:rPr>
              <w:t>500米范围内</w:t>
            </w:r>
            <w:r>
              <w:rPr>
                <w:rFonts w:hint="default" w:ascii="Times New Roman" w:hAnsi="Times New Roman" w:eastAsia="宋体" w:cs="Times New Roman"/>
                <w:color w:val="auto"/>
                <w:sz w:val="22"/>
                <w:szCs w:val="22"/>
              </w:rPr>
              <w:t>环境保护目标</w:t>
            </w:r>
            <w:r>
              <w:rPr>
                <w:rFonts w:hint="eastAsia" w:eastAsia="宋体" w:cs="Times New Roman"/>
                <w:color w:val="auto"/>
                <w:sz w:val="22"/>
                <w:szCs w:val="22"/>
                <w:lang w:eastAsia="zh-CN"/>
              </w:rPr>
              <w:t>详见下表</w:t>
            </w:r>
            <w:r>
              <w:rPr>
                <w:rFonts w:hint="default" w:ascii="Times New Roman" w:hAnsi="Times New Roman" w:eastAsia="宋体" w:cs="Times New Roman"/>
                <w:color w:val="auto"/>
                <w:sz w:val="22"/>
                <w:szCs w:val="22"/>
              </w:rPr>
              <w:t>。</w:t>
            </w:r>
          </w:p>
          <w:p w14:paraId="372D947C">
            <w:pPr>
              <w:keepNext w:val="0"/>
              <w:keepLines w:val="0"/>
              <w:pageBreakBefore w:val="0"/>
              <w:widowControl w:val="0"/>
              <w:kinsoku/>
              <w:wordWrap/>
              <w:overflowPunct/>
              <w:topLinePunct w:val="0"/>
              <w:autoSpaceDE/>
              <w:autoSpaceDN/>
              <w:bidi w:val="0"/>
              <w:adjustRightInd/>
              <w:snapToGrid/>
              <w:spacing w:line="500" w:lineRule="exact"/>
              <w:ind w:firstLine="0" w:firstLineChars="0"/>
              <w:jc w:val="center"/>
              <w:textAlignment w:val="auto"/>
              <w:rPr>
                <w:rFonts w:eastAsia="宋体"/>
                <w:b/>
                <w:bCs/>
                <w:color w:val="auto"/>
                <w:kern w:val="0"/>
                <w:sz w:val="22"/>
                <w:szCs w:val="22"/>
              </w:rPr>
            </w:pPr>
            <w:r>
              <w:rPr>
                <w:rFonts w:eastAsia="宋体"/>
                <w:b/>
                <w:bCs/>
                <w:color w:val="auto"/>
                <w:kern w:val="0"/>
                <w:sz w:val="22"/>
                <w:szCs w:val="22"/>
              </w:rPr>
              <w:t>表</w:t>
            </w:r>
            <w:r>
              <w:rPr>
                <w:rFonts w:hint="eastAsia" w:eastAsia="宋体"/>
                <w:b/>
                <w:bCs/>
                <w:color w:val="auto"/>
                <w:kern w:val="0"/>
                <w:sz w:val="22"/>
                <w:szCs w:val="22"/>
              </w:rPr>
              <w:t>3.</w:t>
            </w:r>
            <w:r>
              <w:rPr>
                <w:rFonts w:hint="eastAsia" w:eastAsia="宋体"/>
                <w:b/>
                <w:bCs/>
                <w:color w:val="auto"/>
                <w:kern w:val="0"/>
                <w:sz w:val="22"/>
                <w:szCs w:val="22"/>
                <w:lang w:val="en-US" w:eastAsia="zh-CN"/>
              </w:rPr>
              <w:t>2</w:t>
            </w:r>
            <w:r>
              <w:rPr>
                <w:rFonts w:hint="eastAsia" w:eastAsia="宋体"/>
                <w:b/>
                <w:bCs/>
                <w:color w:val="auto"/>
                <w:kern w:val="0"/>
                <w:sz w:val="22"/>
                <w:szCs w:val="22"/>
              </w:rPr>
              <w:t>-</w:t>
            </w:r>
            <w:r>
              <w:rPr>
                <w:rFonts w:hint="eastAsia" w:eastAsia="宋体"/>
                <w:b/>
                <w:bCs/>
                <w:color w:val="auto"/>
                <w:kern w:val="0"/>
                <w:sz w:val="22"/>
                <w:szCs w:val="22"/>
                <w:lang w:val="en-US" w:eastAsia="zh-CN"/>
              </w:rPr>
              <w:t xml:space="preserve">1 </w:t>
            </w:r>
            <w:r>
              <w:rPr>
                <w:rFonts w:eastAsia="宋体"/>
                <w:b/>
                <w:bCs/>
                <w:color w:val="auto"/>
                <w:kern w:val="0"/>
                <w:sz w:val="22"/>
                <w:szCs w:val="22"/>
              </w:rPr>
              <w:t xml:space="preserve"> </w:t>
            </w:r>
            <w:r>
              <w:rPr>
                <w:rFonts w:hint="eastAsia" w:eastAsia="宋体"/>
                <w:b/>
                <w:bCs/>
                <w:color w:val="auto"/>
                <w:kern w:val="0"/>
                <w:sz w:val="22"/>
                <w:szCs w:val="22"/>
                <w:lang w:eastAsia="zh-CN"/>
              </w:rPr>
              <w:t>主要环境</w:t>
            </w:r>
            <w:r>
              <w:rPr>
                <w:rFonts w:eastAsia="宋体"/>
                <w:b/>
                <w:bCs/>
                <w:color w:val="auto"/>
                <w:sz w:val="22"/>
                <w:szCs w:val="22"/>
              </w:rPr>
              <w:t>保护目标表</w:t>
            </w:r>
          </w:p>
          <w:tbl>
            <w:tblPr>
              <w:tblStyle w:val="43"/>
              <w:tblpPr w:leftFromText="180" w:rightFromText="180" w:vertAnchor="text" w:tblpXSpec="center" w:tblpY="1"/>
              <w:tblOverlap w:val="never"/>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57" w:type="dxa"/>
                <w:bottom w:w="0" w:type="dxa"/>
                <w:right w:w="57" w:type="dxa"/>
              </w:tblCellMar>
            </w:tblPr>
            <w:tblGrid>
              <w:gridCol w:w="1449"/>
              <w:gridCol w:w="1298"/>
              <w:gridCol w:w="1305"/>
              <w:gridCol w:w="1061"/>
              <w:gridCol w:w="954"/>
              <w:gridCol w:w="853"/>
              <w:gridCol w:w="1168"/>
              <w:gridCol w:w="910"/>
            </w:tblGrid>
            <w:tr w14:paraId="063DD2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vMerge w:val="restart"/>
                  <w:noWrap w:val="0"/>
                  <w:vAlign w:val="center"/>
                </w:tcPr>
                <w:p w14:paraId="28C08232">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lang w:eastAsia="zh-CN"/>
                    </w:rPr>
                    <w:t>名称</w:t>
                  </w:r>
                </w:p>
              </w:tc>
              <w:tc>
                <w:tcPr>
                  <w:tcW w:w="1446" w:type="pct"/>
                  <w:gridSpan w:val="2"/>
                  <w:noWrap w:val="0"/>
                  <w:vAlign w:val="center"/>
                </w:tcPr>
                <w:p w14:paraId="0C32032F">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坐标</w:t>
                  </w:r>
                </w:p>
              </w:tc>
              <w:tc>
                <w:tcPr>
                  <w:tcW w:w="589" w:type="pct"/>
                  <w:vMerge w:val="restart"/>
                  <w:noWrap w:val="0"/>
                  <w:vAlign w:val="center"/>
                </w:tcPr>
                <w:p w14:paraId="5060EAAB">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保护对象</w:t>
                  </w:r>
                </w:p>
              </w:tc>
              <w:tc>
                <w:tcPr>
                  <w:tcW w:w="530" w:type="pct"/>
                  <w:vMerge w:val="restart"/>
                  <w:noWrap w:val="0"/>
                  <w:vAlign w:val="center"/>
                </w:tcPr>
                <w:p w14:paraId="48AE103A">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lang w:val="en-US" w:eastAsia="zh-CN"/>
                    </w:rPr>
                  </w:pPr>
                  <w:r>
                    <w:rPr>
                      <w:rFonts w:hint="default" w:ascii="Times New Roman" w:hAnsi="Times New Roman" w:eastAsia="宋体" w:cs="Times New Roman"/>
                      <w:b/>
                      <w:bCs/>
                      <w:color w:val="auto"/>
                      <w:w w:val="100"/>
                      <w:sz w:val="21"/>
                      <w:szCs w:val="21"/>
                      <w:lang w:eastAsia="zh-CN"/>
                    </w:rPr>
                    <w:t>规模</w:t>
                  </w:r>
                  <w:r>
                    <w:rPr>
                      <w:rFonts w:hint="eastAsia" w:cs="Times New Roman"/>
                      <w:b/>
                      <w:bCs/>
                      <w:color w:val="auto"/>
                      <w:w w:val="100"/>
                      <w:sz w:val="21"/>
                      <w:szCs w:val="21"/>
                      <w:lang w:val="en-US" w:eastAsia="zh-CN"/>
                    </w:rPr>
                    <w:t>（</w:t>
                  </w:r>
                  <w:r>
                    <w:rPr>
                      <w:rFonts w:hint="default" w:ascii="Times New Roman" w:hAnsi="Times New Roman" w:eastAsia="宋体" w:cs="Times New Roman"/>
                      <w:b/>
                      <w:bCs/>
                      <w:color w:val="auto"/>
                      <w:w w:val="100"/>
                      <w:sz w:val="21"/>
                      <w:szCs w:val="21"/>
                      <w:lang w:val="en-US" w:eastAsia="zh-CN"/>
                    </w:rPr>
                    <w:t>人</w:t>
                  </w:r>
                  <w:r>
                    <w:rPr>
                      <w:rFonts w:hint="eastAsia" w:cs="Times New Roman"/>
                      <w:b/>
                      <w:bCs/>
                      <w:color w:val="auto"/>
                      <w:w w:val="100"/>
                      <w:sz w:val="21"/>
                      <w:szCs w:val="21"/>
                      <w:lang w:val="en-US" w:eastAsia="zh-CN"/>
                    </w:rPr>
                    <w:t>）</w:t>
                  </w:r>
                </w:p>
              </w:tc>
              <w:tc>
                <w:tcPr>
                  <w:tcW w:w="474" w:type="pct"/>
                  <w:vMerge w:val="restart"/>
                  <w:noWrap w:val="0"/>
                  <w:vAlign w:val="center"/>
                </w:tcPr>
                <w:p w14:paraId="67443284">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lang w:val="en-US" w:eastAsia="zh-CN" w:bidi="ar-SA"/>
                    </w:rPr>
                  </w:pPr>
                  <w:r>
                    <w:rPr>
                      <w:rFonts w:hint="default" w:ascii="Times New Roman" w:hAnsi="Times New Roman" w:eastAsia="宋体" w:cs="Times New Roman"/>
                      <w:b/>
                      <w:bCs/>
                      <w:color w:val="auto"/>
                      <w:w w:val="100"/>
                      <w:sz w:val="21"/>
                      <w:szCs w:val="21"/>
                    </w:rPr>
                    <w:t>相对厂址方位</w:t>
                  </w:r>
                </w:p>
              </w:tc>
              <w:tc>
                <w:tcPr>
                  <w:tcW w:w="648" w:type="pct"/>
                  <w:vMerge w:val="restart"/>
                  <w:noWrap w:val="0"/>
                  <w:vAlign w:val="center"/>
                </w:tcPr>
                <w:p w14:paraId="49AAC400">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lang w:val="en-US" w:eastAsia="zh-CN" w:bidi="ar-SA"/>
                    </w:rPr>
                  </w:pPr>
                  <w:r>
                    <w:rPr>
                      <w:rFonts w:hint="default" w:ascii="Times New Roman" w:hAnsi="Times New Roman" w:eastAsia="宋体" w:cs="Times New Roman"/>
                      <w:b/>
                      <w:bCs/>
                      <w:color w:val="auto"/>
                      <w:w w:val="100"/>
                      <w:sz w:val="21"/>
                      <w:szCs w:val="21"/>
                    </w:rPr>
                    <w:t>相对厂界距离</w:t>
                  </w:r>
                  <w:r>
                    <w:rPr>
                      <w:rFonts w:hint="default" w:ascii="Times New Roman" w:hAnsi="Times New Roman" w:eastAsia="宋体" w:cs="Times New Roman"/>
                      <w:b/>
                      <w:bCs/>
                      <w:color w:val="auto"/>
                      <w:w w:val="100"/>
                      <w:sz w:val="21"/>
                      <w:szCs w:val="21"/>
                      <w:lang w:eastAsia="zh-CN"/>
                    </w:rPr>
                    <w:t>（</w:t>
                  </w:r>
                  <w:r>
                    <w:rPr>
                      <w:rFonts w:hint="default" w:ascii="Times New Roman" w:hAnsi="Times New Roman" w:eastAsia="宋体" w:cs="Times New Roman"/>
                      <w:b/>
                      <w:bCs/>
                      <w:color w:val="auto"/>
                      <w:w w:val="100"/>
                      <w:sz w:val="21"/>
                      <w:szCs w:val="21"/>
                      <w:lang w:val="en-US" w:eastAsia="zh-CN"/>
                    </w:rPr>
                    <w:t>m</w:t>
                  </w:r>
                  <w:r>
                    <w:rPr>
                      <w:rFonts w:hint="default" w:ascii="Times New Roman" w:hAnsi="Times New Roman" w:eastAsia="宋体" w:cs="Times New Roman"/>
                      <w:b/>
                      <w:bCs/>
                      <w:color w:val="auto"/>
                      <w:w w:val="100"/>
                      <w:sz w:val="21"/>
                      <w:szCs w:val="21"/>
                      <w:lang w:eastAsia="zh-CN"/>
                    </w:rPr>
                    <w:t>）</w:t>
                  </w:r>
                </w:p>
              </w:tc>
              <w:tc>
                <w:tcPr>
                  <w:tcW w:w="505" w:type="pct"/>
                  <w:vMerge w:val="restart"/>
                  <w:noWrap w:val="0"/>
                  <w:vAlign w:val="center"/>
                </w:tcPr>
                <w:p w14:paraId="7421D170">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lang w:eastAsia="zh-CN"/>
                    </w:rPr>
                  </w:pPr>
                  <w:r>
                    <w:rPr>
                      <w:rFonts w:hint="default" w:ascii="Times New Roman" w:hAnsi="Times New Roman" w:eastAsia="宋体" w:cs="Times New Roman"/>
                      <w:b/>
                      <w:bCs/>
                      <w:color w:val="auto"/>
                      <w:w w:val="100"/>
                      <w:sz w:val="21"/>
                      <w:szCs w:val="21"/>
                    </w:rPr>
                    <w:t>环境功能</w:t>
                  </w:r>
                  <w:r>
                    <w:rPr>
                      <w:rFonts w:hint="default" w:ascii="Times New Roman" w:hAnsi="Times New Roman" w:eastAsia="宋体" w:cs="Times New Roman"/>
                      <w:b/>
                      <w:bCs/>
                      <w:color w:val="auto"/>
                      <w:w w:val="100"/>
                      <w:sz w:val="21"/>
                      <w:szCs w:val="21"/>
                      <w:lang w:eastAsia="zh-CN"/>
                    </w:rPr>
                    <w:t>区</w:t>
                  </w:r>
                </w:p>
              </w:tc>
            </w:tr>
            <w:tr w14:paraId="2AADD8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vMerge w:val="continue"/>
                  <w:noWrap w:val="0"/>
                  <w:vAlign w:val="center"/>
                </w:tcPr>
                <w:p w14:paraId="6388083C">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c>
                <w:tcPr>
                  <w:tcW w:w="721" w:type="pct"/>
                  <w:noWrap w:val="0"/>
                  <w:vAlign w:val="center"/>
                </w:tcPr>
                <w:p w14:paraId="273FB540">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经度</w:t>
                  </w:r>
                </w:p>
              </w:tc>
              <w:tc>
                <w:tcPr>
                  <w:tcW w:w="725" w:type="pct"/>
                  <w:noWrap w:val="0"/>
                  <w:vAlign w:val="center"/>
                </w:tcPr>
                <w:p w14:paraId="318CFA4C">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b/>
                      <w:bCs/>
                      <w:color w:val="auto"/>
                      <w:w w:val="100"/>
                      <w:sz w:val="21"/>
                      <w:szCs w:val="21"/>
                    </w:rPr>
                  </w:pPr>
                  <w:r>
                    <w:rPr>
                      <w:rFonts w:hint="default" w:ascii="Times New Roman" w:hAnsi="Times New Roman" w:eastAsia="宋体" w:cs="Times New Roman"/>
                      <w:b/>
                      <w:bCs/>
                      <w:color w:val="auto"/>
                      <w:w w:val="100"/>
                      <w:sz w:val="21"/>
                      <w:szCs w:val="21"/>
                    </w:rPr>
                    <w:t>纬度</w:t>
                  </w:r>
                </w:p>
              </w:tc>
              <w:tc>
                <w:tcPr>
                  <w:tcW w:w="589" w:type="pct"/>
                  <w:vMerge w:val="continue"/>
                  <w:noWrap w:val="0"/>
                  <w:vAlign w:val="center"/>
                </w:tcPr>
                <w:p w14:paraId="4B2BF927">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c>
                <w:tcPr>
                  <w:tcW w:w="530" w:type="pct"/>
                  <w:vMerge w:val="continue"/>
                  <w:noWrap w:val="0"/>
                  <w:vAlign w:val="center"/>
                </w:tcPr>
                <w:p w14:paraId="5915894F">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c>
                <w:tcPr>
                  <w:tcW w:w="474" w:type="pct"/>
                  <w:vMerge w:val="continue"/>
                  <w:noWrap w:val="0"/>
                  <w:vAlign w:val="center"/>
                </w:tcPr>
                <w:p w14:paraId="53D9AD34">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c>
                <w:tcPr>
                  <w:tcW w:w="648" w:type="pct"/>
                  <w:vMerge w:val="continue"/>
                  <w:noWrap w:val="0"/>
                  <w:vAlign w:val="center"/>
                </w:tcPr>
                <w:p w14:paraId="36E883DB">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c>
                <w:tcPr>
                  <w:tcW w:w="505" w:type="pct"/>
                  <w:vMerge w:val="continue"/>
                  <w:noWrap w:val="0"/>
                  <w:vAlign w:val="center"/>
                </w:tcPr>
                <w:p w14:paraId="1AD95393">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rPr>
                  </w:pPr>
                </w:p>
              </w:tc>
            </w:tr>
            <w:tr w14:paraId="76928D7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38DBC0AF">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徐庄</w:t>
                  </w:r>
                </w:p>
              </w:tc>
              <w:tc>
                <w:tcPr>
                  <w:tcW w:w="721" w:type="pct"/>
                  <w:shd w:val="clear" w:color="auto" w:fill="auto"/>
                  <w:noWrap w:val="0"/>
                  <w:vAlign w:val="center"/>
                </w:tcPr>
                <w:p w14:paraId="521E3FA3">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118.910844</w:t>
                  </w:r>
                </w:p>
              </w:tc>
              <w:tc>
                <w:tcPr>
                  <w:tcW w:w="725" w:type="pct"/>
                  <w:noWrap w:val="0"/>
                  <w:vAlign w:val="center"/>
                </w:tcPr>
                <w:p w14:paraId="022B9DBE">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33.852259</w:t>
                  </w:r>
                </w:p>
              </w:tc>
              <w:tc>
                <w:tcPr>
                  <w:tcW w:w="589" w:type="pct"/>
                  <w:noWrap w:val="0"/>
                  <w:vAlign w:val="center"/>
                </w:tcPr>
                <w:p w14:paraId="72EF5FB4">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085087A0">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约78</w:t>
                  </w:r>
                </w:p>
              </w:tc>
              <w:tc>
                <w:tcPr>
                  <w:tcW w:w="474" w:type="pct"/>
                  <w:noWrap w:val="0"/>
                  <w:vAlign w:val="center"/>
                </w:tcPr>
                <w:p w14:paraId="6122627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w:t>
                  </w:r>
                </w:p>
              </w:tc>
              <w:tc>
                <w:tcPr>
                  <w:tcW w:w="648" w:type="pct"/>
                  <w:noWrap w:val="0"/>
                  <w:vAlign w:val="center"/>
                </w:tcPr>
                <w:p w14:paraId="7378603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150</w:t>
                  </w:r>
                </w:p>
              </w:tc>
              <w:tc>
                <w:tcPr>
                  <w:tcW w:w="505" w:type="pct"/>
                  <w:vMerge w:val="restart"/>
                  <w:noWrap w:val="0"/>
                  <w:vAlign w:val="center"/>
                </w:tcPr>
                <w:p w14:paraId="353EEC88">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eastAsia="zh-CN"/>
                    </w:rPr>
                    <w:t>大气环境</w:t>
                  </w:r>
                  <w:r>
                    <w:rPr>
                      <w:rFonts w:hint="default" w:ascii="Times New Roman" w:hAnsi="Times New Roman" w:eastAsia="宋体" w:cs="Times New Roman"/>
                      <w:color w:val="auto"/>
                      <w:w w:val="100"/>
                      <w:sz w:val="21"/>
                      <w:szCs w:val="21"/>
                      <w:highlight w:val="none"/>
                      <w:lang w:val="en-US" w:eastAsia="zh-CN"/>
                    </w:rPr>
                    <w:t>2类区</w:t>
                  </w:r>
                </w:p>
              </w:tc>
            </w:tr>
            <w:tr w14:paraId="5A7CCE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5B4788E4">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王庄</w:t>
                  </w:r>
                </w:p>
              </w:tc>
              <w:tc>
                <w:tcPr>
                  <w:tcW w:w="721" w:type="pct"/>
                  <w:shd w:val="clear" w:color="auto" w:fill="auto"/>
                  <w:noWrap w:val="0"/>
                  <w:vAlign w:val="center"/>
                </w:tcPr>
                <w:p w14:paraId="196A8646">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118.910340</w:t>
                  </w:r>
                </w:p>
              </w:tc>
              <w:tc>
                <w:tcPr>
                  <w:tcW w:w="725" w:type="pct"/>
                  <w:noWrap w:val="0"/>
                  <w:vAlign w:val="center"/>
                </w:tcPr>
                <w:p w14:paraId="6D284B32">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33.855039</w:t>
                  </w:r>
                </w:p>
              </w:tc>
              <w:tc>
                <w:tcPr>
                  <w:tcW w:w="589" w:type="pct"/>
                  <w:noWrap w:val="0"/>
                  <w:vAlign w:val="center"/>
                </w:tcPr>
                <w:p w14:paraId="55576467">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666EA65C">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约33</w:t>
                  </w:r>
                </w:p>
              </w:tc>
              <w:tc>
                <w:tcPr>
                  <w:tcW w:w="474" w:type="pct"/>
                  <w:noWrap w:val="0"/>
                  <w:vAlign w:val="center"/>
                </w:tcPr>
                <w:p w14:paraId="0964031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WN</w:t>
                  </w:r>
                </w:p>
              </w:tc>
              <w:tc>
                <w:tcPr>
                  <w:tcW w:w="648" w:type="pct"/>
                  <w:noWrap w:val="0"/>
                  <w:vAlign w:val="center"/>
                </w:tcPr>
                <w:p w14:paraId="02F1756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324</w:t>
                  </w:r>
                </w:p>
              </w:tc>
              <w:tc>
                <w:tcPr>
                  <w:tcW w:w="505" w:type="pct"/>
                  <w:vMerge w:val="continue"/>
                  <w:noWrap w:val="0"/>
                  <w:vAlign w:val="center"/>
                </w:tcPr>
                <w:p w14:paraId="7C17332A">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1AF99A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4D72A7CE">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吴庄小区</w:t>
                  </w:r>
                </w:p>
              </w:tc>
              <w:tc>
                <w:tcPr>
                  <w:tcW w:w="721" w:type="pct"/>
                  <w:shd w:val="clear" w:color="auto" w:fill="auto"/>
                  <w:noWrap w:val="0"/>
                  <w:vAlign w:val="center"/>
                </w:tcPr>
                <w:p w14:paraId="0B968761">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118.914685</w:t>
                  </w:r>
                </w:p>
              </w:tc>
              <w:tc>
                <w:tcPr>
                  <w:tcW w:w="725" w:type="pct"/>
                  <w:noWrap w:val="0"/>
                  <w:vAlign w:val="center"/>
                </w:tcPr>
                <w:p w14:paraId="4F2DB4C9">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33.857248</w:t>
                  </w:r>
                </w:p>
              </w:tc>
              <w:tc>
                <w:tcPr>
                  <w:tcW w:w="589" w:type="pct"/>
                  <w:noWrap w:val="0"/>
                  <w:vAlign w:val="center"/>
                </w:tcPr>
                <w:p w14:paraId="415387D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33DECDCA">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约576</w:t>
                  </w:r>
                </w:p>
              </w:tc>
              <w:tc>
                <w:tcPr>
                  <w:tcW w:w="474" w:type="pct"/>
                  <w:noWrap w:val="0"/>
                  <w:vAlign w:val="center"/>
                </w:tcPr>
                <w:p w14:paraId="7C469C2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N</w:t>
                  </w:r>
                </w:p>
              </w:tc>
              <w:tc>
                <w:tcPr>
                  <w:tcW w:w="648" w:type="pct"/>
                  <w:noWrap w:val="0"/>
                  <w:vAlign w:val="center"/>
                </w:tcPr>
                <w:p w14:paraId="5DA6ADD2">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381</w:t>
                  </w:r>
                </w:p>
              </w:tc>
              <w:tc>
                <w:tcPr>
                  <w:tcW w:w="505" w:type="pct"/>
                  <w:vMerge w:val="continue"/>
                  <w:noWrap w:val="0"/>
                  <w:vAlign w:val="center"/>
                </w:tcPr>
                <w:p w14:paraId="0B29C182">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41EF3E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16E65CD3">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散户1</w:t>
                  </w:r>
                </w:p>
              </w:tc>
              <w:tc>
                <w:tcPr>
                  <w:tcW w:w="721" w:type="pct"/>
                  <w:shd w:val="clear" w:color="auto" w:fill="auto"/>
                  <w:noWrap w:val="0"/>
                  <w:vAlign w:val="center"/>
                </w:tcPr>
                <w:p w14:paraId="78B34C81">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118.911134</w:t>
                  </w:r>
                </w:p>
              </w:tc>
              <w:tc>
                <w:tcPr>
                  <w:tcW w:w="725" w:type="pct"/>
                  <w:noWrap w:val="0"/>
                  <w:vAlign w:val="center"/>
                </w:tcPr>
                <w:p w14:paraId="742F2803">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33.850655</w:t>
                  </w:r>
                </w:p>
              </w:tc>
              <w:tc>
                <w:tcPr>
                  <w:tcW w:w="589" w:type="pct"/>
                  <w:noWrap w:val="0"/>
                  <w:vAlign w:val="center"/>
                </w:tcPr>
                <w:p w14:paraId="7D317DE4">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66211C4D">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约6</w:t>
                  </w:r>
                </w:p>
              </w:tc>
              <w:tc>
                <w:tcPr>
                  <w:tcW w:w="474" w:type="pct"/>
                  <w:noWrap w:val="0"/>
                  <w:vAlign w:val="center"/>
                </w:tcPr>
                <w:p w14:paraId="49B507C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WS</w:t>
                  </w:r>
                </w:p>
              </w:tc>
              <w:tc>
                <w:tcPr>
                  <w:tcW w:w="648" w:type="pct"/>
                  <w:noWrap w:val="0"/>
                  <w:vAlign w:val="center"/>
                </w:tcPr>
                <w:p w14:paraId="3F86752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298</w:t>
                  </w:r>
                </w:p>
              </w:tc>
              <w:tc>
                <w:tcPr>
                  <w:tcW w:w="505" w:type="pct"/>
                  <w:vMerge w:val="continue"/>
                  <w:noWrap w:val="0"/>
                  <w:vAlign w:val="center"/>
                </w:tcPr>
                <w:p w14:paraId="567D8962">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44E991A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3AF58AFF">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散户2</w:t>
                  </w:r>
                </w:p>
              </w:tc>
              <w:tc>
                <w:tcPr>
                  <w:tcW w:w="721" w:type="pct"/>
                  <w:shd w:val="clear" w:color="auto" w:fill="auto"/>
                  <w:noWrap w:val="0"/>
                  <w:vAlign w:val="center"/>
                </w:tcPr>
                <w:p w14:paraId="5108C73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118.913205</w:t>
                  </w:r>
                </w:p>
              </w:tc>
              <w:tc>
                <w:tcPr>
                  <w:tcW w:w="725" w:type="pct"/>
                  <w:noWrap w:val="0"/>
                  <w:vAlign w:val="center"/>
                </w:tcPr>
                <w:p w14:paraId="1312ACB9">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33.850575</w:t>
                  </w:r>
                </w:p>
              </w:tc>
              <w:tc>
                <w:tcPr>
                  <w:tcW w:w="589" w:type="pct"/>
                  <w:noWrap w:val="0"/>
                  <w:vAlign w:val="center"/>
                </w:tcPr>
                <w:p w14:paraId="3AA58F64">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26175A3E">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约15</w:t>
                  </w:r>
                </w:p>
              </w:tc>
              <w:tc>
                <w:tcPr>
                  <w:tcW w:w="474" w:type="pct"/>
                  <w:noWrap w:val="0"/>
                  <w:vAlign w:val="center"/>
                </w:tcPr>
                <w:p w14:paraId="63BCE4F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WS</w:t>
                  </w:r>
                </w:p>
              </w:tc>
              <w:tc>
                <w:tcPr>
                  <w:tcW w:w="648" w:type="pct"/>
                  <w:noWrap w:val="0"/>
                  <w:vAlign w:val="center"/>
                </w:tcPr>
                <w:p w14:paraId="18AF015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108</w:t>
                  </w:r>
                </w:p>
              </w:tc>
              <w:tc>
                <w:tcPr>
                  <w:tcW w:w="505" w:type="pct"/>
                  <w:vMerge w:val="continue"/>
                  <w:noWrap w:val="0"/>
                  <w:vAlign w:val="center"/>
                </w:tcPr>
                <w:p w14:paraId="49FF217A">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328378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407CF1B8">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安集</w:t>
                  </w:r>
                </w:p>
              </w:tc>
              <w:tc>
                <w:tcPr>
                  <w:tcW w:w="721" w:type="pct"/>
                  <w:shd w:val="clear" w:color="auto" w:fill="auto"/>
                  <w:noWrap w:val="0"/>
                  <w:vAlign w:val="center"/>
                </w:tcPr>
                <w:p w14:paraId="19988317">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118.916080</w:t>
                  </w:r>
                </w:p>
              </w:tc>
              <w:tc>
                <w:tcPr>
                  <w:tcW w:w="725" w:type="pct"/>
                  <w:noWrap w:val="0"/>
                  <w:vAlign w:val="center"/>
                </w:tcPr>
                <w:p w14:paraId="749D64A6">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33.849497</w:t>
                  </w:r>
                </w:p>
              </w:tc>
              <w:tc>
                <w:tcPr>
                  <w:tcW w:w="589" w:type="pct"/>
                  <w:noWrap w:val="0"/>
                  <w:vAlign w:val="center"/>
                </w:tcPr>
                <w:p w14:paraId="5404D826">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3952EB1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约108</w:t>
                  </w:r>
                </w:p>
              </w:tc>
              <w:tc>
                <w:tcPr>
                  <w:tcW w:w="474" w:type="pct"/>
                  <w:noWrap w:val="0"/>
                  <w:vAlign w:val="center"/>
                </w:tcPr>
                <w:p w14:paraId="75C532B2">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S</w:t>
                  </w:r>
                </w:p>
              </w:tc>
              <w:tc>
                <w:tcPr>
                  <w:tcW w:w="648" w:type="pct"/>
                  <w:noWrap w:val="0"/>
                  <w:vAlign w:val="center"/>
                </w:tcPr>
                <w:p w14:paraId="36777D3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72</w:t>
                  </w:r>
                </w:p>
              </w:tc>
              <w:tc>
                <w:tcPr>
                  <w:tcW w:w="505" w:type="pct"/>
                  <w:vMerge w:val="continue"/>
                  <w:noWrap w:val="0"/>
                  <w:vAlign w:val="center"/>
                </w:tcPr>
                <w:p w14:paraId="4C9A469A">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2EEFCC6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0C5362F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朱庄</w:t>
                  </w:r>
                </w:p>
              </w:tc>
              <w:tc>
                <w:tcPr>
                  <w:tcW w:w="721" w:type="pct"/>
                  <w:shd w:val="clear" w:color="auto" w:fill="auto"/>
                  <w:noWrap w:val="0"/>
                  <w:vAlign w:val="center"/>
                </w:tcPr>
                <w:p w14:paraId="6B934428">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118.913248</w:t>
                  </w:r>
                </w:p>
              </w:tc>
              <w:tc>
                <w:tcPr>
                  <w:tcW w:w="725" w:type="pct"/>
                  <w:noWrap w:val="0"/>
                  <w:vAlign w:val="center"/>
                </w:tcPr>
                <w:p w14:paraId="5298C28D">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33.847866</w:t>
                  </w:r>
                </w:p>
              </w:tc>
              <w:tc>
                <w:tcPr>
                  <w:tcW w:w="589" w:type="pct"/>
                  <w:noWrap w:val="0"/>
                  <w:vAlign w:val="center"/>
                </w:tcPr>
                <w:p w14:paraId="72B1B53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52F1B726">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约48</w:t>
                  </w:r>
                </w:p>
              </w:tc>
              <w:tc>
                <w:tcPr>
                  <w:tcW w:w="474" w:type="pct"/>
                  <w:noWrap w:val="0"/>
                  <w:vAlign w:val="center"/>
                </w:tcPr>
                <w:p w14:paraId="284E8A0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WS</w:t>
                  </w:r>
                </w:p>
              </w:tc>
              <w:tc>
                <w:tcPr>
                  <w:tcW w:w="648" w:type="pct"/>
                  <w:noWrap w:val="0"/>
                  <w:vAlign w:val="center"/>
                </w:tcPr>
                <w:p w14:paraId="69B7F71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404</w:t>
                  </w:r>
                </w:p>
              </w:tc>
              <w:tc>
                <w:tcPr>
                  <w:tcW w:w="505" w:type="pct"/>
                  <w:vMerge w:val="continue"/>
                  <w:noWrap w:val="0"/>
                  <w:vAlign w:val="center"/>
                </w:tcPr>
                <w:p w14:paraId="5848F9E8">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r w14:paraId="270C88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05" w:type="pct"/>
                  <w:shd w:val="clear" w:color="auto" w:fill="auto"/>
                  <w:noWrap w:val="0"/>
                  <w:vAlign w:val="center"/>
                </w:tcPr>
                <w:p w14:paraId="46751D6B">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安庄</w:t>
                  </w:r>
                </w:p>
              </w:tc>
              <w:tc>
                <w:tcPr>
                  <w:tcW w:w="721" w:type="pct"/>
                  <w:shd w:val="clear" w:color="auto" w:fill="auto"/>
                  <w:noWrap w:val="0"/>
                  <w:vAlign w:val="center"/>
                </w:tcPr>
                <w:p w14:paraId="5C7FD658">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118.919513</w:t>
                  </w:r>
                </w:p>
              </w:tc>
              <w:tc>
                <w:tcPr>
                  <w:tcW w:w="725" w:type="pct"/>
                  <w:noWrap w:val="0"/>
                  <w:vAlign w:val="center"/>
                </w:tcPr>
                <w:p w14:paraId="2E455665">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33.850798</w:t>
                  </w:r>
                </w:p>
              </w:tc>
              <w:tc>
                <w:tcPr>
                  <w:tcW w:w="589" w:type="pct"/>
                  <w:noWrap w:val="0"/>
                  <w:vAlign w:val="center"/>
                </w:tcPr>
                <w:p w14:paraId="5066E54A">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居民</w:t>
                  </w:r>
                </w:p>
              </w:tc>
              <w:tc>
                <w:tcPr>
                  <w:tcW w:w="530" w:type="pct"/>
                  <w:shd w:val="clear" w:color="auto" w:fill="auto"/>
                  <w:noWrap w:val="0"/>
                  <w:vAlign w:val="center"/>
                </w:tcPr>
                <w:p w14:paraId="1951EA83">
                  <w:pPr>
                    <w:keepNext w:val="0"/>
                    <w:keepLines w:val="0"/>
                    <w:pageBreakBefore w:val="0"/>
                    <w:widowControl w:val="0"/>
                    <w:kinsoku/>
                    <w:wordWrap w:val="0"/>
                    <w:overflowPunct/>
                    <w:topLinePunct w:val="0"/>
                    <w:autoSpaceDE/>
                    <w:autoSpaceDN/>
                    <w:bidi w:val="0"/>
                    <w:adjustRightInd/>
                    <w:snapToGrid/>
                    <w:spacing w:line="360" w:lineRule="exact"/>
                    <w:ind w:left="0" w:leftChars="0" w:right="0" w:rightChars="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约54</w:t>
                  </w:r>
                </w:p>
              </w:tc>
              <w:tc>
                <w:tcPr>
                  <w:tcW w:w="474" w:type="pct"/>
                  <w:noWrap w:val="0"/>
                  <w:vAlign w:val="center"/>
                </w:tcPr>
                <w:p w14:paraId="7316692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ES</w:t>
                  </w:r>
                </w:p>
              </w:tc>
              <w:tc>
                <w:tcPr>
                  <w:tcW w:w="648" w:type="pct"/>
                  <w:noWrap w:val="0"/>
                  <w:vAlign w:val="center"/>
                </w:tcPr>
                <w:p w14:paraId="4D9D376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166</w:t>
                  </w:r>
                </w:p>
              </w:tc>
              <w:tc>
                <w:tcPr>
                  <w:tcW w:w="505" w:type="pct"/>
                  <w:vMerge w:val="continue"/>
                  <w:noWrap w:val="0"/>
                  <w:vAlign w:val="center"/>
                </w:tcPr>
                <w:p w14:paraId="172D4083">
                  <w:pPr>
                    <w:keepNext w:val="0"/>
                    <w:keepLines w:val="0"/>
                    <w:pageBreakBefore w:val="0"/>
                    <w:widowControl w:val="0"/>
                    <w:kinsoku/>
                    <w:wordWrap w:val="0"/>
                    <w:overflowPunct/>
                    <w:topLinePunct w:val="0"/>
                    <w:autoSpaceDE/>
                    <w:autoSpaceDN/>
                    <w:bidi w:val="0"/>
                    <w:adjustRightInd/>
                    <w:snapToGrid/>
                    <w:spacing w:line="360" w:lineRule="exact"/>
                    <w:jc w:val="center"/>
                    <w:textAlignment w:val="auto"/>
                    <w:rPr>
                      <w:rFonts w:hint="default" w:ascii="Times New Roman" w:hAnsi="Times New Roman" w:eastAsia="宋体" w:cs="Times New Roman"/>
                      <w:color w:val="auto"/>
                      <w:w w:val="100"/>
                      <w:sz w:val="21"/>
                      <w:szCs w:val="21"/>
                      <w:highlight w:val="none"/>
                    </w:rPr>
                  </w:pPr>
                </w:p>
              </w:tc>
            </w:tr>
          </w:tbl>
          <w:p w14:paraId="477F931A">
            <w:pPr>
              <w:keepNext w:val="0"/>
              <w:keepLines w:val="0"/>
              <w:pageBreakBefore w:val="0"/>
              <w:widowControl w:val="0"/>
              <w:kinsoku/>
              <w:wordWrap/>
              <w:overflowPunct/>
              <w:topLinePunct w:val="0"/>
              <w:autoSpaceDE/>
              <w:autoSpaceDN/>
              <w:bidi w:val="0"/>
              <w:adjustRightInd/>
              <w:snapToGrid/>
              <w:spacing w:line="400" w:lineRule="exact"/>
              <w:ind w:left="0" w:firstLine="0" w:firstLineChars="0"/>
              <w:jc w:val="left"/>
              <w:textAlignment w:val="auto"/>
              <w:rPr>
                <w:rFonts w:hint="eastAsia" w:ascii="Times New Roman" w:hAnsi="宋体"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注：相对厂界距离为厂界与相对方位上大气环境保护目标最近距离。</w:t>
            </w:r>
          </w:p>
          <w:p w14:paraId="7AE11EDD">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both"/>
              <w:textAlignment w:val="auto"/>
              <w:rPr>
                <w:rFonts w:hint="eastAsia" w:ascii="Times New Roman" w:hAnsi="宋体" w:eastAsia="宋体" w:cs="Times New Roman"/>
                <w:b/>
                <w:bCs/>
                <w:color w:val="auto"/>
                <w:kern w:val="2"/>
                <w:sz w:val="22"/>
                <w:szCs w:val="22"/>
                <w:lang w:val="en-US" w:eastAsia="zh-CN" w:bidi="ar-SA"/>
              </w:rPr>
            </w:pPr>
            <w:r>
              <w:rPr>
                <w:rFonts w:hint="eastAsia" w:ascii="Times New Roman" w:hAnsi="宋体" w:eastAsia="宋体" w:cs="Times New Roman"/>
                <w:b/>
                <w:bCs/>
                <w:color w:val="auto"/>
                <w:kern w:val="2"/>
                <w:sz w:val="22"/>
                <w:szCs w:val="22"/>
                <w:lang w:val="en-US" w:eastAsia="zh-CN" w:bidi="ar-SA"/>
              </w:rPr>
              <w:t>⑵声环境</w:t>
            </w:r>
          </w:p>
          <w:p w14:paraId="61BD34F6">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jc w:val="both"/>
              <w:textAlignment w:val="auto"/>
              <w:rPr>
                <w:rFonts w:ascii="宋体" w:hAnsi="宋体" w:eastAsia="宋体" w:cs="宋体"/>
                <w:color w:val="auto"/>
                <w:kern w:val="2"/>
                <w:sz w:val="22"/>
                <w:szCs w:val="22"/>
                <w:highlight w:val="yellow"/>
                <w:lang w:val="zh-CN" w:eastAsia="zh-CN" w:bidi="zh-CN"/>
              </w:rPr>
            </w:pPr>
            <w:r>
              <w:rPr>
                <w:rFonts w:hint="eastAsia" w:ascii="宋体" w:hAnsi="宋体" w:eastAsia="宋体" w:cs="宋体"/>
                <w:color w:val="auto"/>
                <w:kern w:val="2"/>
                <w:sz w:val="22"/>
                <w:szCs w:val="22"/>
                <w:highlight w:val="none"/>
                <w:lang w:val="zh-CN" w:eastAsia="zh-CN" w:bidi="zh-CN"/>
              </w:rPr>
              <w:t>本</w:t>
            </w:r>
            <w:r>
              <w:rPr>
                <w:rFonts w:ascii="宋体" w:hAnsi="宋体" w:eastAsia="宋体" w:cs="宋体"/>
                <w:color w:val="auto"/>
                <w:kern w:val="2"/>
                <w:sz w:val="22"/>
                <w:szCs w:val="22"/>
                <w:highlight w:val="none"/>
                <w:lang w:val="zh-CN" w:eastAsia="zh-CN" w:bidi="zh-CN"/>
              </w:rPr>
              <w:t>项目厂界外</w:t>
            </w:r>
            <w:r>
              <w:rPr>
                <w:rFonts w:ascii="Times New Roman" w:hAnsi="宋体" w:eastAsia="Times New Roman" w:cs="宋体"/>
                <w:color w:val="auto"/>
                <w:kern w:val="2"/>
                <w:sz w:val="22"/>
                <w:szCs w:val="22"/>
                <w:highlight w:val="none"/>
                <w:lang w:val="zh-CN" w:eastAsia="zh-CN" w:bidi="zh-CN"/>
              </w:rPr>
              <w:t>50</w:t>
            </w:r>
            <w:r>
              <w:rPr>
                <w:rFonts w:ascii="宋体" w:hAnsi="宋体" w:eastAsia="宋体" w:cs="宋体"/>
                <w:color w:val="auto"/>
                <w:kern w:val="2"/>
                <w:sz w:val="22"/>
                <w:szCs w:val="22"/>
                <w:highlight w:val="none"/>
                <w:lang w:val="zh-CN" w:eastAsia="zh-CN" w:bidi="zh-CN"/>
              </w:rPr>
              <w:t>米范围</w:t>
            </w:r>
            <w:r>
              <w:rPr>
                <w:rFonts w:hint="eastAsia" w:ascii="宋体" w:hAnsi="宋体" w:eastAsia="宋体" w:cs="宋体"/>
                <w:color w:val="auto"/>
                <w:kern w:val="2"/>
                <w:sz w:val="22"/>
                <w:szCs w:val="22"/>
                <w:highlight w:val="none"/>
                <w:lang w:val="en-US" w:eastAsia="zh-CN" w:bidi="zh-CN"/>
              </w:rPr>
              <w:t>内无</w:t>
            </w:r>
            <w:r>
              <w:rPr>
                <w:rFonts w:ascii="宋体" w:hAnsi="宋体" w:eastAsia="宋体" w:cs="宋体"/>
                <w:color w:val="auto"/>
                <w:kern w:val="2"/>
                <w:sz w:val="22"/>
                <w:szCs w:val="22"/>
                <w:highlight w:val="none"/>
                <w:lang w:val="zh-CN" w:eastAsia="zh-CN" w:bidi="zh-CN"/>
              </w:rPr>
              <w:t>声环境保护目标。</w:t>
            </w:r>
          </w:p>
          <w:p w14:paraId="320A9223">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both"/>
              <w:textAlignment w:val="auto"/>
              <w:rPr>
                <w:rFonts w:hint="default" w:ascii="Times New Roman" w:hAnsi="宋体" w:eastAsia="宋体" w:cs="Times New Roman"/>
                <w:b/>
                <w:bCs/>
                <w:color w:val="auto"/>
                <w:kern w:val="2"/>
                <w:sz w:val="22"/>
                <w:szCs w:val="22"/>
                <w:lang w:val="en-US" w:eastAsia="zh-CN" w:bidi="ar-SA"/>
              </w:rPr>
            </w:pPr>
            <w:r>
              <w:rPr>
                <w:rFonts w:hint="eastAsia" w:ascii="Times New Roman" w:hAnsi="宋体" w:eastAsia="宋体" w:cs="Times New Roman"/>
                <w:b/>
                <w:bCs/>
                <w:color w:val="auto"/>
                <w:kern w:val="2"/>
                <w:sz w:val="22"/>
                <w:szCs w:val="22"/>
                <w:lang w:val="en-US" w:eastAsia="zh-CN" w:bidi="ar-SA"/>
              </w:rPr>
              <w:t>⑶地下水环境</w:t>
            </w:r>
          </w:p>
          <w:p w14:paraId="14448B9D">
            <w:pPr>
              <w:keepNext w:val="0"/>
              <w:keepLines w:val="0"/>
              <w:pageBreakBefore w:val="0"/>
              <w:widowControl w:val="0"/>
              <w:kinsoku/>
              <w:wordWrap/>
              <w:overflowPunct/>
              <w:topLinePunct w:val="0"/>
              <w:autoSpaceDE/>
              <w:autoSpaceDN/>
              <w:bidi w:val="0"/>
              <w:adjustRightInd/>
              <w:snapToGrid/>
              <w:spacing w:line="500" w:lineRule="exact"/>
              <w:ind w:left="0" w:firstLine="440" w:firstLineChars="200"/>
              <w:jc w:val="both"/>
              <w:textAlignment w:val="auto"/>
              <w:rPr>
                <w:rFonts w:hint="default" w:ascii="Times New Roman" w:hAnsi="Times New Roman" w:eastAsia="宋体" w:cs="Times New Roman"/>
                <w:color w:val="auto"/>
                <w:kern w:val="2"/>
                <w:sz w:val="22"/>
                <w:szCs w:val="22"/>
                <w:lang w:val="zh-CN" w:eastAsia="zh-CN" w:bidi="zh-CN"/>
              </w:rPr>
            </w:pPr>
            <w:r>
              <w:rPr>
                <w:rFonts w:hint="eastAsia" w:ascii="Times New Roman" w:hAnsi="Times New Roman" w:eastAsia="宋体" w:cs="Times New Roman"/>
                <w:color w:val="auto"/>
                <w:kern w:val="2"/>
                <w:sz w:val="22"/>
                <w:szCs w:val="22"/>
                <w:lang w:val="zh-CN" w:eastAsia="zh-CN" w:bidi="zh-CN"/>
              </w:rPr>
              <w:t>本</w:t>
            </w:r>
            <w:r>
              <w:rPr>
                <w:rFonts w:hint="default" w:ascii="Times New Roman" w:hAnsi="Times New Roman" w:eastAsia="宋体" w:cs="Times New Roman"/>
                <w:color w:val="auto"/>
                <w:kern w:val="2"/>
                <w:sz w:val="22"/>
                <w:szCs w:val="22"/>
                <w:lang w:val="zh-CN" w:eastAsia="zh-CN" w:bidi="zh-CN"/>
              </w:rPr>
              <w:t>项目厂界外500米范围内无地下水集中式饮用水水源和热水、矿泉水、温泉等特殊地下水资源。</w:t>
            </w:r>
          </w:p>
          <w:p w14:paraId="3C123863">
            <w:pPr>
              <w:keepNext w:val="0"/>
              <w:keepLines w:val="0"/>
              <w:pageBreakBefore w:val="0"/>
              <w:widowControl w:val="0"/>
              <w:kinsoku/>
              <w:wordWrap/>
              <w:overflowPunct/>
              <w:topLinePunct w:val="0"/>
              <w:autoSpaceDE/>
              <w:autoSpaceDN/>
              <w:bidi w:val="0"/>
              <w:adjustRightInd/>
              <w:snapToGrid/>
              <w:spacing w:line="500" w:lineRule="exact"/>
              <w:ind w:left="0" w:firstLine="442" w:firstLineChars="200"/>
              <w:jc w:val="both"/>
              <w:textAlignment w:val="auto"/>
              <w:rPr>
                <w:rFonts w:hint="eastAsia" w:ascii="Times New Roman" w:hAnsi="宋体" w:eastAsia="宋体" w:cs="Times New Roman"/>
                <w:b/>
                <w:bCs/>
                <w:color w:val="auto"/>
                <w:kern w:val="2"/>
                <w:sz w:val="22"/>
                <w:szCs w:val="22"/>
                <w:lang w:val="en-US" w:eastAsia="zh-CN" w:bidi="ar-SA"/>
              </w:rPr>
            </w:pPr>
            <w:r>
              <w:rPr>
                <w:rFonts w:hint="eastAsia" w:ascii="Times New Roman" w:hAnsi="宋体" w:eastAsia="宋体" w:cs="Times New Roman"/>
                <w:b/>
                <w:bCs/>
                <w:color w:val="auto"/>
                <w:kern w:val="2"/>
                <w:sz w:val="22"/>
                <w:szCs w:val="22"/>
                <w:lang w:val="en-US" w:eastAsia="zh-CN" w:bidi="ar-SA"/>
              </w:rPr>
              <w:t>⑷生态环境</w:t>
            </w:r>
          </w:p>
          <w:p w14:paraId="5448CD73">
            <w:pPr>
              <w:keepNext w:val="0"/>
              <w:keepLines w:val="0"/>
              <w:pageBreakBefore w:val="0"/>
              <w:widowControl w:val="0"/>
              <w:tabs>
                <w:tab w:val="left" w:pos="1800"/>
              </w:tabs>
              <w:kinsoku/>
              <w:wordWrap/>
              <w:overflowPunct/>
              <w:topLinePunct w:val="0"/>
              <w:autoSpaceDE/>
              <w:autoSpaceDN/>
              <w:bidi w:val="0"/>
              <w:adjustRightInd/>
              <w:snapToGrid/>
              <w:spacing w:line="500" w:lineRule="exact"/>
              <w:ind w:right="0" w:firstLine="440" w:firstLineChars="200"/>
              <w:textAlignment w:val="auto"/>
              <w:outlineLvl w:val="9"/>
              <w:rPr>
                <w:rFonts w:hint="default" w:ascii="Times New Roman" w:hAnsi="Times New Roman" w:eastAsia="宋体" w:cs="Times New Roman"/>
                <w:color w:val="auto"/>
                <w:w w:val="100"/>
                <w:sz w:val="22"/>
                <w:szCs w:val="22"/>
                <w:lang w:val="en-US" w:eastAsia="zh-CN"/>
              </w:rPr>
            </w:pPr>
            <w:r>
              <w:rPr>
                <w:rFonts w:hint="eastAsia" w:ascii="Times New Roman" w:hAnsi="Times New Roman" w:eastAsia="宋体" w:cs="Times New Roman"/>
                <w:color w:val="auto"/>
                <w:kern w:val="2"/>
                <w:sz w:val="22"/>
                <w:szCs w:val="22"/>
                <w:lang w:val="zh-CN" w:eastAsia="zh-CN" w:bidi="zh-CN"/>
              </w:rPr>
              <w:t>本</w:t>
            </w:r>
            <w:r>
              <w:rPr>
                <w:rFonts w:hint="default" w:ascii="Times New Roman" w:hAnsi="Times New Roman" w:eastAsia="宋体" w:cs="Times New Roman"/>
                <w:color w:val="auto"/>
                <w:kern w:val="2"/>
                <w:sz w:val="22"/>
                <w:szCs w:val="22"/>
                <w:lang w:val="zh-CN" w:eastAsia="zh-CN" w:bidi="zh-CN"/>
              </w:rPr>
              <w:t>项目用地范围内</w:t>
            </w:r>
            <w:r>
              <w:rPr>
                <w:rFonts w:hint="eastAsia" w:ascii="Times New Roman" w:hAnsi="Times New Roman" w:eastAsia="宋体" w:cs="Times New Roman"/>
                <w:color w:val="auto"/>
                <w:kern w:val="2"/>
                <w:sz w:val="22"/>
                <w:szCs w:val="22"/>
                <w:lang w:val="zh-CN" w:eastAsia="zh-CN" w:bidi="zh-CN"/>
              </w:rPr>
              <w:t>不存在</w:t>
            </w:r>
            <w:r>
              <w:rPr>
                <w:rFonts w:hint="default" w:ascii="Times New Roman" w:hAnsi="Times New Roman" w:eastAsia="宋体" w:cs="Times New Roman"/>
                <w:color w:val="auto"/>
                <w:kern w:val="2"/>
                <w:sz w:val="22"/>
                <w:szCs w:val="22"/>
                <w:lang w:val="zh-CN" w:eastAsia="zh-CN" w:bidi="zh-CN"/>
              </w:rPr>
              <w:t>生态环境保护目标。</w:t>
            </w:r>
          </w:p>
        </w:tc>
      </w:tr>
      <w:tr w14:paraId="53EB9B0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882" w:hRule="atLeast"/>
          <w:jc w:val="center"/>
        </w:trPr>
        <w:tc>
          <w:tcPr>
            <w:tcW w:w="328" w:type="pct"/>
            <w:tcBorders>
              <w:top w:val="single" w:color="auto" w:sz="12" w:space="0"/>
              <w:bottom w:val="single" w:color="auto" w:sz="12" w:space="0"/>
            </w:tcBorders>
            <w:noWrap w:val="0"/>
            <w:tcMar>
              <w:left w:w="28" w:type="dxa"/>
              <w:right w:w="28" w:type="dxa"/>
            </w:tcMar>
            <w:vAlign w:val="center"/>
          </w:tcPr>
          <w:p w14:paraId="47F6F62C">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污染</w:t>
            </w:r>
          </w:p>
          <w:p w14:paraId="0996EBA1">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物排</w:t>
            </w:r>
          </w:p>
          <w:p w14:paraId="2BCB82D0">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放控</w:t>
            </w:r>
          </w:p>
          <w:p w14:paraId="74B80DA4">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制标</w:t>
            </w:r>
          </w:p>
          <w:p w14:paraId="51A6D07B">
            <w:pPr>
              <w:keepNext w:val="0"/>
              <w:keepLines w:val="0"/>
              <w:pageBreakBefore w:val="0"/>
              <w:widowControl w:val="0"/>
              <w:kinsoku/>
              <w:overflowPunct/>
              <w:bidi w:val="0"/>
              <w:adjustRightInd w:val="0"/>
              <w:snapToGrid w:val="0"/>
              <w:spacing w:line="500" w:lineRule="exact"/>
              <w:ind w:firstLine="0" w:firstLineChars="0"/>
              <w:jc w:val="center"/>
              <w:outlineLvl w:val="9"/>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准</w:t>
            </w:r>
          </w:p>
        </w:tc>
        <w:tc>
          <w:tcPr>
            <w:tcW w:w="4671" w:type="pct"/>
            <w:tcBorders>
              <w:top w:val="single" w:color="auto" w:sz="12" w:space="0"/>
              <w:bottom w:val="single" w:color="auto" w:sz="12" w:space="0"/>
            </w:tcBorders>
            <w:noWrap w:val="0"/>
            <w:vAlign w:val="top"/>
          </w:tcPr>
          <w:p w14:paraId="71821DE6">
            <w:pPr>
              <w:keepNext w:val="0"/>
              <w:keepLines w:val="0"/>
              <w:pageBreakBefore w:val="0"/>
              <w:widowControl w:val="0"/>
              <w:kinsoku/>
              <w:wordWrap/>
              <w:overflowPunct/>
              <w:topLinePunct w:val="0"/>
              <w:autoSpaceDE/>
              <w:autoSpaceDN/>
              <w:bidi w:val="0"/>
              <w:adjustRightInd w:val="0"/>
              <w:snapToGrid w:val="0"/>
              <w:spacing w:line="500" w:lineRule="atLeast"/>
              <w:ind w:firstLine="442" w:firstLineChars="200"/>
              <w:jc w:val="both"/>
              <w:textAlignment w:val="auto"/>
              <w:outlineLvl w:val="9"/>
              <w:rPr>
                <w:rFonts w:hint="default" w:ascii="Times New Roman" w:hAnsi="Times New Roman" w:eastAsia="宋体" w:cs="Times New Roman"/>
                <w:b/>
                <w:bCs/>
                <w:color w:val="auto"/>
                <w:w w:val="100"/>
                <w:sz w:val="22"/>
                <w:szCs w:val="22"/>
                <w:highlight w:val="none"/>
                <w:lang w:val="en-US" w:eastAsia="zh-CN"/>
              </w:rPr>
            </w:pPr>
            <w:r>
              <w:rPr>
                <w:rFonts w:hint="eastAsia" w:ascii="Times New Roman" w:hAnsi="Times New Roman" w:eastAsia="宋体" w:cs="Times New Roman"/>
                <w:b/>
                <w:bCs/>
                <w:color w:val="auto"/>
                <w:w w:val="100"/>
                <w:sz w:val="22"/>
                <w:szCs w:val="22"/>
                <w:highlight w:val="none"/>
                <w:lang w:val="en-US" w:eastAsia="zh-CN"/>
              </w:rPr>
              <w:t>3.3污染物排放控制标准</w:t>
            </w:r>
          </w:p>
          <w:p w14:paraId="31184949">
            <w:pPr>
              <w:keepNext w:val="0"/>
              <w:keepLines w:val="0"/>
              <w:pageBreakBefore w:val="0"/>
              <w:widowControl w:val="0"/>
              <w:kinsoku/>
              <w:wordWrap/>
              <w:overflowPunct/>
              <w:topLinePunct w:val="0"/>
              <w:autoSpaceDE/>
              <w:autoSpaceDN/>
              <w:bidi w:val="0"/>
              <w:adjustRightInd w:val="0"/>
              <w:snapToGrid w:val="0"/>
              <w:spacing w:line="500" w:lineRule="atLeast"/>
              <w:ind w:firstLine="442" w:firstLineChars="200"/>
              <w:jc w:val="both"/>
              <w:textAlignment w:val="auto"/>
              <w:outlineLvl w:val="9"/>
              <w:rPr>
                <w:rFonts w:hint="default" w:ascii="Times New Roman" w:hAnsi="Times New Roman" w:eastAsia="宋体" w:cs="Times New Roman"/>
                <w:b/>
                <w:bCs/>
                <w:color w:val="auto"/>
                <w:w w:val="100"/>
                <w:sz w:val="22"/>
                <w:szCs w:val="22"/>
                <w:highlight w:val="none"/>
                <w:lang w:val="en-US" w:eastAsia="zh-CN"/>
              </w:rPr>
            </w:pPr>
            <w:r>
              <w:rPr>
                <w:rFonts w:hint="eastAsia" w:ascii="Times New Roman" w:hAnsi="Times New Roman" w:eastAsia="宋体" w:cs="Times New Roman"/>
                <w:b/>
                <w:bCs/>
                <w:color w:val="auto"/>
                <w:w w:val="100"/>
                <w:sz w:val="22"/>
                <w:szCs w:val="22"/>
                <w:highlight w:val="none"/>
                <w:lang w:val="en-US" w:eastAsia="zh-CN"/>
              </w:rPr>
              <w:t>3.3.1</w:t>
            </w:r>
            <w:r>
              <w:rPr>
                <w:rFonts w:hint="default" w:ascii="Times New Roman" w:hAnsi="Times New Roman" w:eastAsia="宋体" w:cs="Times New Roman"/>
                <w:b/>
                <w:bCs/>
                <w:color w:val="auto"/>
                <w:w w:val="100"/>
                <w:sz w:val="22"/>
                <w:szCs w:val="22"/>
                <w:highlight w:val="none"/>
                <w:lang w:val="en-US" w:eastAsia="zh-CN"/>
              </w:rPr>
              <w:t>大气污染物排放标准</w:t>
            </w:r>
          </w:p>
          <w:p w14:paraId="7B4800DC">
            <w:pPr>
              <w:keepNext w:val="0"/>
              <w:keepLines w:val="0"/>
              <w:pageBreakBefore w:val="0"/>
              <w:widowControl w:val="0"/>
              <w:kinsoku/>
              <w:wordWrap/>
              <w:overflowPunct/>
              <w:topLinePunct w:val="0"/>
              <w:autoSpaceDE/>
              <w:autoSpaceDN/>
              <w:bidi w:val="0"/>
              <w:adjustRightInd w:val="0"/>
              <w:snapToGrid w:val="0"/>
              <w:spacing w:line="500" w:lineRule="exact"/>
              <w:ind w:firstLine="440" w:firstLineChars="200"/>
              <w:jc w:val="both"/>
              <w:textAlignment w:val="auto"/>
              <w:outlineLvl w:val="9"/>
              <w:rPr>
                <w:rFonts w:hint="default" w:ascii="Times New Roman" w:hAnsi="Times New Roman" w:eastAsia="宋体" w:cs="Times New Roman"/>
                <w:color w:val="auto"/>
                <w:w w:val="100"/>
                <w:sz w:val="22"/>
                <w:szCs w:val="22"/>
                <w:highlight w:val="none"/>
                <w:lang w:val="en-US" w:eastAsia="zh-CN"/>
              </w:rPr>
            </w:pPr>
            <w:r>
              <w:rPr>
                <w:rFonts w:hint="eastAsia" w:cs="Times New Roman"/>
                <w:color w:val="auto"/>
                <w:w w:val="100"/>
                <w:sz w:val="22"/>
                <w:szCs w:val="22"/>
                <w:highlight w:val="none"/>
                <w:lang w:eastAsia="zh-CN"/>
              </w:rPr>
              <w:t>技改</w:t>
            </w:r>
            <w:r>
              <w:rPr>
                <w:rFonts w:hint="default" w:ascii="Times New Roman" w:hAnsi="Times New Roman" w:eastAsia="宋体" w:cs="Times New Roman"/>
                <w:color w:val="auto"/>
                <w:w w:val="100"/>
                <w:sz w:val="22"/>
                <w:szCs w:val="22"/>
                <w:highlight w:val="none"/>
              </w:rPr>
              <w:t>项目产生</w:t>
            </w:r>
            <w:r>
              <w:rPr>
                <w:rFonts w:hint="default" w:cs="Times New Roman"/>
                <w:color w:val="auto"/>
                <w:w w:val="100"/>
                <w:sz w:val="22"/>
                <w:szCs w:val="22"/>
                <w:highlight w:val="none"/>
                <w:lang w:eastAsia="zh-CN"/>
              </w:rPr>
              <w:t>的</w:t>
            </w:r>
            <w:r>
              <w:rPr>
                <w:rFonts w:hint="eastAsia" w:cs="Times New Roman"/>
                <w:color w:val="auto"/>
                <w:w w:val="100"/>
                <w:sz w:val="22"/>
                <w:szCs w:val="22"/>
                <w:highlight w:val="none"/>
                <w:lang w:val="en-US" w:eastAsia="zh-CN"/>
              </w:rPr>
              <w:t>挥发性有机物</w:t>
            </w:r>
            <w:r>
              <w:rPr>
                <w:rFonts w:hint="eastAsia" w:cs="Times New Roman"/>
                <w:color w:val="auto"/>
                <w:w w:val="100"/>
                <w:sz w:val="22"/>
                <w:szCs w:val="22"/>
                <w:highlight w:val="none"/>
                <w:vertAlign w:val="baseline"/>
                <w:lang w:val="en-US" w:eastAsia="zh-CN"/>
              </w:rPr>
              <w:t>、甲苯、二甲苯以及炼胶过程中产生的颗粒物</w:t>
            </w:r>
            <w:r>
              <w:rPr>
                <w:rFonts w:hint="default" w:ascii="Times New Roman" w:hAnsi="Times New Roman" w:eastAsia="宋体" w:cs="Times New Roman"/>
                <w:color w:val="auto"/>
                <w:w w:val="100"/>
                <w:sz w:val="22"/>
                <w:szCs w:val="22"/>
                <w:highlight w:val="none"/>
              </w:rPr>
              <w:t>执行《</w:t>
            </w:r>
            <w:r>
              <w:rPr>
                <w:rFonts w:hint="eastAsia" w:cs="Times New Roman"/>
                <w:color w:val="auto"/>
                <w:w w:val="100"/>
                <w:sz w:val="22"/>
                <w:szCs w:val="22"/>
                <w:highlight w:val="none"/>
                <w:lang w:eastAsia="zh-CN"/>
              </w:rPr>
              <w:t>橡胶制品工业污染物排放标准</w:t>
            </w:r>
            <w:r>
              <w:rPr>
                <w:rFonts w:hint="default" w:ascii="Times New Roman" w:hAnsi="Times New Roman" w:eastAsia="宋体" w:cs="Times New Roman"/>
                <w:color w:val="auto"/>
                <w:w w:val="100"/>
                <w:sz w:val="22"/>
                <w:szCs w:val="22"/>
                <w:highlight w:val="none"/>
              </w:rPr>
              <w:t>》（</w:t>
            </w:r>
            <w:r>
              <w:rPr>
                <w:rFonts w:hint="eastAsia" w:cs="Times New Roman"/>
                <w:color w:val="auto"/>
                <w:w w:val="100"/>
                <w:sz w:val="22"/>
                <w:szCs w:val="22"/>
                <w:highlight w:val="none"/>
                <w:lang w:val="en-US" w:eastAsia="zh-CN"/>
              </w:rPr>
              <w:t>GB27632-2011</w:t>
            </w:r>
            <w:r>
              <w:rPr>
                <w:rFonts w:hint="default" w:ascii="Times New Roman" w:hAnsi="Times New Roman" w:eastAsia="宋体" w:cs="Times New Roman"/>
                <w:color w:val="auto"/>
                <w:w w:val="100"/>
                <w:sz w:val="22"/>
                <w:szCs w:val="22"/>
                <w:highlight w:val="none"/>
              </w:rPr>
              <w:t>）表</w:t>
            </w:r>
            <w:r>
              <w:rPr>
                <w:rFonts w:hint="eastAsia" w:cs="Times New Roman"/>
                <w:color w:val="auto"/>
                <w:w w:val="100"/>
                <w:sz w:val="22"/>
                <w:szCs w:val="22"/>
                <w:highlight w:val="none"/>
                <w:lang w:val="en-US" w:eastAsia="zh-CN"/>
              </w:rPr>
              <w:t>5</w:t>
            </w:r>
            <w:r>
              <w:rPr>
                <w:rFonts w:hint="default" w:ascii="Times New Roman" w:hAnsi="Times New Roman" w:eastAsia="宋体" w:cs="Times New Roman"/>
                <w:color w:val="auto"/>
                <w:w w:val="100"/>
                <w:sz w:val="22"/>
                <w:szCs w:val="22"/>
                <w:highlight w:val="none"/>
              </w:rPr>
              <w:t>中</w:t>
            </w:r>
            <w:r>
              <w:rPr>
                <w:rFonts w:hint="default" w:ascii="Times New Roman" w:hAnsi="Times New Roman" w:eastAsia="宋体" w:cs="Times New Roman"/>
                <w:color w:val="auto"/>
                <w:w w:val="100"/>
                <w:sz w:val="22"/>
                <w:szCs w:val="22"/>
                <w:highlight w:val="none"/>
                <w:lang w:val="en-US" w:eastAsia="zh-CN"/>
              </w:rPr>
              <w:t>排放限值</w:t>
            </w:r>
            <w:r>
              <w:rPr>
                <w:rFonts w:hint="default" w:ascii="Times New Roman" w:hAnsi="Times New Roman" w:eastAsia="宋体" w:cs="Times New Roman"/>
                <w:color w:val="auto"/>
                <w:w w:val="100"/>
                <w:sz w:val="22"/>
                <w:szCs w:val="22"/>
                <w:highlight w:val="none"/>
              </w:rPr>
              <w:t>要求，</w:t>
            </w:r>
            <w:r>
              <w:rPr>
                <w:rFonts w:hint="eastAsia" w:cs="Times New Roman"/>
                <w:color w:val="auto"/>
                <w:w w:val="100"/>
                <w:sz w:val="22"/>
                <w:szCs w:val="22"/>
                <w:highlight w:val="none"/>
                <w:lang w:eastAsia="zh-CN"/>
              </w:rPr>
              <w:t>硫化氢、臭气浓度执行《恶臭污染物排放标准》（</w:t>
            </w:r>
            <w:r>
              <w:rPr>
                <w:rFonts w:hint="eastAsia" w:cs="Times New Roman"/>
                <w:color w:val="auto"/>
                <w:w w:val="100"/>
                <w:sz w:val="22"/>
                <w:szCs w:val="22"/>
                <w:highlight w:val="none"/>
                <w:lang w:val="en-US" w:eastAsia="zh-CN"/>
              </w:rPr>
              <w:t>GB14554-93</w:t>
            </w:r>
            <w:r>
              <w:rPr>
                <w:rFonts w:hint="eastAsia" w:cs="Times New Roman"/>
                <w:color w:val="auto"/>
                <w:w w:val="100"/>
                <w:sz w:val="22"/>
                <w:szCs w:val="22"/>
                <w:highlight w:val="none"/>
                <w:lang w:eastAsia="zh-CN"/>
              </w:rPr>
              <w:t>）表</w:t>
            </w:r>
            <w:r>
              <w:rPr>
                <w:rFonts w:hint="eastAsia" w:cs="Times New Roman"/>
                <w:color w:val="auto"/>
                <w:w w:val="100"/>
                <w:sz w:val="22"/>
                <w:szCs w:val="22"/>
                <w:highlight w:val="none"/>
                <w:lang w:val="en-US" w:eastAsia="zh-CN"/>
              </w:rPr>
              <w:t>2中排放限值要求，磨边、粗磨和精磨过程中产生的颗粒物执行《大气污染物综合排放标准》（DB32/4041-2021）表1中排放限值要求；</w:t>
            </w:r>
            <w:r>
              <w:rPr>
                <w:rFonts w:hint="default" w:ascii="Times New Roman" w:hAnsi="Times New Roman" w:eastAsia="宋体" w:cs="Times New Roman"/>
                <w:color w:val="auto"/>
                <w:w w:val="100"/>
                <w:sz w:val="22"/>
                <w:szCs w:val="22"/>
                <w:highlight w:val="none"/>
              </w:rPr>
              <w:t>厂区内</w:t>
            </w:r>
            <w:r>
              <w:rPr>
                <w:rFonts w:hint="eastAsia" w:cs="Times New Roman"/>
                <w:color w:val="auto"/>
                <w:w w:val="100"/>
                <w:sz w:val="22"/>
                <w:szCs w:val="22"/>
                <w:highlight w:val="none"/>
                <w:lang w:eastAsia="zh-CN"/>
              </w:rPr>
              <w:t>挥发性有机物</w:t>
            </w:r>
            <w:r>
              <w:rPr>
                <w:rFonts w:hint="default" w:ascii="Times New Roman" w:hAnsi="Times New Roman" w:eastAsia="宋体" w:cs="Times New Roman"/>
                <w:color w:val="auto"/>
                <w:w w:val="100"/>
                <w:sz w:val="22"/>
                <w:szCs w:val="22"/>
                <w:highlight w:val="none"/>
              </w:rPr>
              <w:t>无组织排放限值执行《大气污染物综合排放标准》（DB32/4041-2021</w:t>
            </w:r>
            <w:r>
              <w:rPr>
                <w:rFonts w:hint="eastAsia" w:cs="Times New Roman"/>
                <w:color w:val="auto"/>
                <w:w w:val="100"/>
                <w:sz w:val="22"/>
                <w:szCs w:val="22"/>
                <w:highlight w:val="none"/>
                <w:lang w:eastAsia="zh-CN"/>
              </w:rPr>
              <w:t>）表</w:t>
            </w:r>
            <w:r>
              <w:rPr>
                <w:rFonts w:hint="eastAsia" w:cs="Times New Roman"/>
                <w:color w:val="auto"/>
                <w:w w:val="100"/>
                <w:sz w:val="22"/>
                <w:szCs w:val="22"/>
                <w:highlight w:val="none"/>
                <w:lang w:val="en-US" w:eastAsia="zh-CN"/>
              </w:rPr>
              <w:t>2中排放限值要求，项目厂界颗粒物、挥发性有机物</w:t>
            </w:r>
            <w:r>
              <w:rPr>
                <w:rFonts w:hint="eastAsia" w:ascii="Times New Roman" w:hAnsi="Times New Roman" w:eastAsia="宋体" w:cs="Times New Roman"/>
                <w:color w:val="auto"/>
                <w:w w:val="100"/>
                <w:sz w:val="22"/>
                <w:szCs w:val="22"/>
                <w:highlight w:val="none"/>
                <w:lang w:val="en-US" w:eastAsia="zh-CN"/>
              </w:rPr>
              <w:t>、甲苯、二甲苯执</w:t>
            </w:r>
            <w:r>
              <w:rPr>
                <w:rFonts w:hint="eastAsia" w:cs="Times New Roman"/>
                <w:color w:val="auto"/>
                <w:w w:val="100"/>
                <w:sz w:val="22"/>
                <w:szCs w:val="22"/>
                <w:highlight w:val="none"/>
                <w:lang w:val="en-US" w:eastAsia="zh-CN"/>
              </w:rPr>
              <w:t>行《橡胶制品工业污染物排放标准》（GB27632-2011）表6中排放限值要求，厂界硫化氢、臭气浓度执行《恶臭污染物排放标准》（GB14554-93）表1中“二级 新改扩建”排放限值要求。</w:t>
            </w:r>
          </w:p>
          <w:p w14:paraId="0E17AC5F">
            <w:pPr>
              <w:pStyle w:val="21"/>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center"/>
              <w:textAlignment w:val="auto"/>
              <w:outlineLvl w:val="9"/>
              <w:rPr>
                <w:rFonts w:hint="default" w:ascii="Times New Roman" w:hAnsi="Times New Roman" w:eastAsia="宋体" w:cs="Times New Roman"/>
                <w:b/>
                <w:color w:val="auto"/>
                <w:w w:val="100"/>
                <w:kern w:val="0"/>
                <w:sz w:val="22"/>
                <w:szCs w:val="22"/>
                <w:lang w:val="en-US" w:eastAsia="zh-CN" w:bidi="ar-SA"/>
              </w:rPr>
            </w:pPr>
            <w:r>
              <w:rPr>
                <w:rFonts w:hint="default" w:ascii="Times New Roman" w:hAnsi="Times New Roman" w:eastAsia="宋体" w:cs="Times New Roman"/>
                <w:b/>
                <w:color w:val="auto"/>
                <w:w w:val="100"/>
                <w:kern w:val="0"/>
                <w:sz w:val="22"/>
                <w:szCs w:val="22"/>
                <w:lang w:val="en-US" w:eastAsia="zh-CN" w:bidi="ar-SA"/>
              </w:rPr>
              <w:t>表3</w:t>
            </w:r>
            <w:r>
              <w:rPr>
                <w:rFonts w:hint="eastAsia" w:ascii="Times New Roman" w:hAnsi="Times New Roman" w:eastAsia="宋体" w:cs="Times New Roman"/>
                <w:b/>
                <w:color w:val="auto"/>
                <w:w w:val="100"/>
                <w:kern w:val="0"/>
                <w:sz w:val="22"/>
                <w:szCs w:val="22"/>
                <w:lang w:val="en-US" w:eastAsia="zh-CN" w:bidi="ar-SA"/>
              </w:rPr>
              <w:t>.3</w:t>
            </w:r>
            <w:r>
              <w:rPr>
                <w:rFonts w:hint="default" w:ascii="Times New Roman" w:hAnsi="Times New Roman" w:eastAsia="宋体" w:cs="Times New Roman"/>
                <w:b/>
                <w:color w:val="auto"/>
                <w:w w:val="100"/>
                <w:kern w:val="0"/>
                <w:sz w:val="22"/>
                <w:szCs w:val="22"/>
                <w:lang w:val="en-US" w:eastAsia="zh-CN" w:bidi="ar-SA"/>
              </w:rPr>
              <w:t>-</w:t>
            </w:r>
            <w:r>
              <w:rPr>
                <w:rFonts w:hint="eastAsia" w:ascii="Times New Roman" w:hAnsi="Times New Roman" w:eastAsia="宋体" w:cs="Times New Roman"/>
                <w:b/>
                <w:color w:val="auto"/>
                <w:w w:val="100"/>
                <w:kern w:val="0"/>
                <w:sz w:val="22"/>
                <w:szCs w:val="22"/>
                <w:lang w:val="en-US" w:eastAsia="zh-CN" w:bidi="ar-SA"/>
              </w:rPr>
              <w:t>1</w:t>
            </w:r>
            <w:r>
              <w:rPr>
                <w:rFonts w:hint="default" w:ascii="Times New Roman" w:hAnsi="Times New Roman" w:eastAsia="宋体" w:cs="Times New Roman"/>
                <w:b/>
                <w:color w:val="auto"/>
                <w:w w:val="100"/>
                <w:kern w:val="0"/>
                <w:sz w:val="22"/>
                <w:szCs w:val="22"/>
                <w:lang w:val="en-US" w:eastAsia="zh-CN" w:bidi="ar-SA"/>
              </w:rPr>
              <w:t xml:space="preserve">   大气污染物排放标准</w:t>
            </w:r>
          </w:p>
          <w:tbl>
            <w:tblPr>
              <w:tblStyle w:val="4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770"/>
              <w:gridCol w:w="2050"/>
              <w:gridCol w:w="975"/>
              <w:gridCol w:w="1000"/>
              <w:gridCol w:w="862"/>
              <w:gridCol w:w="2341"/>
            </w:tblGrid>
            <w:tr w14:paraId="218F1C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vMerge w:val="restart"/>
                  <w:noWrap w:val="0"/>
                  <w:vAlign w:val="center"/>
                </w:tcPr>
                <w:p w14:paraId="16E5F65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污染物</w:t>
                  </w:r>
                </w:p>
              </w:tc>
              <w:tc>
                <w:tcPr>
                  <w:tcW w:w="1139" w:type="pct"/>
                  <w:vMerge w:val="restart"/>
                  <w:noWrap w:val="0"/>
                  <w:vAlign w:val="center"/>
                </w:tcPr>
                <w:p w14:paraId="371F3736">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ascii="Times New Roman" w:hAnsi="Times New Roman" w:eastAsia="宋体" w:cs="Times New Roman"/>
                      <w:b/>
                      <w:bCs/>
                      <w:color w:val="auto"/>
                      <w:w w:val="100"/>
                      <w:sz w:val="21"/>
                      <w:szCs w:val="21"/>
                      <w:highlight w:val="none"/>
                      <w:lang w:eastAsia="zh-CN"/>
                    </w:rPr>
                  </w:pPr>
                  <w:r>
                    <w:rPr>
                      <w:rFonts w:hint="eastAsia" w:cs="Times New Roman"/>
                      <w:b/>
                      <w:bCs/>
                      <w:color w:val="auto"/>
                      <w:w w:val="100"/>
                      <w:sz w:val="21"/>
                      <w:szCs w:val="21"/>
                      <w:highlight w:val="none"/>
                      <w:lang w:eastAsia="zh-CN"/>
                    </w:rPr>
                    <w:t>生产工艺或设施</w:t>
                  </w:r>
                </w:p>
              </w:tc>
              <w:tc>
                <w:tcPr>
                  <w:tcW w:w="541" w:type="pct"/>
                  <w:vMerge w:val="restart"/>
                  <w:noWrap w:val="0"/>
                  <w:vAlign w:val="center"/>
                </w:tcPr>
                <w:p w14:paraId="2D67A16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最高允许排放浓度（mg/m</w:t>
                  </w:r>
                  <w:r>
                    <w:rPr>
                      <w:rFonts w:hint="default" w:ascii="Times New Roman" w:hAnsi="Times New Roman" w:eastAsia="宋体" w:cs="Times New Roman"/>
                      <w:b/>
                      <w:bCs/>
                      <w:color w:val="auto"/>
                      <w:w w:val="100"/>
                      <w:sz w:val="21"/>
                      <w:szCs w:val="21"/>
                      <w:highlight w:val="none"/>
                      <w:vertAlign w:val="superscript"/>
                    </w:rPr>
                    <w:t>3</w:t>
                  </w:r>
                  <w:r>
                    <w:rPr>
                      <w:rFonts w:hint="default" w:ascii="Times New Roman" w:hAnsi="Times New Roman" w:eastAsia="宋体" w:cs="Times New Roman"/>
                      <w:b/>
                      <w:bCs/>
                      <w:color w:val="auto"/>
                      <w:w w:val="100"/>
                      <w:sz w:val="21"/>
                      <w:szCs w:val="21"/>
                      <w:highlight w:val="none"/>
                    </w:rPr>
                    <w:t>）</w:t>
                  </w:r>
                </w:p>
              </w:tc>
              <w:tc>
                <w:tcPr>
                  <w:tcW w:w="1034" w:type="pct"/>
                  <w:gridSpan w:val="2"/>
                  <w:noWrap w:val="0"/>
                  <w:vAlign w:val="center"/>
                </w:tcPr>
                <w:p w14:paraId="275E6ED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最高允许排放速率</w:t>
                  </w:r>
                </w:p>
              </w:tc>
              <w:tc>
                <w:tcPr>
                  <w:tcW w:w="1300" w:type="pct"/>
                  <w:vMerge w:val="restart"/>
                  <w:noWrap w:val="0"/>
                  <w:vAlign w:val="center"/>
                </w:tcPr>
                <w:p w14:paraId="4F83105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标准来源</w:t>
                  </w:r>
                </w:p>
              </w:tc>
            </w:tr>
            <w:tr w14:paraId="37C700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vMerge w:val="continue"/>
                  <w:noWrap w:val="0"/>
                  <w:vAlign w:val="center"/>
                </w:tcPr>
                <w:p w14:paraId="14C421B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p>
              </w:tc>
              <w:tc>
                <w:tcPr>
                  <w:tcW w:w="1139" w:type="pct"/>
                  <w:vMerge w:val="continue"/>
                  <w:noWrap w:val="0"/>
                  <w:vAlign w:val="center"/>
                </w:tcPr>
                <w:p w14:paraId="79ECFD7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p>
              </w:tc>
              <w:tc>
                <w:tcPr>
                  <w:tcW w:w="541" w:type="pct"/>
                  <w:vMerge w:val="continue"/>
                  <w:noWrap w:val="0"/>
                  <w:vAlign w:val="center"/>
                </w:tcPr>
                <w:p w14:paraId="58CBA910">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p>
              </w:tc>
              <w:tc>
                <w:tcPr>
                  <w:tcW w:w="555" w:type="pct"/>
                  <w:noWrap w:val="0"/>
                  <w:vAlign w:val="center"/>
                </w:tcPr>
                <w:p w14:paraId="3E2AB33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排气筒（m）</w:t>
                  </w:r>
                </w:p>
              </w:tc>
              <w:tc>
                <w:tcPr>
                  <w:tcW w:w="478" w:type="pct"/>
                  <w:noWrap w:val="0"/>
                  <w:vAlign w:val="center"/>
                </w:tcPr>
                <w:p w14:paraId="6AAD5970">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lang w:val="en-US" w:eastAsia="zh-CN"/>
                    </w:rPr>
                  </w:pPr>
                  <w:r>
                    <w:rPr>
                      <w:rFonts w:hint="default" w:ascii="Times New Roman" w:hAnsi="Times New Roman" w:eastAsia="宋体" w:cs="Times New Roman"/>
                      <w:b/>
                      <w:bCs/>
                      <w:color w:val="auto"/>
                      <w:w w:val="100"/>
                      <w:sz w:val="21"/>
                      <w:szCs w:val="21"/>
                      <w:highlight w:val="none"/>
                      <w:lang w:val="en-US" w:eastAsia="zh-CN"/>
                    </w:rPr>
                    <w:t>限值</w:t>
                  </w:r>
                  <w:r>
                    <w:rPr>
                      <w:rFonts w:hint="default" w:ascii="Times New Roman" w:hAnsi="Times New Roman" w:eastAsia="宋体" w:cs="Times New Roman"/>
                      <w:b/>
                      <w:bCs/>
                      <w:color w:val="auto"/>
                      <w:w w:val="100"/>
                      <w:sz w:val="21"/>
                      <w:szCs w:val="21"/>
                      <w:highlight w:val="none"/>
                    </w:rPr>
                    <w:t>（kg/h）</w:t>
                  </w:r>
                </w:p>
              </w:tc>
              <w:tc>
                <w:tcPr>
                  <w:tcW w:w="1300" w:type="pct"/>
                  <w:vMerge w:val="continue"/>
                  <w:noWrap w:val="0"/>
                  <w:vAlign w:val="center"/>
                </w:tcPr>
                <w:p w14:paraId="0444AA3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p>
              </w:tc>
            </w:tr>
            <w:tr w14:paraId="1CFB1CB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shd w:val="clear" w:color="auto" w:fill="auto"/>
                  <w:noWrap w:val="0"/>
                  <w:vAlign w:val="center"/>
                </w:tcPr>
                <w:p w14:paraId="6ACB1947">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颗粒物</w:t>
                  </w:r>
                </w:p>
              </w:tc>
              <w:tc>
                <w:tcPr>
                  <w:tcW w:w="1139" w:type="pct"/>
                  <w:shd w:val="clear" w:color="auto" w:fill="auto"/>
                  <w:noWrap w:val="0"/>
                  <w:vAlign w:val="center"/>
                </w:tcPr>
                <w:p w14:paraId="63122DB6">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541" w:type="pct"/>
                  <w:shd w:val="clear" w:color="auto" w:fill="auto"/>
                  <w:noWrap w:val="0"/>
                  <w:vAlign w:val="center"/>
                </w:tcPr>
                <w:p w14:paraId="10A57790">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20</w:t>
                  </w:r>
                </w:p>
              </w:tc>
              <w:tc>
                <w:tcPr>
                  <w:tcW w:w="555" w:type="pct"/>
                  <w:shd w:val="clear" w:color="auto" w:fill="auto"/>
                  <w:noWrap w:val="0"/>
                  <w:vAlign w:val="center"/>
                </w:tcPr>
                <w:p w14:paraId="6BCBC652">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ascii="Times New Roman" w:hAnsi="Times New Roman" w:eastAsia="宋体" w:cs="Times New Roman"/>
                      <w:color w:val="auto"/>
                      <w:w w:val="100"/>
                      <w:sz w:val="21"/>
                      <w:szCs w:val="21"/>
                      <w:lang w:val="en-US" w:eastAsia="zh-CN"/>
                    </w:rPr>
                  </w:pPr>
                  <w:r>
                    <w:rPr>
                      <w:rFonts w:hint="eastAsia" w:ascii="Times New Roman" w:hAnsi="Times New Roman" w:cs="Times New Roman"/>
                      <w:color w:val="auto"/>
                      <w:w w:val="100"/>
                      <w:sz w:val="21"/>
                      <w:szCs w:val="21"/>
                      <w:lang w:val="en-US" w:eastAsia="zh-CN"/>
                    </w:rPr>
                    <w:t>15</w:t>
                  </w:r>
                </w:p>
              </w:tc>
              <w:tc>
                <w:tcPr>
                  <w:tcW w:w="478" w:type="pct"/>
                  <w:noWrap w:val="0"/>
                  <w:vAlign w:val="center"/>
                </w:tcPr>
                <w:p w14:paraId="2B85F7D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1</w:t>
                  </w:r>
                </w:p>
              </w:tc>
              <w:tc>
                <w:tcPr>
                  <w:tcW w:w="1300" w:type="pct"/>
                  <w:noWrap w:val="0"/>
                  <w:vAlign w:val="center"/>
                </w:tcPr>
                <w:p w14:paraId="1ECDAA9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692ABA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shd w:val="clear" w:color="auto" w:fill="auto"/>
                  <w:noWrap w:val="0"/>
                  <w:vAlign w:val="center"/>
                </w:tcPr>
                <w:p w14:paraId="544BF200">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eastAsia"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颗粒物</w:t>
                  </w:r>
                </w:p>
              </w:tc>
              <w:tc>
                <w:tcPr>
                  <w:tcW w:w="1139" w:type="pct"/>
                  <w:shd w:val="clear" w:color="auto" w:fill="auto"/>
                  <w:noWrap w:val="0"/>
                  <w:vAlign w:val="center"/>
                </w:tcPr>
                <w:p w14:paraId="26D1E91C">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eastAsia" w:cs="Times New Roman"/>
                      <w:color w:val="auto"/>
                      <w:w w:val="100"/>
                      <w:sz w:val="21"/>
                      <w:szCs w:val="21"/>
                      <w:lang w:val="en-US" w:eastAsia="zh-CN" w:bidi="ar-SA"/>
                    </w:rPr>
                  </w:pPr>
                  <w:r>
                    <w:rPr>
                      <w:rFonts w:hint="eastAsia" w:cs="Times New Roman"/>
                      <w:color w:val="auto"/>
                      <w:w w:val="100"/>
                      <w:sz w:val="21"/>
                      <w:szCs w:val="21"/>
                      <w:lang w:val="en-US" w:eastAsia="zh-CN" w:bidi="ar-SA"/>
                    </w:rPr>
                    <w:t>轮胎企业及其他制品企业炼胶装置</w:t>
                  </w:r>
                </w:p>
              </w:tc>
              <w:tc>
                <w:tcPr>
                  <w:tcW w:w="541" w:type="pct"/>
                  <w:shd w:val="clear" w:color="auto" w:fill="auto"/>
                  <w:noWrap w:val="0"/>
                  <w:vAlign w:val="center"/>
                </w:tcPr>
                <w:p w14:paraId="3FAE4AF3">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eastAsia"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bidi="ar-SA"/>
                    </w:rPr>
                    <w:t>12</w:t>
                  </w:r>
                </w:p>
              </w:tc>
              <w:tc>
                <w:tcPr>
                  <w:tcW w:w="555" w:type="pct"/>
                  <w:shd w:val="clear" w:color="auto" w:fill="auto"/>
                  <w:noWrap w:val="0"/>
                  <w:vAlign w:val="center"/>
                </w:tcPr>
                <w:p w14:paraId="1664A0F4">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rPr>
                    <w:t>15</w:t>
                  </w:r>
                </w:p>
              </w:tc>
              <w:tc>
                <w:tcPr>
                  <w:tcW w:w="478" w:type="pct"/>
                  <w:noWrap w:val="0"/>
                  <w:vAlign w:val="center"/>
                </w:tcPr>
                <w:p w14:paraId="208711E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1300" w:type="pct"/>
                  <w:vMerge w:val="restart"/>
                  <w:noWrap w:val="0"/>
                  <w:vAlign w:val="center"/>
                </w:tcPr>
                <w:p w14:paraId="42A4BD75">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《橡胶制品工业污染物排放标准》（GB27632-2011）</w:t>
                  </w:r>
                </w:p>
              </w:tc>
            </w:tr>
            <w:tr w14:paraId="14325E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noWrap w:val="0"/>
                  <w:vAlign w:val="center"/>
                </w:tcPr>
                <w:p w14:paraId="703F615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甲苯及二甲苯合计</w:t>
                  </w:r>
                </w:p>
              </w:tc>
              <w:tc>
                <w:tcPr>
                  <w:tcW w:w="1139" w:type="pct"/>
                  <w:vMerge w:val="restart"/>
                  <w:noWrap w:val="0"/>
                  <w:vAlign w:val="center"/>
                </w:tcPr>
                <w:p w14:paraId="49290F7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轮胎企业及其他制品企业胶浆制备、浸浆、胶浆喷涂和涂胶装置</w:t>
                  </w:r>
                </w:p>
              </w:tc>
              <w:tc>
                <w:tcPr>
                  <w:tcW w:w="541" w:type="pct"/>
                  <w:noWrap w:val="0"/>
                  <w:vAlign w:val="center"/>
                </w:tcPr>
                <w:p w14:paraId="33B9B91A">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15</w:t>
                  </w:r>
                </w:p>
              </w:tc>
              <w:tc>
                <w:tcPr>
                  <w:tcW w:w="555" w:type="pct"/>
                  <w:noWrap w:val="0"/>
                  <w:vAlign w:val="center"/>
                </w:tcPr>
                <w:p w14:paraId="432A0B2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15</w:t>
                  </w:r>
                </w:p>
              </w:tc>
              <w:tc>
                <w:tcPr>
                  <w:tcW w:w="478" w:type="pct"/>
                  <w:noWrap w:val="0"/>
                  <w:vAlign w:val="center"/>
                </w:tcPr>
                <w:p w14:paraId="630BD805">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1300" w:type="pct"/>
                  <w:vMerge w:val="continue"/>
                  <w:noWrap w:val="0"/>
                  <w:vAlign w:val="center"/>
                </w:tcPr>
                <w:p w14:paraId="7143AAE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r w14:paraId="76986A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vMerge w:val="restart"/>
                  <w:shd w:val="clear" w:color="auto" w:fill="auto"/>
                  <w:noWrap w:val="0"/>
                  <w:vAlign w:val="center"/>
                </w:tcPr>
                <w:p w14:paraId="796262EE">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rPr>
                    <w:t>挥发性有机物</w:t>
                  </w:r>
                </w:p>
              </w:tc>
              <w:tc>
                <w:tcPr>
                  <w:tcW w:w="1139" w:type="pct"/>
                  <w:vMerge w:val="continue"/>
                  <w:shd w:val="clear" w:color="auto" w:fill="auto"/>
                  <w:noWrap w:val="0"/>
                  <w:vAlign w:val="center"/>
                </w:tcPr>
                <w:p w14:paraId="10BBE8A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cs="Times New Roman"/>
                      <w:color w:val="auto"/>
                      <w:w w:val="100"/>
                      <w:sz w:val="21"/>
                      <w:szCs w:val="21"/>
                      <w:highlight w:val="none"/>
                      <w:lang w:val="en-US" w:eastAsia="zh-CN"/>
                    </w:rPr>
                  </w:pPr>
                </w:p>
              </w:tc>
              <w:tc>
                <w:tcPr>
                  <w:tcW w:w="541" w:type="pct"/>
                  <w:shd w:val="clear" w:color="auto" w:fill="auto"/>
                  <w:noWrap w:val="0"/>
                  <w:vAlign w:val="center"/>
                </w:tcPr>
                <w:p w14:paraId="1D1B6AF0">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eastAsia" w:cs="Times New Roman"/>
                      <w:color w:val="auto"/>
                      <w:w w:val="100"/>
                      <w:sz w:val="21"/>
                      <w:szCs w:val="21"/>
                      <w:highlight w:val="none"/>
                      <w:lang w:val="en-US" w:eastAsia="zh-CN"/>
                    </w:rPr>
                    <w:t>100</w:t>
                  </w:r>
                </w:p>
              </w:tc>
              <w:tc>
                <w:tcPr>
                  <w:tcW w:w="555" w:type="pct"/>
                  <w:shd w:val="clear" w:color="auto" w:fill="auto"/>
                  <w:noWrap w:val="0"/>
                  <w:vAlign w:val="center"/>
                </w:tcPr>
                <w:p w14:paraId="775CF72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15</w:t>
                  </w:r>
                </w:p>
              </w:tc>
              <w:tc>
                <w:tcPr>
                  <w:tcW w:w="478" w:type="pct"/>
                  <w:noWrap w:val="0"/>
                  <w:vAlign w:val="center"/>
                </w:tcPr>
                <w:p w14:paraId="053CA43B">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ascii="Times New Roman" w:hAnsi="Times New Roman" w:eastAsia="宋体"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1300" w:type="pct"/>
                  <w:vMerge w:val="continue"/>
                  <w:noWrap w:val="0"/>
                  <w:vAlign w:val="center"/>
                </w:tcPr>
                <w:p w14:paraId="4FEADD4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lang w:val="en-US" w:eastAsia="zh-CN"/>
                    </w:rPr>
                  </w:pPr>
                </w:p>
              </w:tc>
            </w:tr>
            <w:tr w14:paraId="2646F7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vMerge w:val="continue"/>
                  <w:shd w:val="clear" w:color="auto" w:fill="auto"/>
                  <w:noWrap w:val="0"/>
                  <w:vAlign w:val="center"/>
                </w:tcPr>
                <w:p w14:paraId="797F5FA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cs="Times New Roman"/>
                      <w:color w:val="auto"/>
                      <w:w w:val="100"/>
                      <w:sz w:val="21"/>
                      <w:szCs w:val="21"/>
                      <w:highlight w:val="none"/>
                      <w:lang w:val="en-US" w:eastAsia="zh-CN"/>
                    </w:rPr>
                  </w:pPr>
                </w:p>
              </w:tc>
              <w:tc>
                <w:tcPr>
                  <w:tcW w:w="1139" w:type="pct"/>
                  <w:shd w:val="clear" w:color="auto" w:fill="auto"/>
                  <w:noWrap w:val="0"/>
                  <w:vAlign w:val="center"/>
                </w:tcPr>
                <w:p w14:paraId="4845D24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轮胎企业及其他制品企业炼胶、硫化装置</w:t>
                  </w:r>
                </w:p>
              </w:tc>
              <w:tc>
                <w:tcPr>
                  <w:tcW w:w="541" w:type="pct"/>
                  <w:shd w:val="clear" w:color="auto" w:fill="auto"/>
                  <w:noWrap w:val="0"/>
                  <w:vAlign w:val="center"/>
                </w:tcPr>
                <w:p w14:paraId="67C05EB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10</w:t>
                  </w:r>
                </w:p>
              </w:tc>
              <w:tc>
                <w:tcPr>
                  <w:tcW w:w="555" w:type="pct"/>
                  <w:shd w:val="clear" w:color="auto" w:fill="auto"/>
                  <w:noWrap w:val="0"/>
                  <w:vAlign w:val="center"/>
                </w:tcPr>
                <w:p w14:paraId="5DC0182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15</w:t>
                  </w:r>
                </w:p>
              </w:tc>
              <w:tc>
                <w:tcPr>
                  <w:tcW w:w="478" w:type="pct"/>
                  <w:noWrap w:val="0"/>
                  <w:vAlign w:val="center"/>
                </w:tcPr>
                <w:p w14:paraId="680E4035">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eastAsia" w:cs="Times New Roman"/>
                      <w:color w:val="auto"/>
                      <w:w w:val="100"/>
                      <w:sz w:val="21"/>
                      <w:szCs w:val="21"/>
                      <w:lang w:val="en-US" w:eastAsia="zh-CN" w:bidi="ar-SA"/>
                    </w:rPr>
                  </w:pPr>
                  <w:r>
                    <w:rPr>
                      <w:rFonts w:hint="eastAsia" w:cs="Times New Roman"/>
                      <w:color w:val="auto"/>
                      <w:w w:val="100"/>
                      <w:sz w:val="21"/>
                      <w:szCs w:val="21"/>
                      <w:lang w:val="en-US" w:eastAsia="zh-CN" w:bidi="ar-SA"/>
                    </w:rPr>
                    <w:t>/</w:t>
                  </w:r>
                </w:p>
              </w:tc>
              <w:tc>
                <w:tcPr>
                  <w:tcW w:w="1300" w:type="pct"/>
                  <w:vMerge w:val="continue"/>
                  <w:noWrap w:val="0"/>
                  <w:vAlign w:val="center"/>
                </w:tcPr>
                <w:p w14:paraId="46A6DCA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lang w:val="en-US" w:eastAsia="zh-CN"/>
                    </w:rPr>
                  </w:pPr>
                </w:p>
              </w:tc>
            </w:tr>
            <w:tr w14:paraId="73F6036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shd w:val="clear" w:color="auto" w:fill="auto"/>
                  <w:noWrap w:val="0"/>
                  <w:vAlign w:val="center"/>
                </w:tcPr>
                <w:p w14:paraId="0525EBF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硫化氢</w:t>
                  </w:r>
                </w:p>
              </w:tc>
              <w:tc>
                <w:tcPr>
                  <w:tcW w:w="1139" w:type="pct"/>
                  <w:shd w:val="clear" w:color="auto" w:fill="auto"/>
                  <w:noWrap w:val="0"/>
                  <w:vAlign w:val="center"/>
                </w:tcPr>
                <w:p w14:paraId="4085957E">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541" w:type="pct"/>
                  <w:shd w:val="clear" w:color="auto" w:fill="auto"/>
                  <w:noWrap w:val="0"/>
                  <w:vAlign w:val="center"/>
                </w:tcPr>
                <w:p w14:paraId="63DB42A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555" w:type="pct"/>
                  <w:shd w:val="clear" w:color="auto" w:fill="auto"/>
                  <w:noWrap w:val="0"/>
                  <w:vAlign w:val="center"/>
                </w:tcPr>
                <w:p w14:paraId="4C5D73E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15</w:t>
                  </w:r>
                </w:p>
              </w:tc>
              <w:tc>
                <w:tcPr>
                  <w:tcW w:w="478" w:type="pct"/>
                  <w:noWrap w:val="0"/>
                  <w:vAlign w:val="center"/>
                </w:tcPr>
                <w:p w14:paraId="78B2C34A">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0.33</w:t>
                  </w:r>
                </w:p>
              </w:tc>
              <w:tc>
                <w:tcPr>
                  <w:tcW w:w="1300" w:type="pct"/>
                  <w:vMerge w:val="restart"/>
                  <w:noWrap w:val="0"/>
                  <w:vAlign w:val="center"/>
                </w:tcPr>
                <w:p w14:paraId="47A7357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lang w:val="en-US" w:eastAsia="zh-CN"/>
                    </w:rPr>
                  </w:pPr>
                  <w:r>
                    <w:rPr>
                      <w:rFonts w:hint="default" w:ascii="Times New Roman" w:hAnsi="Times New Roman" w:eastAsia="宋体" w:cs="Times New Roman"/>
                      <w:color w:val="auto"/>
                      <w:sz w:val="21"/>
                      <w:szCs w:val="21"/>
                    </w:rPr>
                    <w:t>《恶臭污染物排放标准》（GB14554-93）</w:t>
                  </w:r>
                </w:p>
              </w:tc>
            </w:tr>
            <w:tr w14:paraId="5FED34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983" w:type="pct"/>
                  <w:shd w:val="clear" w:color="auto" w:fill="auto"/>
                  <w:noWrap w:val="0"/>
                  <w:vAlign w:val="center"/>
                </w:tcPr>
                <w:p w14:paraId="2BDFE52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臭气浓度（无量纲）</w:t>
                  </w:r>
                </w:p>
              </w:tc>
              <w:tc>
                <w:tcPr>
                  <w:tcW w:w="1139" w:type="pct"/>
                  <w:shd w:val="clear" w:color="auto" w:fill="auto"/>
                  <w:noWrap w:val="0"/>
                  <w:vAlign w:val="center"/>
                </w:tcPr>
                <w:p w14:paraId="33D5AD3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541" w:type="pct"/>
                  <w:shd w:val="clear" w:color="auto" w:fill="auto"/>
                  <w:noWrap w:val="0"/>
                  <w:vAlign w:val="center"/>
                </w:tcPr>
                <w:p w14:paraId="6C3B0B90">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w:t>
                  </w:r>
                </w:p>
              </w:tc>
              <w:tc>
                <w:tcPr>
                  <w:tcW w:w="555" w:type="pct"/>
                  <w:shd w:val="clear" w:color="auto" w:fill="auto"/>
                  <w:noWrap w:val="0"/>
                  <w:vAlign w:val="center"/>
                </w:tcPr>
                <w:p w14:paraId="40ECF689">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15</w:t>
                  </w:r>
                </w:p>
              </w:tc>
              <w:tc>
                <w:tcPr>
                  <w:tcW w:w="478" w:type="pct"/>
                  <w:noWrap w:val="0"/>
                  <w:vAlign w:val="center"/>
                </w:tcPr>
                <w:p w14:paraId="1D7C60C2">
                  <w:pPr>
                    <w:keepNext w:val="0"/>
                    <w:keepLines w:val="0"/>
                    <w:pageBreakBefore w:val="0"/>
                    <w:widowControl w:val="0"/>
                    <w:kinsoku/>
                    <w:wordWrap/>
                    <w:overflowPunct/>
                    <w:topLinePunct w:val="0"/>
                    <w:autoSpaceDE/>
                    <w:autoSpaceDN/>
                    <w:bidi w:val="0"/>
                    <w:spacing w:after="0" w:line="360" w:lineRule="exact"/>
                    <w:ind w:firstLine="0" w:firstLineChars="0"/>
                    <w:jc w:val="center"/>
                    <w:textAlignment w:val="auto"/>
                    <w:outlineLvl w:val="9"/>
                    <w:rPr>
                      <w:rFonts w:hint="default" w:cs="Times New Roman"/>
                      <w:color w:val="auto"/>
                      <w:w w:val="100"/>
                      <w:sz w:val="21"/>
                      <w:szCs w:val="21"/>
                      <w:lang w:val="en-US" w:eastAsia="zh-CN" w:bidi="ar-SA"/>
                    </w:rPr>
                  </w:pPr>
                  <w:r>
                    <w:rPr>
                      <w:rFonts w:hint="eastAsia" w:cs="Times New Roman"/>
                      <w:color w:val="auto"/>
                      <w:w w:val="100"/>
                      <w:sz w:val="21"/>
                      <w:szCs w:val="21"/>
                      <w:lang w:val="en-US" w:eastAsia="zh-CN" w:bidi="ar-SA"/>
                    </w:rPr>
                    <w:t>2000</w:t>
                  </w:r>
                </w:p>
              </w:tc>
              <w:tc>
                <w:tcPr>
                  <w:tcW w:w="1300" w:type="pct"/>
                  <w:vMerge w:val="continue"/>
                  <w:noWrap w:val="0"/>
                  <w:vAlign w:val="center"/>
                </w:tcPr>
                <w:p w14:paraId="6D2C855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sz w:val="21"/>
                      <w:szCs w:val="21"/>
                    </w:rPr>
                  </w:pPr>
                </w:p>
              </w:tc>
            </w:tr>
          </w:tbl>
          <w:p w14:paraId="7445DECC">
            <w:pPr>
              <w:pStyle w:val="21"/>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center"/>
              <w:textAlignment w:val="auto"/>
              <w:outlineLvl w:val="9"/>
              <w:rPr>
                <w:rFonts w:hint="eastAsia" w:ascii="Times New Roman" w:hAnsi="Times New Roman" w:eastAsia="宋体" w:cs="Times New Roman"/>
                <w:b/>
                <w:bCs/>
                <w:color w:val="auto"/>
                <w:kern w:val="0"/>
                <w:sz w:val="22"/>
                <w:szCs w:val="22"/>
                <w:lang w:val="en-US" w:eastAsia="zh-CN" w:bidi="ar-SA"/>
              </w:rPr>
            </w:pPr>
            <w:r>
              <w:rPr>
                <w:rFonts w:hint="eastAsia" w:ascii="Times New Roman" w:hAnsi="Times New Roman" w:eastAsia="宋体" w:cs="Times New Roman"/>
                <w:b/>
                <w:bCs/>
                <w:color w:val="auto"/>
                <w:kern w:val="0"/>
                <w:sz w:val="22"/>
                <w:szCs w:val="22"/>
                <w:lang w:val="en-US" w:eastAsia="zh-CN" w:bidi="ar-SA"/>
              </w:rPr>
              <w:t xml:space="preserve">表3.3-2   </w:t>
            </w:r>
            <w:r>
              <w:rPr>
                <w:rFonts w:hint="eastAsia" w:cs="Times New Roman"/>
                <w:b/>
                <w:bCs/>
                <w:color w:val="auto"/>
                <w:kern w:val="0"/>
                <w:sz w:val="22"/>
                <w:szCs w:val="22"/>
                <w:lang w:val="en-US" w:eastAsia="zh-CN" w:bidi="ar-SA"/>
              </w:rPr>
              <w:t>厂界大气污染物排放标准</w:t>
            </w:r>
          </w:p>
          <w:tbl>
            <w:tblPr>
              <w:tblStyle w:val="44"/>
              <w:tblW w:w="497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58"/>
              <w:gridCol w:w="2424"/>
              <w:gridCol w:w="3962"/>
            </w:tblGrid>
            <w:tr w14:paraId="74F3F6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top w:val="single" w:color="auto" w:sz="12" w:space="0"/>
                  </w:tcBorders>
                  <w:vAlign w:val="center"/>
                </w:tcPr>
                <w:p w14:paraId="5FF77C56">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bCs/>
                      <w:color w:val="auto"/>
                      <w:w w:val="100"/>
                      <w:sz w:val="21"/>
                      <w:szCs w:val="21"/>
                      <w:highlight w:val="none"/>
                    </w:rPr>
                    <w:t>污染物</w:t>
                  </w:r>
                  <w:r>
                    <w:rPr>
                      <w:rFonts w:hint="default" w:ascii="Times New Roman" w:hAnsi="Times New Roman" w:eastAsia="宋体" w:cs="Times New Roman"/>
                      <w:b/>
                      <w:bCs/>
                      <w:color w:val="auto"/>
                      <w:w w:val="100"/>
                      <w:sz w:val="21"/>
                      <w:szCs w:val="21"/>
                      <w:highlight w:val="none"/>
                      <w:lang w:eastAsia="zh-CN"/>
                    </w:rPr>
                    <w:t>项目</w:t>
                  </w:r>
                </w:p>
              </w:tc>
              <w:tc>
                <w:tcPr>
                  <w:tcW w:w="1355" w:type="pct"/>
                  <w:tcBorders>
                    <w:top w:val="single" w:color="auto" w:sz="12" w:space="0"/>
                  </w:tcBorders>
                  <w:vAlign w:val="center"/>
                </w:tcPr>
                <w:p w14:paraId="3EB639E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eastAsia" w:ascii="Times New Roman" w:hAnsi="Times New Roman" w:cs="Times New Roman"/>
                      <w:b/>
                      <w:color w:val="auto"/>
                      <w:w w:val="100"/>
                      <w:sz w:val="21"/>
                      <w:szCs w:val="21"/>
                      <w:vertAlign w:val="baseline"/>
                      <w:lang w:val="en-US" w:eastAsia="zh-CN"/>
                    </w:rPr>
                    <w:t>监控浓度</w:t>
                  </w:r>
                  <w:r>
                    <w:rPr>
                      <w:rFonts w:hint="default" w:ascii="Times New Roman" w:hAnsi="Times New Roman" w:eastAsia="宋体" w:cs="Times New Roman"/>
                      <w:b/>
                      <w:color w:val="auto"/>
                      <w:w w:val="100"/>
                      <w:sz w:val="21"/>
                      <w:szCs w:val="21"/>
                      <w:vertAlign w:val="baseline"/>
                      <w:lang w:val="en-US" w:eastAsia="zh-CN"/>
                    </w:rPr>
                    <w:t>限值（mg/m</w:t>
                  </w:r>
                  <w:r>
                    <w:rPr>
                      <w:rFonts w:hint="default" w:ascii="Times New Roman" w:hAnsi="Times New Roman" w:eastAsia="宋体" w:cs="Times New Roman"/>
                      <w:b/>
                      <w:color w:val="auto"/>
                      <w:w w:val="100"/>
                      <w:sz w:val="21"/>
                      <w:szCs w:val="21"/>
                      <w:vertAlign w:val="superscript"/>
                      <w:lang w:val="en-US" w:eastAsia="zh-CN"/>
                    </w:rPr>
                    <w:t>3</w:t>
                  </w:r>
                  <w:r>
                    <w:rPr>
                      <w:rFonts w:hint="default" w:ascii="Times New Roman" w:hAnsi="Times New Roman" w:eastAsia="宋体" w:cs="Times New Roman"/>
                      <w:b/>
                      <w:color w:val="auto"/>
                      <w:w w:val="100"/>
                      <w:sz w:val="21"/>
                      <w:szCs w:val="21"/>
                      <w:vertAlign w:val="baseline"/>
                      <w:lang w:val="en-US" w:eastAsia="zh-CN"/>
                    </w:rPr>
                    <w:t>）</w:t>
                  </w:r>
                </w:p>
              </w:tc>
              <w:tc>
                <w:tcPr>
                  <w:tcW w:w="2214" w:type="pct"/>
                  <w:tcBorders>
                    <w:top w:val="single" w:color="auto" w:sz="12" w:space="0"/>
                    <w:right w:val="nil"/>
                  </w:tcBorders>
                  <w:vAlign w:val="center"/>
                </w:tcPr>
                <w:p w14:paraId="2014B98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标准来源</w:t>
                  </w:r>
                </w:p>
              </w:tc>
            </w:tr>
            <w:tr w14:paraId="30244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tcBorders>
                  <w:vAlign w:val="center"/>
                </w:tcPr>
                <w:p w14:paraId="7A7E1DFE">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颗粒物</w:t>
                  </w:r>
                </w:p>
              </w:tc>
              <w:tc>
                <w:tcPr>
                  <w:tcW w:w="1355" w:type="pct"/>
                  <w:vAlign w:val="center"/>
                </w:tcPr>
                <w:p w14:paraId="1953D22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1.0</w:t>
                  </w:r>
                </w:p>
              </w:tc>
              <w:tc>
                <w:tcPr>
                  <w:tcW w:w="2214" w:type="pct"/>
                  <w:vMerge w:val="restart"/>
                  <w:tcBorders>
                    <w:right w:val="nil"/>
                  </w:tcBorders>
                  <w:vAlign w:val="center"/>
                </w:tcPr>
                <w:p w14:paraId="34AEA5FB">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《橡胶制品工业污染物排放标准》（GB27632-2011）</w:t>
                  </w:r>
                </w:p>
              </w:tc>
            </w:tr>
            <w:tr w14:paraId="711980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tcBorders>
                  <w:vAlign w:val="center"/>
                </w:tcPr>
                <w:p w14:paraId="11CF296B">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二甲苯</w:t>
                  </w:r>
                </w:p>
              </w:tc>
              <w:tc>
                <w:tcPr>
                  <w:tcW w:w="1355" w:type="pct"/>
                  <w:vAlign w:val="center"/>
                </w:tcPr>
                <w:p w14:paraId="0D52670A">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1.2</w:t>
                  </w:r>
                </w:p>
              </w:tc>
              <w:tc>
                <w:tcPr>
                  <w:tcW w:w="2214" w:type="pct"/>
                  <w:vMerge w:val="continue"/>
                  <w:tcBorders>
                    <w:right w:val="nil"/>
                  </w:tcBorders>
                  <w:vAlign w:val="center"/>
                </w:tcPr>
                <w:p w14:paraId="2EA49B39">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r w14:paraId="38830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tcBorders>
                  <w:vAlign w:val="center"/>
                </w:tcPr>
                <w:p w14:paraId="53BA638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甲苯</w:t>
                  </w:r>
                </w:p>
              </w:tc>
              <w:tc>
                <w:tcPr>
                  <w:tcW w:w="1355" w:type="pct"/>
                  <w:vAlign w:val="center"/>
                </w:tcPr>
                <w:p w14:paraId="34DC20D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cs="Times New Roman"/>
                      <w:color w:val="auto"/>
                      <w:w w:val="100"/>
                      <w:sz w:val="21"/>
                      <w:szCs w:val="21"/>
                      <w:highlight w:val="none"/>
                      <w:lang w:val="en-US" w:eastAsia="zh-CN"/>
                    </w:rPr>
                  </w:pPr>
                  <w:r>
                    <w:rPr>
                      <w:rFonts w:hint="eastAsia" w:cs="Times New Roman"/>
                      <w:color w:val="auto"/>
                      <w:w w:val="100"/>
                      <w:sz w:val="21"/>
                      <w:szCs w:val="21"/>
                      <w:highlight w:val="none"/>
                      <w:lang w:val="en-US" w:eastAsia="zh-CN"/>
                    </w:rPr>
                    <w:t>2.4</w:t>
                  </w:r>
                </w:p>
              </w:tc>
              <w:tc>
                <w:tcPr>
                  <w:tcW w:w="2214" w:type="pct"/>
                  <w:vMerge w:val="continue"/>
                  <w:tcBorders>
                    <w:right w:val="nil"/>
                  </w:tcBorders>
                  <w:vAlign w:val="center"/>
                </w:tcPr>
                <w:p w14:paraId="583671BE">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r w14:paraId="585A8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tcBorders>
                  <w:vAlign w:val="center"/>
                </w:tcPr>
                <w:p w14:paraId="4DDDC316">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非甲烷总烃</w:t>
                  </w:r>
                </w:p>
              </w:tc>
              <w:tc>
                <w:tcPr>
                  <w:tcW w:w="1355" w:type="pct"/>
                  <w:vAlign w:val="center"/>
                </w:tcPr>
                <w:p w14:paraId="44DBFAE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4.0</w:t>
                  </w:r>
                </w:p>
              </w:tc>
              <w:tc>
                <w:tcPr>
                  <w:tcW w:w="2214" w:type="pct"/>
                  <w:vMerge w:val="continue"/>
                  <w:tcBorders>
                    <w:right w:val="nil"/>
                  </w:tcBorders>
                  <w:vAlign w:val="center"/>
                </w:tcPr>
                <w:p w14:paraId="0247ACB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r w14:paraId="57B72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tcBorders>
                  <w:vAlign w:val="center"/>
                </w:tcPr>
                <w:p w14:paraId="12EB82A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硫化氢</w:t>
                  </w:r>
                </w:p>
              </w:tc>
              <w:tc>
                <w:tcPr>
                  <w:tcW w:w="1355" w:type="pct"/>
                  <w:vAlign w:val="center"/>
                </w:tcPr>
                <w:p w14:paraId="22AAE3C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0.06</w:t>
                  </w:r>
                </w:p>
              </w:tc>
              <w:tc>
                <w:tcPr>
                  <w:tcW w:w="2214" w:type="pct"/>
                  <w:vMerge w:val="restart"/>
                  <w:tcBorders>
                    <w:right w:val="nil"/>
                  </w:tcBorders>
                  <w:vAlign w:val="center"/>
                </w:tcPr>
                <w:p w14:paraId="2257C86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《恶臭污染物排放标准》（GB14554-93）</w:t>
                  </w:r>
                </w:p>
              </w:tc>
            </w:tr>
            <w:tr w14:paraId="17BF7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30" w:type="pct"/>
                  <w:tcBorders>
                    <w:left w:val="nil"/>
                    <w:bottom w:val="single" w:color="auto" w:sz="12" w:space="0"/>
                  </w:tcBorders>
                  <w:vAlign w:val="center"/>
                </w:tcPr>
                <w:p w14:paraId="61DADDA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ascii="Times New Roman" w:hAnsi="Times New Roman"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臭气浓度（无量纲）</w:t>
                  </w:r>
                </w:p>
              </w:tc>
              <w:tc>
                <w:tcPr>
                  <w:tcW w:w="1355" w:type="pct"/>
                  <w:tcBorders>
                    <w:bottom w:val="single" w:color="auto" w:sz="12" w:space="0"/>
                  </w:tcBorders>
                  <w:vAlign w:val="center"/>
                </w:tcPr>
                <w:p w14:paraId="05BCBD50">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cs="Times New Roman"/>
                      <w:color w:val="auto"/>
                      <w:w w:val="100"/>
                      <w:sz w:val="21"/>
                      <w:szCs w:val="21"/>
                      <w:highlight w:val="none"/>
                      <w:lang w:val="en-US" w:eastAsia="zh-CN"/>
                    </w:rPr>
                  </w:pPr>
                  <w:r>
                    <w:rPr>
                      <w:rFonts w:hint="eastAsia" w:ascii="Times New Roman" w:hAnsi="Times New Roman" w:cs="Times New Roman"/>
                      <w:color w:val="auto"/>
                      <w:w w:val="100"/>
                      <w:sz w:val="21"/>
                      <w:szCs w:val="21"/>
                      <w:highlight w:val="none"/>
                      <w:lang w:val="en-US" w:eastAsia="zh-CN"/>
                    </w:rPr>
                    <w:t>20</w:t>
                  </w:r>
                </w:p>
              </w:tc>
              <w:tc>
                <w:tcPr>
                  <w:tcW w:w="2214" w:type="pct"/>
                  <w:vMerge w:val="continue"/>
                  <w:tcBorders>
                    <w:bottom w:val="single" w:color="auto" w:sz="12" w:space="0"/>
                    <w:right w:val="nil"/>
                  </w:tcBorders>
                  <w:vAlign w:val="center"/>
                </w:tcPr>
                <w:p w14:paraId="504B6C1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bl>
          <w:p w14:paraId="3D0E17B1">
            <w:pPr>
              <w:pStyle w:val="21"/>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center"/>
              <w:textAlignment w:val="auto"/>
              <w:outlineLvl w:val="9"/>
              <w:rPr>
                <w:rFonts w:hint="default" w:ascii="Times New Roman" w:hAnsi="Times New Roman" w:eastAsia="宋体" w:cs="Times New Roman"/>
                <w:b/>
                <w:color w:val="auto"/>
                <w:w w:val="100"/>
                <w:kern w:val="0"/>
                <w:sz w:val="22"/>
                <w:szCs w:val="22"/>
                <w:lang w:val="en-US" w:eastAsia="zh-CN" w:bidi="ar-SA"/>
              </w:rPr>
            </w:pPr>
            <w:r>
              <w:rPr>
                <w:rFonts w:hint="eastAsia" w:cs="Times New Roman"/>
                <w:b/>
                <w:bCs/>
                <w:color w:val="auto"/>
                <w:kern w:val="0"/>
                <w:sz w:val="22"/>
                <w:szCs w:val="22"/>
                <w:lang w:val="en-US" w:eastAsia="zh-CN" w:bidi="ar-SA"/>
              </w:rPr>
              <w:t xml:space="preserve">表3.3-3  </w:t>
            </w:r>
            <w:r>
              <w:rPr>
                <w:rFonts w:hint="eastAsia" w:ascii="Times New Roman" w:hAnsi="Times New Roman" w:eastAsia="宋体" w:cs="Times New Roman"/>
                <w:b/>
                <w:bCs/>
                <w:color w:val="auto"/>
                <w:kern w:val="0"/>
                <w:sz w:val="22"/>
                <w:szCs w:val="22"/>
                <w:lang w:val="en-US" w:eastAsia="zh-CN" w:bidi="ar-SA"/>
              </w:rPr>
              <w:t>厂区内VOCs无组织排放限值表</w:t>
            </w:r>
          </w:p>
          <w:tbl>
            <w:tblPr>
              <w:tblStyle w:val="44"/>
              <w:tblW w:w="497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054"/>
              <w:gridCol w:w="891"/>
              <w:gridCol w:w="794"/>
              <w:gridCol w:w="2437"/>
              <w:gridCol w:w="1210"/>
              <w:gridCol w:w="2560"/>
            </w:tblGrid>
            <w:tr w14:paraId="6D9A7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89" w:type="pct"/>
                  <w:tcBorders>
                    <w:top w:val="single" w:color="auto" w:sz="12" w:space="0"/>
                  </w:tcBorders>
                  <w:vAlign w:val="center"/>
                </w:tcPr>
                <w:p w14:paraId="5844276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bCs/>
                      <w:color w:val="auto"/>
                      <w:w w:val="100"/>
                      <w:sz w:val="21"/>
                      <w:szCs w:val="21"/>
                      <w:highlight w:val="none"/>
                    </w:rPr>
                  </w:pPr>
                  <w:r>
                    <w:rPr>
                      <w:rFonts w:hint="default" w:ascii="Times New Roman" w:hAnsi="Times New Roman" w:eastAsia="宋体" w:cs="Times New Roman"/>
                      <w:b/>
                      <w:bCs/>
                      <w:color w:val="auto"/>
                      <w:w w:val="100"/>
                      <w:sz w:val="21"/>
                      <w:szCs w:val="21"/>
                      <w:highlight w:val="none"/>
                    </w:rPr>
                    <w:t>污染物</w:t>
                  </w:r>
                </w:p>
                <w:p w14:paraId="045ABF9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bCs/>
                      <w:color w:val="auto"/>
                      <w:w w:val="100"/>
                      <w:sz w:val="21"/>
                      <w:szCs w:val="21"/>
                      <w:highlight w:val="none"/>
                      <w:lang w:eastAsia="zh-CN"/>
                    </w:rPr>
                    <w:t>项目</w:t>
                  </w:r>
                </w:p>
              </w:tc>
              <w:tc>
                <w:tcPr>
                  <w:tcW w:w="498" w:type="pct"/>
                  <w:tcBorders>
                    <w:top w:val="single" w:color="auto" w:sz="12" w:space="0"/>
                  </w:tcBorders>
                  <w:vAlign w:val="center"/>
                </w:tcPr>
                <w:p w14:paraId="31066F65">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排放限值</w:t>
                  </w:r>
                </w:p>
              </w:tc>
              <w:tc>
                <w:tcPr>
                  <w:tcW w:w="444" w:type="pct"/>
                  <w:tcBorders>
                    <w:top w:val="single" w:color="auto" w:sz="12" w:space="0"/>
                  </w:tcBorders>
                  <w:vAlign w:val="center"/>
                </w:tcPr>
                <w:p w14:paraId="0C51A77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特别排放限值</w:t>
                  </w:r>
                </w:p>
              </w:tc>
              <w:tc>
                <w:tcPr>
                  <w:tcW w:w="1361" w:type="pct"/>
                  <w:tcBorders>
                    <w:top w:val="single" w:color="auto" w:sz="12" w:space="0"/>
                  </w:tcBorders>
                  <w:vAlign w:val="center"/>
                </w:tcPr>
                <w:p w14:paraId="42F3690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限值含义</w:t>
                  </w:r>
                </w:p>
              </w:tc>
              <w:tc>
                <w:tcPr>
                  <w:tcW w:w="676" w:type="pct"/>
                  <w:tcBorders>
                    <w:top w:val="single" w:color="auto" w:sz="12" w:space="0"/>
                    <w:right w:val="nil"/>
                  </w:tcBorders>
                  <w:vAlign w:val="center"/>
                </w:tcPr>
                <w:p w14:paraId="423550B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无组织排放监控位置</w:t>
                  </w:r>
                </w:p>
              </w:tc>
              <w:tc>
                <w:tcPr>
                  <w:tcW w:w="1430" w:type="pct"/>
                  <w:tcBorders>
                    <w:top w:val="single" w:color="auto" w:sz="12" w:space="0"/>
                    <w:right w:val="nil"/>
                  </w:tcBorders>
                  <w:vAlign w:val="center"/>
                </w:tcPr>
                <w:p w14:paraId="4E2E6E85">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sz w:val="21"/>
                      <w:szCs w:val="21"/>
                      <w:vertAlign w:val="baseline"/>
                      <w:lang w:val="en-US" w:eastAsia="zh-CN"/>
                    </w:rPr>
                  </w:pPr>
                  <w:r>
                    <w:rPr>
                      <w:rFonts w:hint="default" w:ascii="Times New Roman" w:hAnsi="Times New Roman" w:eastAsia="宋体" w:cs="Times New Roman"/>
                      <w:b/>
                      <w:color w:val="auto"/>
                      <w:w w:val="100"/>
                      <w:sz w:val="21"/>
                      <w:szCs w:val="21"/>
                      <w:vertAlign w:val="baseline"/>
                      <w:lang w:val="en-US" w:eastAsia="zh-CN"/>
                    </w:rPr>
                    <w:t>标准来源</w:t>
                  </w:r>
                </w:p>
              </w:tc>
            </w:tr>
            <w:tr w14:paraId="77DC9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89" w:type="pct"/>
                  <w:vMerge w:val="restart"/>
                  <w:tcBorders>
                    <w:left w:val="nil"/>
                  </w:tcBorders>
                  <w:vAlign w:val="center"/>
                </w:tcPr>
                <w:p w14:paraId="369D526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NMHC</w:t>
                  </w:r>
                </w:p>
              </w:tc>
              <w:tc>
                <w:tcPr>
                  <w:tcW w:w="498" w:type="pct"/>
                  <w:vAlign w:val="center"/>
                </w:tcPr>
                <w:p w14:paraId="55F700C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10</w:t>
                  </w:r>
                </w:p>
              </w:tc>
              <w:tc>
                <w:tcPr>
                  <w:tcW w:w="444" w:type="pct"/>
                  <w:vAlign w:val="center"/>
                </w:tcPr>
                <w:p w14:paraId="0C6DA62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6</w:t>
                  </w:r>
                </w:p>
              </w:tc>
              <w:tc>
                <w:tcPr>
                  <w:tcW w:w="1361" w:type="pct"/>
                  <w:vAlign w:val="center"/>
                </w:tcPr>
                <w:p w14:paraId="494C028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监控点处1h平均浓度值</w:t>
                  </w:r>
                </w:p>
              </w:tc>
              <w:tc>
                <w:tcPr>
                  <w:tcW w:w="676" w:type="pct"/>
                  <w:vMerge w:val="restart"/>
                  <w:tcBorders>
                    <w:right w:val="nil"/>
                  </w:tcBorders>
                  <w:vAlign w:val="center"/>
                </w:tcPr>
                <w:p w14:paraId="4F61919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在厂房外设置监控点</w:t>
                  </w:r>
                </w:p>
              </w:tc>
              <w:tc>
                <w:tcPr>
                  <w:tcW w:w="1430" w:type="pct"/>
                  <w:vMerge w:val="restart"/>
                  <w:tcBorders>
                    <w:right w:val="nil"/>
                  </w:tcBorders>
                  <w:vAlign w:val="center"/>
                </w:tcPr>
                <w:p w14:paraId="34E8FB0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77156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89" w:type="pct"/>
                  <w:vMerge w:val="continue"/>
                  <w:tcBorders>
                    <w:left w:val="nil"/>
                    <w:bottom w:val="single" w:color="auto" w:sz="12" w:space="0"/>
                  </w:tcBorders>
                  <w:vAlign w:val="center"/>
                </w:tcPr>
                <w:p w14:paraId="5FCED2C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c>
                <w:tcPr>
                  <w:tcW w:w="498" w:type="pct"/>
                  <w:tcBorders>
                    <w:bottom w:val="single" w:color="auto" w:sz="12" w:space="0"/>
                  </w:tcBorders>
                  <w:vAlign w:val="center"/>
                </w:tcPr>
                <w:p w14:paraId="4CF0567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30</w:t>
                  </w:r>
                </w:p>
              </w:tc>
              <w:tc>
                <w:tcPr>
                  <w:tcW w:w="444" w:type="pct"/>
                  <w:tcBorders>
                    <w:bottom w:val="single" w:color="auto" w:sz="12" w:space="0"/>
                  </w:tcBorders>
                  <w:vAlign w:val="center"/>
                </w:tcPr>
                <w:p w14:paraId="0FE3D93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20</w:t>
                  </w:r>
                </w:p>
              </w:tc>
              <w:tc>
                <w:tcPr>
                  <w:tcW w:w="1361" w:type="pct"/>
                  <w:tcBorders>
                    <w:bottom w:val="single" w:color="auto" w:sz="12" w:space="0"/>
                  </w:tcBorders>
                  <w:vAlign w:val="center"/>
                </w:tcPr>
                <w:p w14:paraId="36A572EA">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r>
                    <w:rPr>
                      <w:rFonts w:hint="default" w:ascii="Times New Roman" w:hAnsi="Times New Roman" w:eastAsia="宋体" w:cs="Times New Roman"/>
                      <w:color w:val="auto"/>
                      <w:w w:val="100"/>
                      <w:sz w:val="21"/>
                      <w:szCs w:val="21"/>
                      <w:highlight w:val="none"/>
                      <w:lang w:val="en-US" w:eastAsia="zh-CN"/>
                    </w:rPr>
                    <w:t>监控点处任意一次浓度值</w:t>
                  </w:r>
                </w:p>
              </w:tc>
              <w:tc>
                <w:tcPr>
                  <w:tcW w:w="676" w:type="pct"/>
                  <w:vMerge w:val="continue"/>
                  <w:tcBorders>
                    <w:bottom w:val="single" w:color="auto" w:sz="12" w:space="0"/>
                    <w:right w:val="nil"/>
                  </w:tcBorders>
                  <w:vAlign w:val="center"/>
                </w:tcPr>
                <w:p w14:paraId="4D84C7C4">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c>
                <w:tcPr>
                  <w:tcW w:w="1430" w:type="pct"/>
                  <w:vMerge w:val="continue"/>
                  <w:tcBorders>
                    <w:bottom w:val="single" w:color="auto" w:sz="12" w:space="0"/>
                    <w:right w:val="nil"/>
                  </w:tcBorders>
                  <w:vAlign w:val="center"/>
                </w:tcPr>
                <w:p w14:paraId="009B0D7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sz w:val="21"/>
                      <w:szCs w:val="21"/>
                      <w:highlight w:val="none"/>
                      <w:lang w:val="en-US" w:eastAsia="zh-CN"/>
                    </w:rPr>
                  </w:pPr>
                </w:p>
              </w:tc>
            </w:tr>
          </w:tbl>
          <w:p w14:paraId="3E31156F">
            <w:pPr>
              <w:keepNext w:val="0"/>
              <w:keepLines w:val="0"/>
              <w:pageBreakBefore w:val="0"/>
              <w:widowControl w:val="0"/>
              <w:kinsoku/>
              <w:wordWrap/>
              <w:overflowPunct/>
              <w:topLinePunct w:val="0"/>
              <w:autoSpaceDE/>
              <w:autoSpaceDN/>
              <w:bidi w:val="0"/>
              <w:adjustRightInd w:val="0"/>
              <w:snapToGrid w:val="0"/>
              <w:spacing w:line="500" w:lineRule="exact"/>
              <w:ind w:firstLine="442" w:firstLineChars="200"/>
              <w:textAlignment w:val="auto"/>
              <w:outlineLvl w:val="9"/>
              <w:rPr>
                <w:rFonts w:hint="default" w:ascii="Times New Roman" w:hAnsi="Times New Roman" w:eastAsia="宋体" w:cs="Times New Roman"/>
                <w:b/>
                <w:color w:val="auto"/>
                <w:w w:val="100"/>
                <w:sz w:val="22"/>
                <w:szCs w:val="22"/>
                <w:lang w:eastAsia="zh-CN"/>
              </w:rPr>
            </w:pPr>
            <w:r>
              <w:rPr>
                <w:rFonts w:hint="eastAsia" w:ascii="Times New Roman" w:hAnsi="Times New Roman" w:eastAsia="宋体" w:cs="Times New Roman"/>
                <w:b/>
                <w:color w:val="auto"/>
                <w:w w:val="100"/>
                <w:sz w:val="22"/>
                <w:szCs w:val="22"/>
                <w:lang w:val="en-US" w:eastAsia="zh-CN"/>
              </w:rPr>
              <w:t>3.3.2</w:t>
            </w:r>
            <w:r>
              <w:rPr>
                <w:rFonts w:hint="default" w:ascii="Times New Roman" w:hAnsi="Times New Roman" w:eastAsia="宋体" w:cs="Times New Roman"/>
                <w:b/>
                <w:color w:val="auto"/>
                <w:w w:val="100"/>
                <w:sz w:val="22"/>
                <w:szCs w:val="22"/>
                <w:lang w:eastAsia="zh-CN"/>
              </w:rPr>
              <w:t>水污染物排放标准</w:t>
            </w:r>
          </w:p>
          <w:p w14:paraId="49514CFB">
            <w:pPr>
              <w:keepNext w:val="0"/>
              <w:keepLines w:val="0"/>
              <w:pageBreakBefore w:val="0"/>
              <w:widowControl w:val="0"/>
              <w:kinsoku/>
              <w:wordWrap w:val="0"/>
              <w:overflowPunct/>
              <w:topLinePunct w:val="0"/>
              <w:autoSpaceDE/>
              <w:autoSpaceDN/>
              <w:bidi w:val="0"/>
              <w:adjustRightInd w:val="0"/>
              <w:snapToGrid w:val="0"/>
              <w:spacing w:line="500" w:lineRule="exact"/>
              <w:ind w:firstLine="440" w:firstLineChars="200"/>
              <w:textAlignment w:val="auto"/>
              <w:outlineLvl w:val="9"/>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w w:val="100"/>
                <w:sz w:val="22"/>
                <w:szCs w:val="22"/>
                <w:lang w:val="en-US" w:eastAsia="zh-CN"/>
              </w:rPr>
              <w:t>本项目冷却循环水经絮凝处理后循环使用，不外排；清洗废水经沉淀池处理后循环使用，不外排；水喷淋废水委托有资质单位处置；员工生活废水经厂区化粪池处理后接管徐溜镇污水处理厂处理</w:t>
            </w:r>
            <w:r>
              <w:rPr>
                <w:rFonts w:hint="default" w:ascii="Times New Roman" w:hAnsi="Times New Roman" w:eastAsia="宋体" w:cs="Times New Roman"/>
                <w:color w:val="auto"/>
                <w:sz w:val="22"/>
                <w:szCs w:val="22"/>
                <w:lang w:eastAsia="zh-CN"/>
              </w:rPr>
              <w:t>，接管标准执行</w:t>
            </w:r>
            <w:r>
              <w:rPr>
                <w:rFonts w:hint="default" w:ascii="Times New Roman" w:hAnsi="Times New Roman" w:eastAsia="宋体" w:cs="Times New Roman"/>
                <w:b w:val="0"/>
                <w:bCs/>
                <w:color w:val="auto"/>
                <w:kern w:val="0"/>
                <w:sz w:val="22"/>
                <w:szCs w:val="22"/>
                <w:lang w:val="en-US" w:eastAsia="zh-CN" w:bidi="ar-SA"/>
              </w:rPr>
              <w:t>《城镇污水处理厂污染物排放标准（GB18918-2002）中的一级A标准</w:t>
            </w:r>
            <w:r>
              <w:rPr>
                <w:rFonts w:hint="default" w:ascii="Times New Roman" w:hAnsi="Times New Roman" w:eastAsia="宋体" w:cs="Times New Roman"/>
                <w:color w:val="auto"/>
                <w:sz w:val="22"/>
                <w:szCs w:val="22"/>
                <w:lang w:eastAsia="zh-CN"/>
              </w:rPr>
              <w:t>详见</w:t>
            </w:r>
            <w:r>
              <w:rPr>
                <w:rFonts w:hint="default" w:ascii="Times New Roman" w:hAnsi="Times New Roman" w:eastAsia="宋体" w:cs="Times New Roman"/>
                <w:color w:val="auto"/>
                <w:sz w:val="22"/>
                <w:szCs w:val="22"/>
                <w:lang w:val="en-US" w:eastAsia="zh-CN"/>
              </w:rPr>
              <w:t>下</w:t>
            </w:r>
            <w:r>
              <w:rPr>
                <w:rFonts w:hint="default" w:ascii="Times New Roman" w:hAnsi="Times New Roman" w:eastAsia="宋体" w:cs="Times New Roman"/>
                <w:color w:val="auto"/>
                <w:sz w:val="22"/>
                <w:szCs w:val="22"/>
                <w:lang w:eastAsia="zh-CN"/>
              </w:rPr>
              <w:t>表</w:t>
            </w:r>
            <w:r>
              <w:rPr>
                <w:rFonts w:hint="default" w:ascii="Times New Roman" w:hAnsi="Times New Roman" w:eastAsia="宋体" w:cs="Times New Roman"/>
                <w:color w:val="auto"/>
                <w:sz w:val="22"/>
                <w:szCs w:val="22"/>
              </w:rPr>
              <w:t>。</w:t>
            </w:r>
          </w:p>
          <w:p w14:paraId="21E218B4">
            <w:pPr>
              <w:keepNext w:val="0"/>
              <w:keepLines w:val="0"/>
              <w:pageBreakBefore w:val="0"/>
              <w:widowControl w:val="0"/>
              <w:kinsoku/>
              <w:wordWrap/>
              <w:overflowPunct/>
              <w:topLinePunct w:val="0"/>
              <w:autoSpaceDE/>
              <w:autoSpaceDN/>
              <w:bidi w:val="0"/>
              <w:adjustRightInd/>
              <w:snapToGrid/>
              <w:spacing w:line="500" w:lineRule="exact"/>
              <w:ind w:left="0" w:firstLine="0" w:firstLineChars="0"/>
              <w:jc w:val="center"/>
              <w:textAlignment w:val="auto"/>
              <w:rPr>
                <w:rFonts w:hint="default" w:ascii="Times New Roman" w:hAnsi="Times New Roman" w:cs="Times New Roman" w:eastAsiaTheme="minorEastAsia"/>
                <w:b/>
                <w:bCs w:val="0"/>
                <w:color w:val="auto"/>
                <w:kern w:val="0"/>
                <w:sz w:val="24"/>
                <w:szCs w:val="24"/>
                <w:lang w:val="en-US" w:eastAsia="zh-CN" w:bidi="ar-SA"/>
              </w:rPr>
            </w:pPr>
            <w:r>
              <w:rPr>
                <w:rFonts w:hint="default" w:ascii="Times New Roman" w:hAnsi="Times New Roman" w:eastAsia="宋体" w:cs="Times New Roman"/>
                <w:b/>
                <w:bCs/>
                <w:color w:val="auto"/>
                <w:sz w:val="22"/>
                <w:szCs w:val="22"/>
              </w:rPr>
              <w:t>表3.</w:t>
            </w:r>
            <w:r>
              <w:rPr>
                <w:rFonts w:hint="eastAsia" w:cs="Times New Roman"/>
                <w:b/>
                <w:bCs/>
                <w:color w:val="auto"/>
                <w:sz w:val="22"/>
                <w:szCs w:val="22"/>
                <w:lang w:val="en-US" w:eastAsia="zh-CN"/>
              </w:rPr>
              <w:t>3</w:t>
            </w:r>
            <w:r>
              <w:rPr>
                <w:rFonts w:hint="default" w:ascii="Times New Roman" w:hAnsi="Times New Roman" w:eastAsia="宋体" w:cs="Times New Roman"/>
                <w:b/>
                <w:bCs/>
                <w:color w:val="auto"/>
                <w:sz w:val="22"/>
                <w:szCs w:val="22"/>
              </w:rPr>
              <w:t>-</w:t>
            </w:r>
            <w:r>
              <w:rPr>
                <w:rFonts w:hint="eastAsia" w:cs="Times New Roman"/>
                <w:b/>
                <w:bCs/>
                <w:color w:val="auto"/>
                <w:sz w:val="22"/>
                <w:szCs w:val="22"/>
                <w:lang w:val="en-US" w:eastAsia="zh-CN"/>
              </w:rPr>
              <w:t>4</w:t>
            </w:r>
            <w:r>
              <w:rPr>
                <w:rFonts w:hint="eastAsia"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rPr>
              <w:t xml:space="preserve"> </w:t>
            </w:r>
            <w:r>
              <w:rPr>
                <w:rFonts w:hint="default" w:ascii="Times New Roman" w:hAnsi="Times New Roman" w:eastAsia="宋体" w:cs="Times New Roman"/>
                <w:b/>
                <w:bCs/>
                <w:color w:val="auto"/>
                <w:sz w:val="22"/>
                <w:szCs w:val="22"/>
                <w:lang w:val="en-US" w:eastAsia="zh-CN"/>
              </w:rPr>
              <w:t>水污染物排放标准  （单位：mg/L）</w:t>
            </w:r>
          </w:p>
          <w:tbl>
            <w:tblPr>
              <w:tblStyle w:val="43"/>
              <w:tblW w:w="4995"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54"/>
              <w:gridCol w:w="1222"/>
              <w:gridCol w:w="1223"/>
              <w:gridCol w:w="1223"/>
              <w:gridCol w:w="1223"/>
              <w:gridCol w:w="1223"/>
              <w:gridCol w:w="1226"/>
            </w:tblGrid>
            <w:tr w14:paraId="40576C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919" w:type="pct"/>
                  <w:noWrap w:val="0"/>
                  <w:vAlign w:val="center"/>
                </w:tcPr>
                <w:p w14:paraId="568CD1D6">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指标名称</w:t>
                  </w:r>
                </w:p>
              </w:tc>
              <w:tc>
                <w:tcPr>
                  <w:tcW w:w="679" w:type="pct"/>
                  <w:noWrap w:val="0"/>
                  <w:vAlign w:val="center"/>
                </w:tcPr>
                <w:p w14:paraId="482B447F">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COD</w:t>
                  </w:r>
                </w:p>
              </w:tc>
              <w:tc>
                <w:tcPr>
                  <w:tcW w:w="679" w:type="pct"/>
                  <w:noWrap w:val="0"/>
                  <w:vAlign w:val="center"/>
                </w:tcPr>
                <w:p w14:paraId="203B732C">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BOD</w:t>
                  </w:r>
                  <w:r>
                    <w:rPr>
                      <w:rFonts w:hint="default" w:ascii="Times New Roman" w:hAnsi="Times New Roman" w:cs="Times New Roman" w:eastAsiaTheme="minorEastAsia"/>
                      <w:b/>
                      <w:bCs/>
                      <w:color w:val="auto"/>
                      <w:sz w:val="21"/>
                      <w:szCs w:val="21"/>
                      <w:vertAlign w:val="subscript"/>
                    </w:rPr>
                    <w:t>5</w:t>
                  </w:r>
                </w:p>
              </w:tc>
              <w:tc>
                <w:tcPr>
                  <w:tcW w:w="679" w:type="pct"/>
                  <w:noWrap w:val="0"/>
                  <w:vAlign w:val="center"/>
                </w:tcPr>
                <w:p w14:paraId="66B53E72">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kern w:val="2"/>
                      <w:sz w:val="21"/>
                      <w:szCs w:val="21"/>
                      <w:lang w:val="en-US" w:eastAsia="zh-CN" w:bidi="ar-SA"/>
                    </w:rPr>
                  </w:pPr>
                  <w:r>
                    <w:rPr>
                      <w:rFonts w:hint="default" w:ascii="Times New Roman" w:hAnsi="Times New Roman" w:cs="Times New Roman" w:eastAsiaTheme="minorEastAsia"/>
                      <w:b/>
                      <w:bCs/>
                      <w:color w:val="auto"/>
                      <w:sz w:val="21"/>
                      <w:szCs w:val="21"/>
                    </w:rPr>
                    <w:t>SS</w:t>
                  </w:r>
                </w:p>
              </w:tc>
              <w:tc>
                <w:tcPr>
                  <w:tcW w:w="679" w:type="pct"/>
                  <w:noWrap w:val="0"/>
                  <w:vAlign w:val="center"/>
                </w:tcPr>
                <w:p w14:paraId="6396CE50">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NH</w:t>
                  </w:r>
                  <w:r>
                    <w:rPr>
                      <w:rFonts w:hint="default" w:ascii="Times New Roman" w:hAnsi="Times New Roman" w:cs="Times New Roman" w:eastAsiaTheme="minorEastAsia"/>
                      <w:b/>
                      <w:bCs/>
                      <w:color w:val="auto"/>
                      <w:sz w:val="21"/>
                      <w:szCs w:val="21"/>
                      <w:vertAlign w:val="subscript"/>
                    </w:rPr>
                    <w:t>3</w:t>
                  </w:r>
                  <w:r>
                    <w:rPr>
                      <w:rFonts w:hint="default" w:ascii="Times New Roman" w:hAnsi="Times New Roman" w:cs="Times New Roman" w:eastAsiaTheme="minorEastAsia"/>
                      <w:b/>
                      <w:bCs/>
                      <w:color w:val="auto"/>
                      <w:sz w:val="21"/>
                      <w:szCs w:val="21"/>
                    </w:rPr>
                    <w:t>-N</w:t>
                  </w:r>
                </w:p>
              </w:tc>
              <w:tc>
                <w:tcPr>
                  <w:tcW w:w="679" w:type="pct"/>
                  <w:noWrap w:val="0"/>
                  <w:vAlign w:val="center"/>
                </w:tcPr>
                <w:p w14:paraId="3CF29BA3">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sz w:val="21"/>
                      <w:szCs w:val="21"/>
                      <w:lang w:val="en-US" w:eastAsia="zh-CN"/>
                    </w:rPr>
                  </w:pPr>
                  <w:r>
                    <w:rPr>
                      <w:rFonts w:hint="default" w:ascii="Times New Roman" w:hAnsi="Times New Roman" w:cs="Times New Roman" w:eastAsiaTheme="minorEastAsia"/>
                      <w:b/>
                      <w:bCs/>
                      <w:color w:val="auto"/>
                      <w:sz w:val="21"/>
                      <w:szCs w:val="21"/>
                      <w:lang w:val="en-US" w:eastAsia="zh-CN"/>
                    </w:rPr>
                    <w:t>TN</w:t>
                  </w:r>
                </w:p>
              </w:tc>
              <w:tc>
                <w:tcPr>
                  <w:tcW w:w="681" w:type="pct"/>
                  <w:noWrap w:val="0"/>
                  <w:vAlign w:val="center"/>
                </w:tcPr>
                <w:p w14:paraId="3A45D200">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b/>
                      <w:bCs/>
                      <w:color w:val="auto"/>
                      <w:kern w:val="2"/>
                      <w:sz w:val="21"/>
                      <w:szCs w:val="21"/>
                      <w:lang w:val="en-US" w:eastAsia="zh-CN" w:bidi="ar-SA"/>
                    </w:rPr>
                  </w:pPr>
                  <w:r>
                    <w:rPr>
                      <w:rFonts w:hint="default" w:ascii="Times New Roman" w:hAnsi="Times New Roman" w:cs="Times New Roman" w:eastAsiaTheme="minorEastAsia"/>
                      <w:b/>
                      <w:bCs/>
                      <w:color w:val="auto"/>
                      <w:sz w:val="21"/>
                      <w:szCs w:val="21"/>
                    </w:rPr>
                    <w:t>TP</w:t>
                  </w:r>
                </w:p>
              </w:tc>
            </w:tr>
            <w:tr w14:paraId="767F80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919" w:type="pct"/>
                  <w:noWrap w:val="0"/>
                  <w:vAlign w:val="center"/>
                </w:tcPr>
                <w:p w14:paraId="25781990">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接管标准</w:t>
                  </w:r>
                </w:p>
              </w:tc>
              <w:tc>
                <w:tcPr>
                  <w:tcW w:w="679" w:type="pct"/>
                  <w:noWrap w:val="0"/>
                  <w:vAlign w:val="center"/>
                </w:tcPr>
                <w:p w14:paraId="7074D380">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400</w:t>
                  </w:r>
                </w:p>
              </w:tc>
              <w:tc>
                <w:tcPr>
                  <w:tcW w:w="679" w:type="pct"/>
                  <w:noWrap w:val="0"/>
                  <w:vAlign w:val="center"/>
                </w:tcPr>
                <w:p w14:paraId="3976F070">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180</w:t>
                  </w:r>
                </w:p>
              </w:tc>
              <w:tc>
                <w:tcPr>
                  <w:tcW w:w="679" w:type="pct"/>
                  <w:noWrap w:val="0"/>
                  <w:vAlign w:val="center"/>
                </w:tcPr>
                <w:p w14:paraId="5D140046">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200</w:t>
                  </w:r>
                </w:p>
              </w:tc>
              <w:tc>
                <w:tcPr>
                  <w:tcW w:w="679" w:type="pct"/>
                  <w:noWrap w:val="0"/>
                  <w:vAlign w:val="center"/>
                </w:tcPr>
                <w:p w14:paraId="62BC8E5B">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40</w:t>
                  </w:r>
                </w:p>
              </w:tc>
              <w:tc>
                <w:tcPr>
                  <w:tcW w:w="679" w:type="pct"/>
                  <w:noWrap w:val="0"/>
                  <w:vAlign w:val="center"/>
                </w:tcPr>
                <w:p w14:paraId="473DE208">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40</w:t>
                  </w:r>
                </w:p>
              </w:tc>
              <w:tc>
                <w:tcPr>
                  <w:tcW w:w="681" w:type="pct"/>
                  <w:noWrap w:val="0"/>
                  <w:vAlign w:val="center"/>
                </w:tcPr>
                <w:p w14:paraId="6C04D48A">
                  <w:pPr>
                    <w:keepNext w:val="0"/>
                    <w:keepLines w:val="0"/>
                    <w:pageBreakBefore w:val="0"/>
                    <w:widowControl w:val="0"/>
                    <w:kinsoku/>
                    <w:wordWrap/>
                    <w:overflowPunct/>
                    <w:topLinePunct w:val="0"/>
                    <w:autoSpaceDE/>
                    <w:autoSpaceDN/>
                    <w:bidi w:val="0"/>
                    <w:adjustRightInd/>
                    <w:spacing w:line="360" w:lineRule="exact"/>
                    <w:jc w:val="center"/>
                    <w:textAlignment w:val="auto"/>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sz w:val="21"/>
                      <w:szCs w:val="21"/>
                    </w:rPr>
                    <w:t>≤4.0</w:t>
                  </w:r>
                </w:p>
              </w:tc>
            </w:tr>
            <w:tr w14:paraId="56481A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919" w:type="pct"/>
                  <w:noWrap w:val="0"/>
                  <w:vAlign w:val="center"/>
                </w:tcPr>
                <w:p w14:paraId="4F5C045C">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一级</w:t>
                  </w:r>
                  <w:r>
                    <w:rPr>
                      <w:rFonts w:hint="default" w:ascii="Times New Roman" w:hAnsi="Times New Roman" w:cs="Times New Roman" w:eastAsiaTheme="minorEastAsia"/>
                      <w:color w:val="auto"/>
                      <w:sz w:val="21"/>
                      <w:szCs w:val="21"/>
                      <w:lang w:val="en-US" w:eastAsia="zh-CN"/>
                    </w:rPr>
                    <w:t>A</w:t>
                  </w:r>
                  <w:r>
                    <w:rPr>
                      <w:rFonts w:hint="default" w:ascii="Times New Roman" w:hAnsi="Times New Roman" w:cs="Times New Roman" w:eastAsiaTheme="minorEastAsia"/>
                      <w:color w:val="auto"/>
                      <w:sz w:val="21"/>
                      <w:szCs w:val="21"/>
                    </w:rPr>
                    <w:t>标准</w:t>
                  </w:r>
                </w:p>
              </w:tc>
              <w:tc>
                <w:tcPr>
                  <w:tcW w:w="679" w:type="pct"/>
                  <w:noWrap w:val="0"/>
                  <w:vAlign w:val="center"/>
                </w:tcPr>
                <w:p w14:paraId="73CCBDC7">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50</w:t>
                  </w:r>
                </w:p>
              </w:tc>
              <w:tc>
                <w:tcPr>
                  <w:tcW w:w="679" w:type="pct"/>
                  <w:noWrap w:val="0"/>
                  <w:vAlign w:val="center"/>
                </w:tcPr>
                <w:p w14:paraId="6DBE3FBE">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10</w:t>
                  </w:r>
                </w:p>
              </w:tc>
              <w:tc>
                <w:tcPr>
                  <w:tcW w:w="679" w:type="pct"/>
                  <w:noWrap w:val="0"/>
                  <w:vAlign w:val="center"/>
                </w:tcPr>
                <w:p w14:paraId="60E97012">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sz w:val="21"/>
                      <w:szCs w:val="21"/>
                    </w:rPr>
                    <w:t>≤</w:t>
                  </w:r>
                  <w:r>
                    <w:rPr>
                      <w:rFonts w:hint="eastAsia" w:ascii="Times New Roman" w:hAnsi="Times New Roman" w:cs="Times New Roman"/>
                      <w:color w:val="auto"/>
                      <w:sz w:val="21"/>
                      <w:szCs w:val="21"/>
                      <w:lang w:val="en-US" w:eastAsia="zh-CN"/>
                    </w:rPr>
                    <w:t>1</w:t>
                  </w:r>
                  <w:r>
                    <w:rPr>
                      <w:rFonts w:hint="default" w:ascii="Times New Roman" w:hAnsi="Times New Roman" w:cs="Times New Roman" w:eastAsiaTheme="minorEastAsia"/>
                      <w:color w:val="auto"/>
                      <w:sz w:val="21"/>
                      <w:szCs w:val="21"/>
                      <w:lang w:val="en-US" w:eastAsia="zh-CN"/>
                    </w:rPr>
                    <w:t>0</w:t>
                  </w:r>
                </w:p>
              </w:tc>
              <w:tc>
                <w:tcPr>
                  <w:tcW w:w="679" w:type="pct"/>
                  <w:noWrap w:val="0"/>
                  <w:vAlign w:val="center"/>
                </w:tcPr>
                <w:p w14:paraId="66496448">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5</w:t>
                  </w:r>
                  <w:r>
                    <w:rPr>
                      <w:rFonts w:hint="eastAsia" w:cs="Times New Roman" w:eastAsiaTheme="minorEastAsia"/>
                      <w:color w:val="auto"/>
                      <w:sz w:val="21"/>
                      <w:szCs w:val="21"/>
                      <w:lang w:eastAsia="zh-CN"/>
                    </w:rPr>
                    <w:t>（</w:t>
                  </w:r>
                  <w:r>
                    <w:rPr>
                      <w:rFonts w:hint="default" w:ascii="Times New Roman" w:hAnsi="Times New Roman" w:cs="Times New Roman" w:eastAsiaTheme="minorEastAsia"/>
                      <w:color w:val="auto"/>
                      <w:sz w:val="21"/>
                      <w:szCs w:val="21"/>
                      <w:lang w:val="en-US" w:eastAsia="zh-CN"/>
                    </w:rPr>
                    <w:t>8</w:t>
                  </w:r>
                  <w:r>
                    <w:rPr>
                      <w:rFonts w:hint="eastAsia" w:cs="Times New Roman" w:eastAsiaTheme="minorEastAsia"/>
                      <w:color w:val="auto"/>
                      <w:sz w:val="21"/>
                      <w:szCs w:val="21"/>
                      <w:lang w:eastAsia="zh-CN"/>
                    </w:rPr>
                    <w:t>）</w:t>
                  </w:r>
                  <w:r>
                    <w:rPr>
                      <w:rFonts w:hint="default" w:ascii="Times New Roman" w:hAnsi="Times New Roman" w:cs="Times New Roman" w:eastAsiaTheme="minorEastAsia"/>
                      <w:color w:val="auto"/>
                      <w:sz w:val="21"/>
                      <w:szCs w:val="21"/>
                    </w:rPr>
                    <w:t xml:space="preserve"> *</w:t>
                  </w:r>
                </w:p>
              </w:tc>
              <w:tc>
                <w:tcPr>
                  <w:tcW w:w="679" w:type="pct"/>
                  <w:noWrap w:val="0"/>
                  <w:vAlign w:val="center"/>
                </w:tcPr>
                <w:p w14:paraId="27DE3720">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15</w:t>
                  </w:r>
                </w:p>
              </w:tc>
              <w:tc>
                <w:tcPr>
                  <w:tcW w:w="681" w:type="pct"/>
                  <w:noWrap w:val="0"/>
                  <w:vAlign w:val="center"/>
                </w:tcPr>
                <w:p w14:paraId="63D00F32">
                  <w:pPr>
                    <w:keepNext w:val="0"/>
                    <w:keepLines w:val="0"/>
                    <w:pageBreakBefore w:val="0"/>
                    <w:widowControl w:val="0"/>
                    <w:kinsoku/>
                    <w:wordWrap/>
                    <w:overflowPunct/>
                    <w:topLinePunct w:val="0"/>
                    <w:autoSpaceDE/>
                    <w:autoSpaceDN/>
                    <w:bidi w:val="0"/>
                    <w:adjustRightInd/>
                    <w:snapToGrid w:val="0"/>
                    <w:spacing w:line="360" w:lineRule="exact"/>
                    <w:jc w:val="center"/>
                    <w:textAlignment w:val="auto"/>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sz w:val="21"/>
                      <w:szCs w:val="21"/>
                    </w:rPr>
                    <w:t>≤</w:t>
                  </w:r>
                  <w:r>
                    <w:rPr>
                      <w:rFonts w:hint="default" w:ascii="Times New Roman" w:hAnsi="Times New Roman" w:cs="Times New Roman" w:eastAsiaTheme="minorEastAsia"/>
                      <w:color w:val="auto"/>
                      <w:sz w:val="21"/>
                      <w:szCs w:val="21"/>
                      <w:lang w:val="en-US" w:eastAsia="zh-CN"/>
                    </w:rPr>
                    <w:t>0.5</w:t>
                  </w:r>
                </w:p>
              </w:tc>
            </w:tr>
          </w:tbl>
          <w:p w14:paraId="26129054">
            <w:pPr>
              <w:spacing w:line="500" w:lineRule="exact"/>
              <w:ind w:firstLine="420" w:firstLineChars="200"/>
              <w:rPr>
                <w:rFonts w:hint="default" w:ascii="Times New Roman" w:hAnsi="Times New Roman" w:cs="Times New Roman" w:eastAsiaTheme="minorEastAsia"/>
                <w:b/>
                <w:color w:val="auto"/>
                <w:sz w:val="22"/>
                <w:szCs w:val="22"/>
              </w:rPr>
            </w:pPr>
            <w:r>
              <w:rPr>
                <w:rFonts w:hint="default" w:ascii="Times New Roman" w:hAnsi="Times New Roman" w:cs="Times New Roman" w:eastAsiaTheme="minorEastAsia"/>
                <w:b w:val="0"/>
                <w:bCs/>
                <w:color w:val="auto"/>
                <w:sz w:val="21"/>
                <w:szCs w:val="21"/>
                <w:lang w:val="en-US" w:eastAsia="zh-CN"/>
              </w:rPr>
              <w:t>注：括号外数值为水温&gt;12℃的控制指标，括号内数值为水温≤12℃的控制指标。</w:t>
            </w:r>
          </w:p>
          <w:p w14:paraId="3F084559">
            <w:pPr>
              <w:keepNext w:val="0"/>
              <w:keepLines w:val="0"/>
              <w:pageBreakBefore w:val="0"/>
              <w:widowControl w:val="0"/>
              <w:kinsoku/>
              <w:wordWrap/>
              <w:overflowPunct/>
              <w:topLinePunct w:val="0"/>
              <w:autoSpaceDE/>
              <w:autoSpaceDN/>
              <w:bidi w:val="0"/>
              <w:adjustRightInd w:val="0"/>
              <w:snapToGrid w:val="0"/>
              <w:spacing w:line="500" w:lineRule="exact"/>
              <w:ind w:firstLine="442" w:firstLineChars="200"/>
              <w:textAlignment w:val="auto"/>
              <w:outlineLvl w:val="9"/>
              <w:rPr>
                <w:rFonts w:hint="default" w:ascii="Times New Roman" w:hAnsi="Times New Roman" w:eastAsia="宋体" w:cs="Times New Roman"/>
                <w:b/>
                <w:color w:val="auto"/>
                <w:w w:val="100"/>
                <w:sz w:val="22"/>
                <w:szCs w:val="22"/>
              </w:rPr>
            </w:pPr>
            <w:r>
              <w:rPr>
                <w:rFonts w:hint="eastAsia" w:ascii="Times New Roman" w:hAnsi="Times New Roman" w:eastAsia="宋体" w:cs="Times New Roman"/>
                <w:b/>
                <w:color w:val="auto"/>
                <w:w w:val="100"/>
                <w:sz w:val="22"/>
                <w:szCs w:val="22"/>
                <w:lang w:val="en-US" w:eastAsia="zh-CN"/>
              </w:rPr>
              <w:t>3.3.3</w:t>
            </w:r>
            <w:r>
              <w:rPr>
                <w:rFonts w:hint="default" w:ascii="Times New Roman" w:hAnsi="Times New Roman" w:eastAsia="宋体" w:cs="Times New Roman"/>
                <w:b/>
                <w:color w:val="auto"/>
                <w:w w:val="100"/>
                <w:sz w:val="22"/>
                <w:szCs w:val="22"/>
              </w:rPr>
              <w:t>噪声</w:t>
            </w:r>
            <w:r>
              <w:rPr>
                <w:rFonts w:hint="default" w:ascii="Times New Roman" w:hAnsi="Times New Roman" w:eastAsia="宋体" w:cs="Times New Roman"/>
                <w:b/>
                <w:color w:val="auto"/>
                <w:w w:val="100"/>
                <w:sz w:val="22"/>
                <w:szCs w:val="22"/>
                <w:lang w:eastAsia="zh-CN"/>
              </w:rPr>
              <w:t>排放标准</w:t>
            </w:r>
          </w:p>
          <w:p w14:paraId="5DF555E5">
            <w:pPr>
              <w:keepNext w:val="0"/>
              <w:keepLines w:val="0"/>
              <w:pageBreakBefore w:val="0"/>
              <w:widowControl w:val="0"/>
              <w:kinsoku/>
              <w:wordWrap/>
              <w:overflowPunct/>
              <w:topLinePunct w:val="0"/>
              <w:autoSpaceDE/>
              <w:autoSpaceDN/>
              <w:bidi w:val="0"/>
              <w:adjustRightInd w:val="0"/>
              <w:snapToGrid w:val="0"/>
              <w:spacing w:line="500" w:lineRule="exact"/>
              <w:ind w:firstLine="440" w:firstLineChars="200"/>
              <w:textAlignment w:val="auto"/>
              <w:outlineLvl w:val="9"/>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rPr>
              <w:t>运营期厂界噪声执行《工业企业厂界环境噪声排放标准》（GB1</w:t>
            </w:r>
            <w:r>
              <w:rPr>
                <w:rFonts w:hint="eastAsia" w:cs="Times New Roman"/>
                <w:color w:val="auto"/>
                <w:w w:val="100"/>
                <w:sz w:val="22"/>
                <w:szCs w:val="22"/>
                <w:lang w:val="en-US" w:eastAsia="zh-CN"/>
              </w:rPr>
              <w:t>2348</w:t>
            </w:r>
            <w:r>
              <w:rPr>
                <w:rFonts w:hint="default" w:ascii="Times New Roman" w:hAnsi="Times New Roman" w:eastAsia="宋体" w:cs="Times New Roman"/>
                <w:color w:val="auto"/>
                <w:w w:val="100"/>
                <w:sz w:val="22"/>
                <w:szCs w:val="22"/>
              </w:rPr>
              <w:t>-2008）中的</w:t>
            </w:r>
            <w:r>
              <w:rPr>
                <w:rFonts w:hint="eastAsia" w:cs="Times New Roman"/>
                <w:color w:val="auto"/>
                <w:w w:val="100"/>
                <w:sz w:val="22"/>
                <w:szCs w:val="22"/>
                <w:lang w:val="en-US" w:eastAsia="zh-CN"/>
              </w:rPr>
              <w:t>3</w:t>
            </w:r>
            <w:r>
              <w:rPr>
                <w:rFonts w:hint="default" w:ascii="Times New Roman" w:hAnsi="Times New Roman" w:eastAsia="宋体" w:cs="Times New Roman"/>
                <w:color w:val="auto"/>
                <w:w w:val="100"/>
                <w:sz w:val="22"/>
                <w:szCs w:val="22"/>
              </w:rPr>
              <w:t>类标准，详见</w:t>
            </w:r>
            <w:r>
              <w:rPr>
                <w:rFonts w:hint="eastAsia" w:cs="Times New Roman"/>
                <w:color w:val="auto"/>
                <w:w w:val="100"/>
                <w:sz w:val="22"/>
                <w:szCs w:val="22"/>
                <w:lang w:val="en-US" w:eastAsia="zh-CN"/>
              </w:rPr>
              <w:t>下</w:t>
            </w:r>
            <w:r>
              <w:rPr>
                <w:rFonts w:hint="default" w:ascii="Times New Roman" w:hAnsi="Times New Roman" w:eastAsia="宋体" w:cs="Times New Roman"/>
                <w:color w:val="auto"/>
                <w:w w:val="100"/>
                <w:sz w:val="22"/>
                <w:szCs w:val="22"/>
              </w:rPr>
              <w:t>表。</w:t>
            </w:r>
          </w:p>
          <w:p w14:paraId="30DD5ADF">
            <w:pPr>
              <w:pStyle w:val="21"/>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center"/>
              <w:textAlignment w:val="auto"/>
              <w:outlineLvl w:val="9"/>
              <w:rPr>
                <w:rFonts w:hint="default" w:ascii="Times New Roman" w:hAnsi="Times New Roman" w:eastAsia="宋体" w:cs="Times New Roman"/>
                <w:b/>
                <w:color w:val="auto"/>
                <w:w w:val="100"/>
                <w:kern w:val="0"/>
                <w:sz w:val="22"/>
                <w:szCs w:val="22"/>
                <w:lang w:val="en-US" w:eastAsia="zh-CN" w:bidi="ar-SA"/>
              </w:rPr>
            </w:pPr>
            <w:r>
              <w:rPr>
                <w:rFonts w:hint="default" w:ascii="Times New Roman" w:hAnsi="Times New Roman" w:eastAsia="宋体" w:cs="Times New Roman"/>
                <w:b/>
                <w:color w:val="auto"/>
                <w:w w:val="100"/>
                <w:kern w:val="0"/>
                <w:sz w:val="22"/>
                <w:szCs w:val="22"/>
                <w:lang w:val="en-US" w:eastAsia="zh-CN" w:bidi="ar-SA"/>
              </w:rPr>
              <w:t>表3</w:t>
            </w:r>
            <w:r>
              <w:rPr>
                <w:rFonts w:hint="eastAsia" w:ascii="Times New Roman" w:hAnsi="Times New Roman" w:eastAsia="宋体" w:cs="Times New Roman"/>
                <w:b/>
                <w:color w:val="auto"/>
                <w:w w:val="100"/>
                <w:kern w:val="0"/>
                <w:sz w:val="22"/>
                <w:szCs w:val="22"/>
                <w:lang w:val="en-US" w:eastAsia="zh-CN" w:bidi="ar-SA"/>
              </w:rPr>
              <w:t>.3</w:t>
            </w:r>
            <w:r>
              <w:rPr>
                <w:rFonts w:hint="default" w:ascii="Times New Roman" w:hAnsi="Times New Roman" w:eastAsia="宋体" w:cs="Times New Roman"/>
                <w:b/>
                <w:color w:val="auto"/>
                <w:w w:val="100"/>
                <w:kern w:val="0"/>
                <w:sz w:val="22"/>
                <w:szCs w:val="22"/>
                <w:lang w:val="en-US" w:eastAsia="zh-CN" w:bidi="ar-SA"/>
              </w:rPr>
              <w:t>-</w:t>
            </w:r>
            <w:r>
              <w:rPr>
                <w:rFonts w:hint="eastAsia" w:cs="Times New Roman"/>
                <w:b/>
                <w:color w:val="auto"/>
                <w:w w:val="100"/>
                <w:kern w:val="0"/>
                <w:sz w:val="22"/>
                <w:szCs w:val="22"/>
                <w:lang w:val="en-US" w:eastAsia="zh-CN" w:bidi="ar-SA"/>
              </w:rPr>
              <w:t>5</w:t>
            </w:r>
            <w:r>
              <w:rPr>
                <w:rFonts w:hint="default" w:ascii="Times New Roman" w:hAnsi="Times New Roman" w:eastAsia="宋体" w:cs="Times New Roman"/>
                <w:b/>
                <w:color w:val="auto"/>
                <w:w w:val="100"/>
                <w:kern w:val="0"/>
                <w:sz w:val="22"/>
                <w:szCs w:val="22"/>
                <w:lang w:val="en-US" w:eastAsia="zh-CN" w:bidi="ar-SA"/>
              </w:rPr>
              <w:t xml:space="preserve">  工业企业厂界环境噪声排放限值表    （单位：dB（A））</w:t>
            </w:r>
          </w:p>
          <w:tbl>
            <w:tblPr>
              <w:tblStyle w:val="43"/>
              <w:tblW w:w="498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8"/>
              <w:gridCol w:w="2012"/>
              <w:gridCol w:w="2306"/>
              <w:gridCol w:w="3021"/>
            </w:tblGrid>
            <w:tr w14:paraId="3412B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3" w:type="pct"/>
                  <w:tcBorders>
                    <w:top w:val="single" w:color="auto" w:sz="12" w:space="0"/>
                    <w:left w:val="nil"/>
                    <w:bottom w:val="single" w:color="auto" w:sz="4" w:space="0"/>
                    <w:right w:val="single" w:color="auto" w:sz="4" w:space="0"/>
                  </w:tcBorders>
                  <w:noWrap w:val="0"/>
                  <w:vAlign w:val="center"/>
                </w:tcPr>
                <w:p w14:paraId="2F0EDC9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kern w:val="2"/>
                      <w:sz w:val="21"/>
                      <w:szCs w:val="21"/>
                    </w:rPr>
                  </w:pPr>
                  <w:r>
                    <w:rPr>
                      <w:rFonts w:hint="default" w:ascii="Times New Roman" w:hAnsi="Times New Roman" w:eastAsia="宋体" w:cs="Times New Roman"/>
                      <w:b/>
                      <w:color w:val="auto"/>
                      <w:w w:val="100"/>
                      <w:sz w:val="21"/>
                      <w:szCs w:val="21"/>
                    </w:rPr>
                    <w:t>类别</w:t>
                  </w:r>
                </w:p>
              </w:tc>
              <w:tc>
                <w:tcPr>
                  <w:tcW w:w="1123" w:type="pct"/>
                  <w:tcBorders>
                    <w:top w:val="single" w:color="auto" w:sz="12" w:space="0"/>
                    <w:left w:val="single" w:color="auto" w:sz="4" w:space="0"/>
                    <w:bottom w:val="single" w:color="auto" w:sz="4" w:space="0"/>
                    <w:right w:val="nil"/>
                  </w:tcBorders>
                  <w:noWrap w:val="0"/>
                  <w:vAlign w:val="center"/>
                </w:tcPr>
                <w:p w14:paraId="68E29AD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kern w:val="2"/>
                      <w:sz w:val="21"/>
                      <w:szCs w:val="21"/>
                    </w:rPr>
                  </w:pPr>
                  <w:r>
                    <w:rPr>
                      <w:rFonts w:hint="default" w:ascii="Times New Roman" w:hAnsi="Times New Roman" w:eastAsia="宋体" w:cs="Times New Roman"/>
                      <w:b/>
                      <w:color w:val="auto"/>
                      <w:w w:val="100"/>
                      <w:sz w:val="21"/>
                      <w:szCs w:val="21"/>
                    </w:rPr>
                    <w:t>昼间</w:t>
                  </w:r>
                </w:p>
              </w:tc>
              <w:tc>
                <w:tcPr>
                  <w:tcW w:w="1287" w:type="pct"/>
                  <w:tcBorders>
                    <w:top w:val="single" w:color="auto" w:sz="12" w:space="0"/>
                    <w:left w:val="single" w:color="auto" w:sz="4" w:space="0"/>
                    <w:bottom w:val="single" w:color="auto" w:sz="4" w:space="0"/>
                    <w:right w:val="nil"/>
                  </w:tcBorders>
                  <w:noWrap w:val="0"/>
                  <w:vAlign w:val="center"/>
                </w:tcPr>
                <w:p w14:paraId="563258A9">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kern w:val="2"/>
                      <w:sz w:val="21"/>
                      <w:szCs w:val="21"/>
                    </w:rPr>
                  </w:pPr>
                  <w:r>
                    <w:rPr>
                      <w:rFonts w:hint="default" w:ascii="Times New Roman" w:hAnsi="Times New Roman" w:eastAsia="宋体" w:cs="Times New Roman"/>
                      <w:b/>
                      <w:color w:val="auto"/>
                      <w:w w:val="100"/>
                      <w:sz w:val="21"/>
                      <w:szCs w:val="21"/>
                    </w:rPr>
                    <w:t>夜间</w:t>
                  </w:r>
                </w:p>
              </w:tc>
              <w:tc>
                <w:tcPr>
                  <w:tcW w:w="1685" w:type="pct"/>
                  <w:tcBorders>
                    <w:top w:val="single" w:color="auto" w:sz="12" w:space="0"/>
                    <w:left w:val="single" w:color="auto" w:sz="4" w:space="0"/>
                    <w:bottom w:val="single" w:color="auto" w:sz="4" w:space="0"/>
                    <w:right w:val="nil"/>
                  </w:tcBorders>
                  <w:noWrap w:val="0"/>
                  <w:vAlign w:val="center"/>
                </w:tcPr>
                <w:p w14:paraId="19411CD9">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color w:val="auto"/>
                      <w:w w:val="100"/>
                      <w:kern w:val="2"/>
                      <w:sz w:val="21"/>
                      <w:szCs w:val="21"/>
                    </w:rPr>
                  </w:pPr>
                  <w:r>
                    <w:rPr>
                      <w:rFonts w:hint="default" w:ascii="Times New Roman" w:hAnsi="Times New Roman" w:eastAsia="宋体" w:cs="Times New Roman"/>
                      <w:b/>
                      <w:color w:val="auto"/>
                      <w:w w:val="100"/>
                      <w:sz w:val="21"/>
                      <w:szCs w:val="21"/>
                    </w:rPr>
                    <w:t>备注</w:t>
                  </w:r>
                </w:p>
              </w:tc>
            </w:tr>
            <w:tr w14:paraId="60971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3" w:type="pct"/>
                  <w:tcBorders>
                    <w:top w:val="single" w:color="auto" w:sz="4" w:space="0"/>
                    <w:left w:val="nil"/>
                    <w:bottom w:val="single" w:color="auto" w:sz="4" w:space="0"/>
                    <w:right w:val="single" w:color="auto" w:sz="4" w:space="0"/>
                  </w:tcBorders>
                  <w:noWrap w:val="0"/>
                  <w:vAlign w:val="center"/>
                </w:tcPr>
                <w:p w14:paraId="04AE728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rPr>
                  </w:pPr>
                  <w:r>
                    <w:rPr>
                      <w:rFonts w:hint="eastAsia" w:cs="Times New Roman"/>
                      <w:b w:val="0"/>
                      <w:bCs w:val="0"/>
                      <w:color w:val="auto"/>
                      <w:w w:val="100"/>
                      <w:sz w:val="21"/>
                      <w:szCs w:val="21"/>
                      <w:lang w:val="en-US" w:eastAsia="zh-CN"/>
                    </w:rPr>
                    <w:t>3</w:t>
                  </w:r>
                  <w:r>
                    <w:rPr>
                      <w:rFonts w:hint="default" w:ascii="Times New Roman" w:hAnsi="Times New Roman" w:eastAsia="宋体" w:cs="Times New Roman"/>
                      <w:b w:val="0"/>
                      <w:bCs w:val="0"/>
                      <w:color w:val="auto"/>
                      <w:w w:val="100"/>
                      <w:sz w:val="21"/>
                      <w:szCs w:val="21"/>
                    </w:rPr>
                    <w:t>类</w:t>
                  </w:r>
                </w:p>
              </w:tc>
              <w:tc>
                <w:tcPr>
                  <w:tcW w:w="1123" w:type="pct"/>
                  <w:tcBorders>
                    <w:top w:val="single" w:color="auto" w:sz="4" w:space="0"/>
                    <w:left w:val="single" w:color="auto" w:sz="4" w:space="0"/>
                    <w:bottom w:val="single" w:color="auto" w:sz="4" w:space="0"/>
                    <w:right w:val="single" w:color="auto" w:sz="4" w:space="0"/>
                  </w:tcBorders>
                  <w:noWrap w:val="0"/>
                  <w:vAlign w:val="center"/>
                </w:tcPr>
                <w:p w14:paraId="1B1EFF12">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ascii="Times New Roman" w:hAnsi="Times New Roman" w:eastAsia="宋体" w:cs="Times New Roman"/>
                      <w:color w:val="auto"/>
                      <w:w w:val="100"/>
                      <w:kern w:val="2"/>
                      <w:sz w:val="21"/>
                      <w:szCs w:val="21"/>
                      <w:lang w:val="en-US" w:eastAsia="zh-CN"/>
                    </w:rPr>
                  </w:pPr>
                  <w:r>
                    <w:rPr>
                      <w:rFonts w:hint="default" w:ascii="Times New Roman" w:hAnsi="Times New Roman" w:eastAsia="宋体" w:cs="Times New Roman"/>
                      <w:color w:val="auto"/>
                      <w:w w:val="100"/>
                      <w:sz w:val="21"/>
                      <w:szCs w:val="21"/>
                    </w:rPr>
                    <w:t>6</w:t>
                  </w:r>
                  <w:r>
                    <w:rPr>
                      <w:rFonts w:hint="eastAsia" w:cs="Times New Roman"/>
                      <w:color w:val="auto"/>
                      <w:w w:val="100"/>
                      <w:sz w:val="21"/>
                      <w:szCs w:val="21"/>
                      <w:lang w:val="en-US" w:eastAsia="zh-CN"/>
                    </w:rPr>
                    <w:t>5</w:t>
                  </w:r>
                </w:p>
              </w:tc>
              <w:tc>
                <w:tcPr>
                  <w:tcW w:w="1287" w:type="pct"/>
                  <w:tcBorders>
                    <w:top w:val="single" w:color="auto" w:sz="4" w:space="0"/>
                    <w:left w:val="single" w:color="auto" w:sz="4" w:space="0"/>
                    <w:bottom w:val="single" w:color="auto" w:sz="4" w:space="0"/>
                    <w:right w:val="nil"/>
                  </w:tcBorders>
                  <w:noWrap w:val="0"/>
                  <w:vAlign w:val="center"/>
                </w:tcPr>
                <w:p w14:paraId="2BA4EC2F">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eastAsia" w:ascii="Times New Roman" w:hAnsi="Times New Roman" w:eastAsia="宋体" w:cs="Times New Roman"/>
                      <w:color w:val="auto"/>
                      <w:w w:val="100"/>
                      <w:kern w:val="2"/>
                      <w:sz w:val="21"/>
                      <w:szCs w:val="21"/>
                      <w:lang w:val="en-US" w:eastAsia="zh-CN"/>
                    </w:rPr>
                  </w:pPr>
                  <w:r>
                    <w:rPr>
                      <w:rFonts w:hint="default" w:ascii="Times New Roman" w:hAnsi="Times New Roman" w:eastAsia="宋体" w:cs="Times New Roman"/>
                      <w:color w:val="auto"/>
                      <w:w w:val="100"/>
                      <w:sz w:val="21"/>
                      <w:szCs w:val="21"/>
                    </w:rPr>
                    <w:t>5</w:t>
                  </w:r>
                  <w:r>
                    <w:rPr>
                      <w:rFonts w:hint="eastAsia" w:cs="Times New Roman"/>
                      <w:color w:val="auto"/>
                      <w:w w:val="100"/>
                      <w:sz w:val="21"/>
                      <w:szCs w:val="21"/>
                      <w:lang w:val="en-US" w:eastAsia="zh-CN"/>
                    </w:rPr>
                    <w:t>5</w:t>
                  </w:r>
                </w:p>
              </w:tc>
              <w:tc>
                <w:tcPr>
                  <w:tcW w:w="1685" w:type="pct"/>
                  <w:tcBorders>
                    <w:top w:val="single" w:color="auto" w:sz="4" w:space="0"/>
                    <w:left w:val="single" w:color="auto" w:sz="4" w:space="0"/>
                    <w:bottom w:val="single" w:color="auto" w:sz="4" w:space="0"/>
                    <w:right w:val="nil"/>
                  </w:tcBorders>
                  <w:noWrap w:val="0"/>
                  <w:vAlign w:val="center"/>
                </w:tcPr>
                <w:p w14:paraId="62BDF7CC">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rPr>
                  </w:pPr>
                  <w:r>
                    <w:rPr>
                      <w:rFonts w:hint="default" w:ascii="Times New Roman" w:hAnsi="Times New Roman" w:eastAsia="宋体" w:cs="Times New Roman"/>
                      <w:color w:val="auto"/>
                      <w:w w:val="100"/>
                      <w:sz w:val="21"/>
                      <w:szCs w:val="21"/>
                    </w:rPr>
                    <w:t>厂界四周</w:t>
                  </w:r>
                </w:p>
              </w:tc>
            </w:tr>
            <w:tr w14:paraId="38B64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3" w:type="pct"/>
                  <w:tcBorders>
                    <w:top w:val="single" w:color="auto" w:sz="4" w:space="0"/>
                    <w:left w:val="nil"/>
                    <w:bottom w:val="single" w:color="auto" w:sz="12" w:space="0"/>
                    <w:right w:val="single" w:color="auto" w:sz="4" w:space="0"/>
                  </w:tcBorders>
                  <w:noWrap w:val="0"/>
                  <w:vAlign w:val="center"/>
                </w:tcPr>
                <w:p w14:paraId="5A223595">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val="0"/>
                      <w:bCs w:val="0"/>
                      <w:color w:val="auto"/>
                      <w:w w:val="100"/>
                      <w:kern w:val="2"/>
                      <w:sz w:val="21"/>
                      <w:szCs w:val="21"/>
                    </w:rPr>
                  </w:pPr>
                  <w:r>
                    <w:rPr>
                      <w:rFonts w:hint="default" w:ascii="Times New Roman" w:hAnsi="Times New Roman" w:eastAsia="宋体" w:cs="Times New Roman"/>
                      <w:b w:val="0"/>
                      <w:bCs w:val="0"/>
                      <w:color w:val="auto"/>
                      <w:w w:val="100"/>
                      <w:sz w:val="21"/>
                      <w:szCs w:val="21"/>
                    </w:rPr>
                    <w:t>标准来源</w:t>
                  </w:r>
                </w:p>
              </w:tc>
              <w:tc>
                <w:tcPr>
                  <w:tcW w:w="4096" w:type="pct"/>
                  <w:gridSpan w:val="3"/>
                  <w:tcBorders>
                    <w:top w:val="single" w:color="auto" w:sz="4" w:space="0"/>
                    <w:left w:val="single" w:color="auto" w:sz="4" w:space="0"/>
                    <w:bottom w:val="single" w:color="auto" w:sz="12" w:space="0"/>
                    <w:right w:val="nil"/>
                  </w:tcBorders>
                  <w:noWrap w:val="0"/>
                  <w:vAlign w:val="center"/>
                </w:tcPr>
                <w:p w14:paraId="765AB8D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b w:val="0"/>
                      <w:bCs w:val="0"/>
                      <w:color w:val="auto"/>
                      <w:w w:val="100"/>
                      <w:kern w:val="2"/>
                      <w:sz w:val="21"/>
                      <w:szCs w:val="21"/>
                    </w:rPr>
                  </w:pPr>
                  <w:r>
                    <w:rPr>
                      <w:rFonts w:hint="default" w:ascii="Times New Roman" w:hAnsi="Times New Roman" w:eastAsia="宋体" w:cs="Times New Roman"/>
                      <w:b w:val="0"/>
                      <w:bCs w:val="0"/>
                      <w:color w:val="auto"/>
                      <w:w w:val="100"/>
                      <w:sz w:val="21"/>
                      <w:szCs w:val="21"/>
                    </w:rPr>
                    <w:t>《工业企业厂界环境噪声排放标准》（GB1</w:t>
                  </w:r>
                  <w:r>
                    <w:rPr>
                      <w:rFonts w:hint="default" w:ascii="Times New Roman" w:hAnsi="Times New Roman" w:eastAsia="宋体" w:cs="Times New Roman"/>
                      <w:b w:val="0"/>
                      <w:bCs w:val="0"/>
                      <w:color w:val="auto"/>
                      <w:w w:val="100"/>
                      <w:sz w:val="21"/>
                      <w:szCs w:val="21"/>
                      <w:lang w:eastAsia="zh-CN"/>
                    </w:rPr>
                    <w:t>32.81</w:t>
                  </w:r>
                  <w:r>
                    <w:rPr>
                      <w:rFonts w:hint="default" w:ascii="Times New Roman" w:hAnsi="Times New Roman" w:eastAsia="宋体" w:cs="Times New Roman"/>
                      <w:b w:val="0"/>
                      <w:bCs w:val="0"/>
                      <w:color w:val="auto"/>
                      <w:w w:val="100"/>
                      <w:sz w:val="21"/>
                      <w:szCs w:val="21"/>
                    </w:rPr>
                    <w:t>8-2008）</w:t>
                  </w:r>
                </w:p>
              </w:tc>
            </w:tr>
          </w:tbl>
          <w:p w14:paraId="5F2ABFF1">
            <w:pPr>
              <w:pStyle w:val="31"/>
              <w:keepNext w:val="0"/>
              <w:keepLines w:val="0"/>
              <w:pageBreakBefore w:val="0"/>
              <w:widowControl w:val="0"/>
              <w:kinsoku/>
              <w:wordWrap/>
              <w:overflowPunct/>
              <w:topLinePunct w:val="0"/>
              <w:autoSpaceDE/>
              <w:autoSpaceDN/>
              <w:bidi w:val="0"/>
              <w:adjustRightInd w:val="0"/>
              <w:snapToGrid w:val="0"/>
              <w:spacing w:before="0" w:beforeAutospacing="0" w:after="0" w:afterAutospacing="0" w:line="500" w:lineRule="exact"/>
              <w:ind w:firstLine="442" w:firstLineChars="200"/>
              <w:jc w:val="both"/>
              <w:textAlignment w:val="auto"/>
              <w:outlineLvl w:val="9"/>
              <w:rPr>
                <w:rFonts w:hint="default" w:ascii="Times New Roman" w:hAnsi="Times New Roman" w:eastAsia="宋体" w:cs="Times New Roman"/>
                <w:b/>
                <w:color w:val="auto"/>
                <w:w w:val="100"/>
                <w:kern w:val="2"/>
                <w:sz w:val="22"/>
                <w:szCs w:val="22"/>
              </w:rPr>
            </w:pPr>
            <w:r>
              <w:rPr>
                <w:rFonts w:hint="eastAsia" w:ascii="Times New Roman" w:hAnsi="Times New Roman" w:eastAsia="宋体" w:cs="Times New Roman"/>
                <w:b/>
                <w:color w:val="auto"/>
                <w:w w:val="100"/>
                <w:kern w:val="2"/>
                <w:sz w:val="22"/>
                <w:szCs w:val="22"/>
                <w:lang w:val="en-US" w:eastAsia="zh-CN"/>
              </w:rPr>
              <w:t>3.3.4</w:t>
            </w:r>
            <w:r>
              <w:rPr>
                <w:rFonts w:hint="default" w:ascii="Times New Roman" w:hAnsi="Times New Roman" w:eastAsia="宋体" w:cs="Times New Roman"/>
                <w:b/>
                <w:color w:val="auto"/>
                <w:w w:val="100"/>
                <w:kern w:val="2"/>
                <w:sz w:val="22"/>
                <w:szCs w:val="22"/>
              </w:rPr>
              <w:t>固废</w:t>
            </w:r>
            <w:r>
              <w:rPr>
                <w:rFonts w:hint="default" w:ascii="Times New Roman" w:hAnsi="Times New Roman" w:eastAsia="宋体" w:cs="Times New Roman"/>
                <w:b/>
                <w:color w:val="auto"/>
                <w:w w:val="100"/>
                <w:sz w:val="22"/>
                <w:szCs w:val="22"/>
                <w:lang w:eastAsia="zh-CN"/>
              </w:rPr>
              <w:t>排放标准</w:t>
            </w:r>
          </w:p>
          <w:p w14:paraId="4725566D">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r>
              <w:rPr>
                <w:rFonts w:hint="eastAsia" w:ascii="Times New Roman" w:hAnsi="Times New Roman" w:eastAsia="宋体" w:cs="Times New Roman"/>
                <w:bCs/>
                <w:color w:val="auto"/>
                <w:w w:val="100"/>
                <w:kern w:val="2"/>
                <w:sz w:val="22"/>
                <w:szCs w:val="22"/>
                <w:lang w:val="en-US" w:eastAsia="zh-CN" w:bidi="ar-SA"/>
              </w:rPr>
              <w:t>本</w:t>
            </w:r>
            <w:r>
              <w:rPr>
                <w:rFonts w:hint="default" w:ascii="Times New Roman" w:hAnsi="Times New Roman" w:eastAsia="宋体" w:cs="Times New Roman"/>
                <w:bCs/>
                <w:color w:val="auto"/>
                <w:w w:val="100"/>
                <w:kern w:val="2"/>
                <w:sz w:val="22"/>
                <w:szCs w:val="22"/>
                <w:lang w:val="en-US" w:eastAsia="zh-CN" w:bidi="ar-SA"/>
              </w:rPr>
              <w:t>项目固体废物属性鉴别执行《固体废物鉴别标准通则》（GB34330-2017）相关规定，危险废物属性鉴别执行《危险废物鉴别标准通则》（GB5085.7-2019）。生活垃圾排放及管理执行中华人民共和国建设部令157号《城市生活垃圾管理</w:t>
            </w:r>
            <w:r>
              <w:rPr>
                <w:rFonts w:hint="eastAsia" w:cs="Times New Roman"/>
                <w:bCs/>
                <w:color w:val="auto"/>
                <w:w w:val="100"/>
                <w:kern w:val="2"/>
                <w:sz w:val="22"/>
                <w:szCs w:val="22"/>
                <w:lang w:val="en-US" w:eastAsia="zh-CN" w:bidi="ar-SA"/>
              </w:rPr>
              <w:t>办法</w:t>
            </w:r>
            <w:r>
              <w:rPr>
                <w:rFonts w:hint="default" w:ascii="Times New Roman" w:hAnsi="Times New Roman" w:eastAsia="宋体" w:cs="Times New Roman"/>
                <w:bCs/>
                <w:color w:val="auto"/>
                <w:w w:val="100"/>
                <w:kern w:val="2"/>
                <w:sz w:val="22"/>
                <w:szCs w:val="22"/>
                <w:lang w:val="en-US" w:eastAsia="zh-CN" w:bidi="ar-SA"/>
              </w:rPr>
              <w:t>》。一般工业固废贮存执行《一般工业固体废物贮存和填埋污染控制标准》（GB18599-2020）相关规定。危险废物贮存执行《危险废物贮存污染控制标准》（GB18597-20</w:t>
            </w:r>
            <w:r>
              <w:rPr>
                <w:rFonts w:hint="eastAsia" w:ascii="Times New Roman" w:hAnsi="Times New Roman" w:eastAsia="宋体" w:cs="Times New Roman"/>
                <w:bCs/>
                <w:color w:val="auto"/>
                <w:w w:val="100"/>
                <w:kern w:val="2"/>
                <w:sz w:val="22"/>
                <w:szCs w:val="22"/>
                <w:lang w:val="en-US" w:eastAsia="zh-CN" w:bidi="ar-SA"/>
              </w:rPr>
              <w:t>23</w:t>
            </w:r>
            <w:r>
              <w:rPr>
                <w:rFonts w:hint="default" w:ascii="Times New Roman" w:hAnsi="Times New Roman" w:eastAsia="宋体" w:cs="Times New Roman"/>
                <w:bCs/>
                <w:color w:val="auto"/>
                <w:w w:val="100"/>
                <w:kern w:val="2"/>
                <w:sz w:val="22"/>
                <w:szCs w:val="22"/>
                <w:lang w:val="en-US" w:eastAsia="zh-CN" w:bidi="ar-SA"/>
              </w:rPr>
              <w:t>）相关规定、《危险废物收集贮存运输技术规范》（HJ2025-2012）</w:t>
            </w:r>
            <w:r>
              <w:rPr>
                <w:rFonts w:hint="eastAsia" w:ascii="Times New Roman" w:hAnsi="Times New Roman" w:eastAsia="宋体" w:cs="Times New Roman"/>
                <w:bCs/>
                <w:color w:val="auto"/>
                <w:w w:val="100"/>
                <w:kern w:val="2"/>
                <w:sz w:val="22"/>
                <w:szCs w:val="22"/>
                <w:lang w:val="en-US" w:eastAsia="zh-CN" w:bidi="ar-SA"/>
              </w:rPr>
              <w:t>；</w:t>
            </w:r>
            <w:r>
              <w:rPr>
                <w:rFonts w:hint="default" w:ascii="Times New Roman" w:hAnsi="Times New Roman" w:eastAsia="宋体" w:cs="Times New Roman"/>
                <w:bCs/>
                <w:color w:val="auto"/>
                <w:w w:val="100"/>
                <w:kern w:val="2"/>
                <w:sz w:val="22"/>
                <w:szCs w:val="22"/>
                <w:lang w:val="en-US" w:eastAsia="zh-CN" w:bidi="ar-SA"/>
              </w:rPr>
              <w:t>固废贮存场所标志执行《环境保护图形标志固体废物贮存（处置）场》（GB15562.2-1995）要求</w:t>
            </w:r>
            <w:r>
              <w:rPr>
                <w:rFonts w:hint="eastAsia" w:cs="Times New Roman"/>
                <w:bCs/>
                <w:color w:val="auto"/>
                <w:w w:val="100"/>
                <w:kern w:val="2"/>
                <w:sz w:val="22"/>
                <w:szCs w:val="22"/>
                <w:lang w:val="en-US" w:eastAsia="zh-CN" w:bidi="ar-SA"/>
              </w:rPr>
              <w:t>；危险废物执行</w:t>
            </w:r>
            <w:r>
              <w:rPr>
                <w:color w:val="auto"/>
                <w:sz w:val="24"/>
                <w:szCs w:val="32"/>
              </w:rPr>
              <w:t>《危险废物管理计划和管理台账制定技术导则》（HJ1259-2022）、《危险废物识别标志设置技术规范》（HJ1276-2022）、</w:t>
            </w:r>
            <w:r>
              <w:rPr>
                <w:color w:val="auto"/>
                <w:sz w:val="24"/>
              </w:rPr>
              <w:t>省生态环境厅关于印发《江苏省固体废物全过程环境监管工作意见》的通知（苏环办</w:t>
            </w:r>
            <w:r>
              <w:rPr>
                <w:rFonts w:hint="eastAsia"/>
                <w:color w:val="auto"/>
                <w:sz w:val="24"/>
                <w:lang w:val="en-US" w:eastAsia="zh-CN"/>
              </w:rPr>
              <w:t>[</w:t>
            </w:r>
            <w:r>
              <w:rPr>
                <w:color w:val="auto"/>
                <w:sz w:val="24"/>
              </w:rPr>
              <w:t>2024</w:t>
            </w:r>
            <w:r>
              <w:rPr>
                <w:rFonts w:hint="eastAsia"/>
                <w:color w:val="auto"/>
                <w:sz w:val="24"/>
                <w:lang w:val="en-US" w:eastAsia="zh-CN"/>
              </w:rPr>
              <w:t>]</w:t>
            </w:r>
            <w:r>
              <w:rPr>
                <w:color w:val="auto"/>
                <w:sz w:val="24"/>
              </w:rPr>
              <w:t>16号）</w:t>
            </w:r>
            <w:r>
              <w:rPr>
                <w:color w:val="auto"/>
                <w:sz w:val="24"/>
                <w:szCs w:val="32"/>
              </w:rPr>
              <w:t>、《省生态环境厅关于做好江苏省危险废物全生命周期监控系统上线运行工作的通知》（苏环办</w:t>
            </w:r>
            <w:r>
              <w:rPr>
                <w:rFonts w:hint="eastAsia"/>
                <w:color w:val="auto"/>
                <w:sz w:val="24"/>
                <w:szCs w:val="32"/>
                <w:lang w:val="en-US" w:eastAsia="zh-CN"/>
              </w:rPr>
              <w:t>[</w:t>
            </w:r>
            <w:r>
              <w:rPr>
                <w:color w:val="auto"/>
                <w:sz w:val="24"/>
                <w:szCs w:val="32"/>
              </w:rPr>
              <w:t>2020</w:t>
            </w:r>
            <w:r>
              <w:rPr>
                <w:rFonts w:hint="eastAsia"/>
                <w:color w:val="auto"/>
                <w:sz w:val="24"/>
                <w:szCs w:val="32"/>
                <w:lang w:val="en-US" w:eastAsia="zh-CN"/>
              </w:rPr>
              <w:t>]</w:t>
            </w:r>
            <w:r>
              <w:rPr>
                <w:color w:val="auto"/>
                <w:sz w:val="24"/>
                <w:szCs w:val="32"/>
              </w:rPr>
              <w:t>401号）</w:t>
            </w:r>
            <w:r>
              <w:rPr>
                <w:rFonts w:hint="eastAsia"/>
                <w:color w:val="auto"/>
                <w:sz w:val="24"/>
                <w:szCs w:val="32"/>
                <w:lang w:val="en-US" w:eastAsia="zh-CN"/>
              </w:rPr>
              <w:t>中要求</w:t>
            </w:r>
            <w:r>
              <w:rPr>
                <w:rFonts w:hint="default" w:ascii="Times New Roman" w:hAnsi="Times New Roman" w:eastAsia="宋体" w:cs="Times New Roman"/>
                <w:bCs/>
                <w:color w:val="auto"/>
                <w:w w:val="100"/>
                <w:kern w:val="2"/>
                <w:sz w:val="22"/>
                <w:szCs w:val="22"/>
                <w:lang w:val="en-US" w:eastAsia="zh-CN" w:bidi="ar-SA"/>
              </w:rPr>
              <w:t>。</w:t>
            </w:r>
          </w:p>
          <w:p w14:paraId="22991BCC">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p w14:paraId="6E758C95">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p w14:paraId="621B1E06">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p w14:paraId="51DA2E90">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p w14:paraId="6514A840">
            <w:pPr>
              <w:pStyle w:val="17"/>
              <w:keepNext w:val="0"/>
              <w:keepLines w:val="0"/>
              <w:pageBreakBefore w:val="0"/>
              <w:widowControl w:val="0"/>
              <w:kinsoku/>
              <w:wordWrap/>
              <w:overflowPunct/>
              <w:topLinePunct w:val="0"/>
              <w:autoSpaceDE/>
              <w:autoSpaceDN/>
              <w:bidi w:val="0"/>
              <w:adjustRightInd/>
              <w:snapToGrid/>
              <w:spacing w:before="0" w:after="0" w:line="500" w:lineRule="exact"/>
              <w:ind w:left="0" w:right="0" w:firstLine="440" w:firstLineChars="20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p w14:paraId="7CC4F986">
            <w:pPr>
              <w:pStyle w:val="17"/>
              <w:keepNext w:val="0"/>
              <w:keepLines w:val="0"/>
              <w:pageBreakBefore w:val="0"/>
              <w:widowControl w:val="0"/>
              <w:kinsoku/>
              <w:wordWrap/>
              <w:overflowPunct/>
              <w:topLinePunct w:val="0"/>
              <w:autoSpaceDE/>
              <w:autoSpaceDN/>
              <w:bidi w:val="0"/>
              <w:adjustRightInd/>
              <w:snapToGrid/>
              <w:spacing w:before="0" w:after="0" w:line="500" w:lineRule="exact"/>
              <w:ind w:right="0"/>
              <w:jc w:val="both"/>
              <w:textAlignment w:val="auto"/>
              <w:outlineLvl w:val="9"/>
              <w:rPr>
                <w:rFonts w:hint="default" w:ascii="Times New Roman" w:hAnsi="Times New Roman" w:eastAsia="宋体" w:cs="Times New Roman"/>
                <w:bCs/>
                <w:color w:val="auto"/>
                <w:w w:val="100"/>
                <w:kern w:val="2"/>
                <w:sz w:val="22"/>
                <w:szCs w:val="22"/>
                <w:lang w:val="en-US" w:eastAsia="zh-CN" w:bidi="ar-SA"/>
              </w:rPr>
            </w:pPr>
          </w:p>
        </w:tc>
      </w:tr>
    </w:tbl>
    <w:p w14:paraId="2FC7D1BF">
      <w:pPr>
        <w:pStyle w:val="31"/>
        <w:keepNext w:val="0"/>
        <w:keepLines w:val="0"/>
        <w:pageBreakBefore w:val="0"/>
        <w:widowControl/>
        <w:kinsoku/>
        <w:wordWrap/>
        <w:overflowPunct/>
        <w:topLinePunct w:val="0"/>
        <w:autoSpaceDE/>
        <w:autoSpaceDN/>
        <w:bidi w:val="0"/>
        <w:adjustRightInd/>
        <w:snapToGrid/>
        <w:spacing w:before="0" w:beforeAutospacing="0" w:after="0" w:afterAutospacing="0" w:line="500" w:lineRule="exact"/>
        <w:jc w:val="center"/>
        <w:textAlignment w:val="auto"/>
        <w:outlineLvl w:val="9"/>
        <w:rPr>
          <w:rFonts w:ascii="黑体" w:hAnsi="黑体" w:eastAsia="黑体"/>
          <w:snapToGrid w:val="0"/>
          <w:color w:val="auto"/>
          <w:sz w:val="36"/>
          <w:szCs w:val="36"/>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670"/>
        <w:gridCol w:w="13958"/>
      </w:tblGrid>
      <w:tr w14:paraId="18B917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802" w:hRule="atLeast"/>
          <w:jc w:val="center"/>
        </w:trPr>
        <w:tc>
          <w:tcPr>
            <w:tcW w:w="229" w:type="pct"/>
            <w:tcBorders>
              <w:tl2br w:val="nil"/>
              <w:tr2bl w:val="nil"/>
            </w:tcBorders>
            <w:vAlign w:val="center"/>
          </w:tcPr>
          <w:p w14:paraId="669F50A9">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总量</w:t>
            </w:r>
          </w:p>
          <w:p w14:paraId="098234BD">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控制</w:t>
            </w:r>
          </w:p>
          <w:p w14:paraId="04A70A6C">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指标</w:t>
            </w:r>
          </w:p>
        </w:tc>
        <w:tc>
          <w:tcPr>
            <w:tcW w:w="4770" w:type="pct"/>
            <w:tcBorders>
              <w:tl2br w:val="nil"/>
              <w:tr2bl w:val="nil"/>
            </w:tcBorders>
          </w:tcPr>
          <w:p w14:paraId="5236E69E">
            <w:pPr>
              <w:keepNext w:val="0"/>
              <w:keepLines w:val="0"/>
              <w:pageBreakBefore w:val="0"/>
              <w:widowControl w:val="0"/>
              <w:kinsoku/>
              <w:wordWrap/>
              <w:overflowPunct/>
              <w:topLinePunct w:val="0"/>
              <w:autoSpaceDE/>
              <w:autoSpaceDN/>
              <w:bidi w:val="0"/>
              <w:adjustRightInd w:val="0"/>
              <w:snapToGrid w:val="0"/>
              <w:spacing w:line="500" w:lineRule="exact"/>
              <w:ind w:firstLine="442" w:firstLineChars="200"/>
              <w:jc w:val="left"/>
              <w:textAlignment w:val="auto"/>
              <w:outlineLvl w:val="9"/>
              <w:rPr>
                <w:rFonts w:hint="default" w:ascii="Times New Roman" w:hAnsi="Times New Roman" w:eastAsia="宋体" w:cs="Times New Roman"/>
                <w:b w:val="0"/>
                <w:bCs w:val="0"/>
                <w:color w:val="auto"/>
                <w:sz w:val="22"/>
                <w:szCs w:val="22"/>
                <w:lang w:val="en-US" w:eastAsia="zh-CN"/>
              </w:rPr>
            </w:pPr>
            <w:r>
              <w:rPr>
                <w:rFonts w:hint="default" w:ascii="Times New Roman" w:hAnsi="Times New Roman" w:eastAsia="宋体" w:cs="Times New Roman"/>
                <w:b/>
                <w:bCs/>
                <w:color w:val="auto"/>
                <w:sz w:val="22"/>
                <w:szCs w:val="22"/>
                <w:lang w:val="en-US" w:eastAsia="zh-CN"/>
              </w:rPr>
              <w:t>3.4总量控制指标</w:t>
            </w:r>
          </w:p>
          <w:p w14:paraId="125D65A4">
            <w:pPr>
              <w:keepNext w:val="0"/>
              <w:keepLines w:val="0"/>
              <w:pageBreakBefore w:val="0"/>
              <w:widowControl w:val="0"/>
              <w:kinsoku/>
              <w:wordWrap/>
              <w:overflowPunct/>
              <w:topLinePunct w:val="0"/>
              <w:autoSpaceDE/>
              <w:autoSpaceDN/>
              <w:bidi w:val="0"/>
              <w:adjustRightInd w:val="0"/>
              <w:snapToGrid w:val="0"/>
              <w:spacing w:line="500" w:lineRule="exact"/>
              <w:ind w:firstLine="440" w:firstLineChars="200"/>
              <w:jc w:val="left"/>
              <w:textAlignment w:val="auto"/>
              <w:outlineLvl w:val="9"/>
              <w:rPr>
                <w:rFonts w:hint="default" w:ascii="Times New Roman" w:hAnsi="Times New Roman" w:eastAsia="宋体" w:cs="Times New Roman"/>
                <w:b/>
                <w:bCs/>
                <w:color w:val="auto"/>
                <w:sz w:val="22"/>
                <w:szCs w:val="22"/>
                <w:lang w:eastAsia="zh-CN"/>
              </w:rPr>
            </w:pPr>
            <w:r>
              <w:rPr>
                <w:rFonts w:hint="default" w:ascii="Times New Roman" w:hAnsi="Times New Roman" w:eastAsia="宋体" w:cs="Times New Roman"/>
                <w:b w:val="0"/>
                <w:bCs w:val="0"/>
                <w:color w:val="auto"/>
                <w:sz w:val="22"/>
                <w:szCs w:val="22"/>
                <w:lang w:eastAsia="zh-CN"/>
              </w:rPr>
              <w:t>本项目污染物总量排放见表3</w:t>
            </w:r>
            <w:r>
              <w:rPr>
                <w:rFonts w:hint="eastAsia" w:ascii="Times New Roman" w:hAnsi="Times New Roman" w:eastAsia="宋体" w:cs="Times New Roman"/>
                <w:b w:val="0"/>
                <w:bCs w:val="0"/>
                <w:color w:val="auto"/>
                <w:sz w:val="22"/>
                <w:szCs w:val="22"/>
                <w:lang w:val="en-US" w:eastAsia="zh-CN"/>
              </w:rPr>
              <w:t>.4-1</w:t>
            </w:r>
            <w:r>
              <w:rPr>
                <w:rFonts w:hint="default" w:ascii="Times New Roman" w:hAnsi="Times New Roman" w:eastAsia="宋体" w:cs="Times New Roman"/>
                <w:b w:val="0"/>
                <w:bCs w:val="0"/>
                <w:color w:val="auto"/>
                <w:sz w:val="22"/>
                <w:szCs w:val="22"/>
                <w:lang w:eastAsia="zh-CN"/>
              </w:rPr>
              <w:t>。</w:t>
            </w:r>
          </w:p>
          <w:p w14:paraId="3075480E">
            <w:pPr>
              <w:keepNext w:val="0"/>
              <w:keepLines w:val="0"/>
              <w:pageBreakBefore w:val="0"/>
              <w:widowControl w:val="0"/>
              <w:kinsoku/>
              <w:wordWrap/>
              <w:overflowPunct/>
              <w:topLinePunct w:val="0"/>
              <w:autoSpaceDE/>
              <w:autoSpaceDN/>
              <w:bidi w:val="0"/>
              <w:adjustRightInd w:val="0"/>
              <w:snapToGrid w:val="0"/>
              <w:spacing w:line="500" w:lineRule="exact"/>
              <w:ind w:firstLine="0" w:firstLineChars="0"/>
              <w:jc w:val="center"/>
              <w:textAlignment w:val="auto"/>
              <w:outlineLvl w:val="9"/>
              <w:rPr>
                <w:rFonts w:hint="default" w:ascii="Times New Roman" w:hAnsi="Times New Roman" w:eastAsia="宋体" w:cs="Times New Roman"/>
                <w:b/>
                <w:bCs/>
                <w:color w:val="auto"/>
                <w:sz w:val="22"/>
                <w:szCs w:val="22"/>
                <w:lang w:eastAsia="zh-CN"/>
              </w:rPr>
            </w:pPr>
            <w:r>
              <w:rPr>
                <w:rFonts w:hint="default" w:ascii="Times New Roman" w:hAnsi="Times New Roman" w:eastAsia="宋体" w:cs="Times New Roman"/>
                <w:b/>
                <w:bCs/>
                <w:color w:val="auto"/>
                <w:sz w:val="22"/>
                <w:szCs w:val="22"/>
                <w:lang w:eastAsia="zh-CN"/>
              </w:rPr>
              <w:t>表</w:t>
            </w:r>
            <w:r>
              <w:rPr>
                <w:rFonts w:hint="default" w:ascii="Times New Roman" w:hAnsi="Times New Roman" w:eastAsia="宋体" w:cs="Times New Roman"/>
                <w:b/>
                <w:bCs/>
                <w:color w:val="auto"/>
                <w:sz w:val="22"/>
                <w:szCs w:val="22"/>
                <w:lang w:val="en-US" w:eastAsia="zh-CN"/>
              </w:rPr>
              <w:t>3</w:t>
            </w:r>
            <w:r>
              <w:rPr>
                <w:rFonts w:hint="eastAsia" w:ascii="Times New Roman" w:hAnsi="Times New Roman" w:eastAsia="宋体" w:cs="Times New Roman"/>
                <w:b/>
                <w:bCs/>
                <w:color w:val="auto"/>
                <w:sz w:val="22"/>
                <w:szCs w:val="22"/>
                <w:lang w:val="en-US" w:eastAsia="zh-CN"/>
              </w:rPr>
              <w:t>.4-1</w:t>
            </w:r>
            <w:r>
              <w:rPr>
                <w:rFonts w:hint="default"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lang w:eastAsia="zh-CN"/>
              </w:rPr>
              <w:t>全厂污染物“三本帐”一览表</w:t>
            </w:r>
            <w:r>
              <w:rPr>
                <w:rFonts w:hint="default" w:ascii="Times New Roman" w:hAnsi="Times New Roman" w:eastAsia="宋体" w:cs="Times New Roman"/>
                <w:b/>
                <w:bCs/>
                <w:color w:val="auto"/>
                <w:sz w:val="22"/>
                <w:szCs w:val="22"/>
                <w:lang w:val="en-US" w:eastAsia="zh-CN"/>
              </w:rPr>
              <w:t xml:space="preserve">  （单位</w:t>
            </w:r>
            <w:r>
              <w:rPr>
                <w:rFonts w:hint="default" w:ascii="Times New Roman" w:hAnsi="Times New Roman" w:eastAsia="宋体" w:cs="Times New Roman"/>
                <w:b/>
                <w:bCs/>
                <w:color w:val="auto"/>
                <w:sz w:val="22"/>
                <w:szCs w:val="22"/>
                <w:lang w:eastAsia="zh-CN"/>
              </w:rPr>
              <w:t>：t/a</w:t>
            </w:r>
            <w:r>
              <w:rPr>
                <w:rFonts w:hint="default" w:ascii="Times New Roman" w:hAnsi="Times New Roman" w:eastAsia="宋体" w:cs="Times New Roman"/>
                <w:b/>
                <w:bCs/>
                <w:color w:val="auto"/>
                <w:sz w:val="22"/>
                <w:szCs w:val="22"/>
                <w:lang w:val="en-US" w:eastAsia="zh-CN"/>
              </w:rPr>
              <w:t>）</w:t>
            </w:r>
          </w:p>
          <w:tbl>
            <w:tblPr>
              <w:tblStyle w:val="43"/>
              <w:tblW w:w="4999" w:type="pct"/>
              <w:jc w:val="center"/>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Layout w:type="fixed"/>
              <w:tblCellMar>
                <w:top w:w="0" w:type="dxa"/>
                <w:left w:w="0" w:type="dxa"/>
                <w:bottom w:w="0" w:type="dxa"/>
                <w:right w:w="0" w:type="dxa"/>
              </w:tblCellMar>
            </w:tblPr>
            <w:tblGrid>
              <w:gridCol w:w="672"/>
              <w:gridCol w:w="1763"/>
              <w:gridCol w:w="983"/>
              <w:gridCol w:w="850"/>
              <w:gridCol w:w="1138"/>
              <w:gridCol w:w="1017"/>
              <w:gridCol w:w="889"/>
              <w:gridCol w:w="887"/>
              <w:gridCol w:w="838"/>
              <w:gridCol w:w="844"/>
              <w:gridCol w:w="1118"/>
              <w:gridCol w:w="959"/>
              <w:gridCol w:w="800"/>
              <w:gridCol w:w="1142"/>
            </w:tblGrid>
            <w:tr w14:paraId="0827C31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restart"/>
                  <w:tcBorders>
                    <w:tl2br w:val="nil"/>
                    <w:tr2bl w:val="nil"/>
                  </w:tcBorders>
                  <w:shd w:val="clear" w:color="auto" w:fill="auto"/>
                  <w:noWrap/>
                  <w:tcMar>
                    <w:top w:w="15" w:type="dxa"/>
                    <w:left w:w="15" w:type="dxa"/>
                    <w:right w:w="15" w:type="dxa"/>
                  </w:tcMar>
                  <w:vAlign w:val="center"/>
                </w:tcPr>
                <w:p w14:paraId="5DBE2F8C">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center"/>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种类</w:t>
                  </w:r>
                </w:p>
              </w:tc>
              <w:tc>
                <w:tcPr>
                  <w:tcW w:w="634" w:type="pct"/>
                  <w:vMerge w:val="restart"/>
                  <w:tcBorders>
                    <w:tl2br w:val="nil"/>
                    <w:tr2bl w:val="nil"/>
                  </w:tcBorders>
                  <w:shd w:val="clear" w:color="auto" w:fill="auto"/>
                  <w:tcMar>
                    <w:top w:w="15" w:type="dxa"/>
                    <w:left w:w="15" w:type="dxa"/>
                    <w:right w:w="15" w:type="dxa"/>
                  </w:tcMar>
                  <w:vAlign w:val="center"/>
                </w:tcPr>
                <w:p w14:paraId="17E27656">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center"/>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污染物名称</w:t>
                  </w:r>
                </w:p>
              </w:tc>
              <w:tc>
                <w:tcPr>
                  <w:tcW w:w="659" w:type="pct"/>
                  <w:gridSpan w:val="2"/>
                  <w:tcBorders>
                    <w:tl2br w:val="nil"/>
                    <w:tr2bl w:val="nil"/>
                  </w:tcBorders>
                  <w:shd w:val="clear" w:color="auto" w:fill="auto"/>
                  <w:noWrap/>
                  <w:tcMar>
                    <w:top w:w="15" w:type="dxa"/>
                    <w:left w:w="15" w:type="dxa"/>
                    <w:right w:w="15" w:type="dxa"/>
                  </w:tcMar>
                  <w:vAlign w:val="center"/>
                </w:tcPr>
                <w:p w14:paraId="66316F0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现有项目排放量</w:t>
                  </w:r>
                </w:p>
              </w:tc>
              <w:tc>
                <w:tcPr>
                  <w:tcW w:w="1414" w:type="pct"/>
                  <w:gridSpan w:val="4"/>
                  <w:tcBorders>
                    <w:tl2br w:val="nil"/>
                    <w:tr2bl w:val="nil"/>
                  </w:tcBorders>
                  <w:shd w:val="clear" w:color="auto" w:fill="auto"/>
                  <w:noWrap/>
                  <w:tcMar>
                    <w:top w:w="15" w:type="dxa"/>
                    <w:left w:w="15" w:type="dxa"/>
                    <w:right w:w="15" w:type="dxa"/>
                  </w:tcMar>
                  <w:vAlign w:val="center"/>
                </w:tcPr>
                <w:p w14:paraId="70908185">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技改扩建项目</w:t>
                  </w:r>
                </w:p>
              </w:tc>
              <w:tc>
                <w:tcPr>
                  <w:tcW w:w="605" w:type="pct"/>
                  <w:gridSpan w:val="2"/>
                  <w:tcBorders>
                    <w:tl2br w:val="nil"/>
                    <w:tr2bl w:val="nil"/>
                  </w:tcBorders>
                  <w:shd w:val="clear" w:color="auto" w:fill="auto"/>
                  <w:noWrap/>
                  <w:tcMar>
                    <w:top w:w="15" w:type="dxa"/>
                    <w:left w:w="15" w:type="dxa"/>
                    <w:right w:w="15" w:type="dxa"/>
                  </w:tcMar>
                  <w:vAlign w:val="center"/>
                </w:tcPr>
                <w:p w14:paraId="2B97EAB4">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“以新带老”削减</w:t>
                  </w:r>
                </w:p>
              </w:tc>
              <w:tc>
                <w:tcPr>
                  <w:tcW w:w="747" w:type="pct"/>
                  <w:gridSpan w:val="2"/>
                  <w:tcBorders>
                    <w:tl2br w:val="nil"/>
                    <w:tr2bl w:val="nil"/>
                  </w:tcBorders>
                  <w:shd w:val="clear" w:color="auto" w:fill="auto"/>
                  <w:noWrap/>
                  <w:tcMar>
                    <w:top w:w="15" w:type="dxa"/>
                    <w:left w:w="15" w:type="dxa"/>
                    <w:right w:w="15" w:type="dxa"/>
                  </w:tcMar>
                  <w:vAlign w:val="center"/>
                </w:tcPr>
                <w:p w14:paraId="5F124C85">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排放増减量</w:t>
                  </w:r>
                </w:p>
              </w:tc>
              <w:tc>
                <w:tcPr>
                  <w:tcW w:w="698" w:type="pct"/>
                  <w:gridSpan w:val="2"/>
                  <w:tcBorders>
                    <w:tl2br w:val="nil"/>
                    <w:tr2bl w:val="nil"/>
                  </w:tcBorders>
                  <w:shd w:val="clear" w:color="auto" w:fill="auto"/>
                  <w:noWrap/>
                  <w:tcMar>
                    <w:top w:w="15" w:type="dxa"/>
                    <w:left w:w="15" w:type="dxa"/>
                    <w:right w:w="15" w:type="dxa"/>
                  </w:tcMar>
                  <w:vAlign w:val="center"/>
                </w:tcPr>
                <w:p w14:paraId="2EAA56CD">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全厂排放总量</w:t>
                  </w:r>
                </w:p>
              </w:tc>
            </w:tr>
            <w:tr w14:paraId="417EC68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727AC22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b/>
                      <w:bCs/>
                      <w:i w:val="0"/>
                      <w:color w:val="auto"/>
                      <w:sz w:val="21"/>
                      <w:szCs w:val="21"/>
                      <w:u w:val="none"/>
                    </w:rPr>
                  </w:pPr>
                </w:p>
              </w:tc>
              <w:tc>
                <w:tcPr>
                  <w:tcW w:w="634" w:type="pct"/>
                  <w:vMerge w:val="continue"/>
                  <w:tcBorders>
                    <w:tl2br w:val="nil"/>
                    <w:tr2bl w:val="nil"/>
                  </w:tcBorders>
                  <w:shd w:val="clear" w:color="auto" w:fill="auto"/>
                  <w:tcMar>
                    <w:top w:w="15" w:type="dxa"/>
                    <w:left w:w="15" w:type="dxa"/>
                    <w:right w:w="15" w:type="dxa"/>
                  </w:tcMar>
                  <w:vAlign w:val="center"/>
                </w:tcPr>
                <w:p w14:paraId="1336DA4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b/>
                      <w:bCs/>
                      <w:i w:val="0"/>
                      <w:color w:val="auto"/>
                      <w:sz w:val="21"/>
                      <w:szCs w:val="21"/>
                      <w:u w:val="none"/>
                    </w:rPr>
                  </w:pPr>
                </w:p>
              </w:tc>
              <w:tc>
                <w:tcPr>
                  <w:tcW w:w="353" w:type="pct"/>
                  <w:tcBorders>
                    <w:tl2br w:val="nil"/>
                    <w:tr2bl w:val="nil"/>
                  </w:tcBorders>
                  <w:shd w:val="clear" w:color="auto" w:fill="auto"/>
                  <w:noWrap/>
                  <w:tcMar>
                    <w:top w:w="15" w:type="dxa"/>
                    <w:left w:w="15" w:type="dxa"/>
                    <w:right w:w="15" w:type="dxa"/>
                  </w:tcMar>
                  <w:vAlign w:val="center"/>
                </w:tcPr>
                <w:p w14:paraId="26FB118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接管量</w:t>
                  </w:r>
                </w:p>
              </w:tc>
              <w:tc>
                <w:tcPr>
                  <w:tcW w:w="305" w:type="pct"/>
                  <w:tcBorders>
                    <w:tl2br w:val="nil"/>
                    <w:tr2bl w:val="nil"/>
                  </w:tcBorders>
                  <w:shd w:val="clear" w:color="auto" w:fill="auto"/>
                  <w:tcMar>
                    <w:top w:w="15" w:type="dxa"/>
                    <w:left w:w="15" w:type="dxa"/>
                    <w:right w:w="15" w:type="dxa"/>
                  </w:tcMar>
                  <w:vAlign w:val="center"/>
                </w:tcPr>
                <w:p w14:paraId="6EF95423">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环境排放量</w:t>
                  </w:r>
                </w:p>
              </w:tc>
              <w:tc>
                <w:tcPr>
                  <w:tcW w:w="409" w:type="pct"/>
                  <w:tcBorders>
                    <w:tl2br w:val="nil"/>
                    <w:tr2bl w:val="nil"/>
                  </w:tcBorders>
                  <w:shd w:val="clear" w:color="auto" w:fill="auto"/>
                  <w:noWrap/>
                  <w:tcMar>
                    <w:top w:w="15" w:type="dxa"/>
                    <w:left w:w="15" w:type="dxa"/>
                    <w:right w:w="15" w:type="dxa"/>
                  </w:tcMar>
                  <w:vAlign w:val="center"/>
                </w:tcPr>
                <w:p w14:paraId="31343EAD">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产生量</w:t>
                  </w:r>
                </w:p>
              </w:tc>
              <w:tc>
                <w:tcPr>
                  <w:tcW w:w="365" w:type="pct"/>
                  <w:tcBorders>
                    <w:tl2br w:val="nil"/>
                    <w:tr2bl w:val="nil"/>
                  </w:tcBorders>
                  <w:shd w:val="clear" w:color="auto" w:fill="auto"/>
                  <w:noWrap/>
                  <w:tcMar>
                    <w:top w:w="15" w:type="dxa"/>
                    <w:left w:w="15" w:type="dxa"/>
                    <w:right w:w="15" w:type="dxa"/>
                  </w:tcMar>
                  <w:vAlign w:val="center"/>
                </w:tcPr>
                <w:p w14:paraId="75F567E9">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削减量</w:t>
                  </w:r>
                </w:p>
              </w:tc>
              <w:tc>
                <w:tcPr>
                  <w:tcW w:w="319" w:type="pct"/>
                  <w:tcBorders>
                    <w:tl2br w:val="nil"/>
                    <w:tr2bl w:val="nil"/>
                  </w:tcBorders>
                  <w:shd w:val="clear" w:color="auto" w:fill="auto"/>
                  <w:noWrap/>
                  <w:tcMar>
                    <w:top w:w="15" w:type="dxa"/>
                    <w:left w:w="15" w:type="dxa"/>
                    <w:right w:w="15" w:type="dxa"/>
                  </w:tcMar>
                  <w:vAlign w:val="center"/>
                </w:tcPr>
                <w:p w14:paraId="55DB0C8C">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接管量</w:t>
                  </w:r>
                </w:p>
              </w:tc>
              <w:tc>
                <w:tcPr>
                  <w:tcW w:w="319" w:type="pct"/>
                  <w:tcBorders>
                    <w:tl2br w:val="nil"/>
                    <w:tr2bl w:val="nil"/>
                  </w:tcBorders>
                  <w:shd w:val="clear" w:color="auto" w:fill="auto"/>
                  <w:tcMar>
                    <w:top w:w="15" w:type="dxa"/>
                    <w:left w:w="15" w:type="dxa"/>
                    <w:right w:w="15" w:type="dxa"/>
                  </w:tcMar>
                  <w:vAlign w:val="center"/>
                </w:tcPr>
                <w:p w14:paraId="6AA12E89">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环境排放量</w:t>
                  </w:r>
                </w:p>
              </w:tc>
              <w:tc>
                <w:tcPr>
                  <w:tcW w:w="301" w:type="pct"/>
                  <w:tcBorders>
                    <w:tl2br w:val="nil"/>
                    <w:tr2bl w:val="nil"/>
                  </w:tcBorders>
                  <w:shd w:val="clear" w:color="auto" w:fill="auto"/>
                  <w:noWrap/>
                  <w:tcMar>
                    <w:top w:w="15" w:type="dxa"/>
                    <w:left w:w="15" w:type="dxa"/>
                    <w:right w:w="15" w:type="dxa"/>
                  </w:tcMar>
                  <w:vAlign w:val="center"/>
                </w:tcPr>
                <w:p w14:paraId="00FD49B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接管量</w:t>
                  </w:r>
                </w:p>
              </w:tc>
              <w:tc>
                <w:tcPr>
                  <w:tcW w:w="303" w:type="pct"/>
                  <w:tcBorders>
                    <w:tl2br w:val="nil"/>
                    <w:tr2bl w:val="nil"/>
                  </w:tcBorders>
                  <w:shd w:val="clear" w:color="auto" w:fill="auto"/>
                  <w:tcMar>
                    <w:top w:w="15" w:type="dxa"/>
                    <w:left w:w="15" w:type="dxa"/>
                    <w:right w:w="15" w:type="dxa"/>
                  </w:tcMar>
                  <w:vAlign w:val="center"/>
                </w:tcPr>
                <w:p w14:paraId="5F769001">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环境排放量</w:t>
                  </w:r>
                </w:p>
              </w:tc>
              <w:tc>
                <w:tcPr>
                  <w:tcW w:w="402" w:type="pct"/>
                  <w:tcBorders>
                    <w:tl2br w:val="nil"/>
                    <w:tr2bl w:val="nil"/>
                  </w:tcBorders>
                  <w:shd w:val="clear" w:color="auto" w:fill="auto"/>
                  <w:noWrap/>
                  <w:tcMar>
                    <w:top w:w="15" w:type="dxa"/>
                    <w:left w:w="15" w:type="dxa"/>
                    <w:right w:w="15" w:type="dxa"/>
                  </w:tcMar>
                  <w:vAlign w:val="center"/>
                </w:tcPr>
                <w:p w14:paraId="4B4231FE">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接管量</w:t>
                  </w:r>
                </w:p>
              </w:tc>
              <w:tc>
                <w:tcPr>
                  <w:tcW w:w="344" w:type="pct"/>
                  <w:tcBorders>
                    <w:tl2br w:val="nil"/>
                    <w:tr2bl w:val="nil"/>
                  </w:tcBorders>
                  <w:shd w:val="clear" w:color="auto" w:fill="auto"/>
                  <w:tcMar>
                    <w:top w:w="15" w:type="dxa"/>
                    <w:left w:w="15" w:type="dxa"/>
                    <w:right w:w="15" w:type="dxa"/>
                  </w:tcMar>
                  <w:vAlign w:val="center"/>
                </w:tcPr>
                <w:p w14:paraId="5ABD1AEC">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环境排放量</w:t>
                  </w:r>
                </w:p>
              </w:tc>
              <w:tc>
                <w:tcPr>
                  <w:tcW w:w="287" w:type="pct"/>
                  <w:tcBorders>
                    <w:tl2br w:val="nil"/>
                    <w:tr2bl w:val="nil"/>
                  </w:tcBorders>
                  <w:shd w:val="clear" w:color="auto" w:fill="auto"/>
                  <w:noWrap/>
                  <w:tcMar>
                    <w:top w:w="15" w:type="dxa"/>
                    <w:left w:w="15" w:type="dxa"/>
                    <w:right w:w="15" w:type="dxa"/>
                  </w:tcMar>
                  <w:vAlign w:val="center"/>
                </w:tcPr>
                <w:p w14:paraId="3E7B7ED6">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接管量</w:t>
                  </w:r>
                </w:p>
              </w:tc>
              <w:tc>
                <w:tcPr>
                  <w:tcW w:w="410" w:type="pct"/>
                  <w:tcBorders>
                    <w:tl2br w:val="nil"/>
                    <w:tr2bl w:val="nil"/>
                  </w:tcBorders>
                  <w:shd w:val="clear" w:color="auto" w:fill="auto"/>
                  <w:tcMar>
                    <w:top w:w="15" w:type="dxa"/>
                    <w:left w:w="15" w:type="dxa"/>
                    <w:right w:w="15" w:type="dxa"/>
                  </w:tcMar>
                  <w:vAlign w:val="center"/>
                </w:tcPr>
                <w:p w14:paraId="593A1F71">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b/>
                      <w:bCs/>
                      <w:i w:val="0"/>
                      <w:color w:val="auto"/>
                      <w:sz w:val="21"/>
                      <w:szCs w:val="21"/>
                      <w:u w:val="none"/>
                    </w:rPr>
                  </w:pPr>
                  <w:r>
                    <w:rPr>
                      <w:rStyle w:val="78"/>
                      <w:rFonts w:hint="default" w:ascii="Times New Roman" w:hAnsi="Times New Roman" w:eastAsia="宋体" w:cs="Times New Roman"/>
                      <w:b/>
                      <w:bCs/>
                      <w:color w:val="auto"/>
                      <w:sz w:val="21"/>
                      <w:szCs w:val="21"/>
                      <w:lang w:val="en-US" w:eastAsia="zh-CN" w:bidi="ar"/>
                    </w:rPr>
                    <w:t>环境排放量</w:t>
                  </w:r>
                </w:p>
              </w:tc>
            </w:tr>
            <w:tr w14:paraId="0CF8223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restart"/>
                  <w:tcBorders>
                    <w:tl2br w:val="nil"/>
                    <w:tr2bl w:val="nil"/>
                  </w:tcBorders>
                  <w:shd w:val="clear" w:color="auto" w:fill="auto"/>
                  <w:noWrap/>
                  <w:tcMar>
                    <w:top w:w="15" w:type="dxa"/>
                    <w:left w:w="15" w:type="dxa"/>
                    <w:right w:w="15" w:type="dxa"/>
                  </w:tcMar>
                  <w:vAlign w:val="center"/>
                </w:tcPr>
                <w:p w14:paraId="23CE901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center"/>
                    <w:outlineLvl w:val="9"/>
                    <w:rPr>
                      <w:rFonts w:hint="default" w:ascii="Times New Roman" w:hAnsi="Times New Roman" w:eastAsia="宋体" w:cs="Times New Roman"/>
                      <w:i w:val="0"/>
                      <w:color w:val="auto"/>
                      <w:sz w:val="21"/>
                      <w:szCs w:val="21"/>
                      <w:u w:val="none"/>
                    </w:rPr>
                  </w:pPr>
                  <w:r>
                    <w:rPr>
                      <w:rStyle w:val="78"/>
                      <w:rFonts w:hint="default" w:ascii="Times New Roman" w:hAnsi="Times New Roman" w:eastAsia="宋体" w:cs="Times New Roman"/>
                      <w:color w:val="auto"/>
                      <w:sz w:val="21"/>
                      <w:szCs w:val="21"/>
                      <w:lang w:val="en-US" w:eastAsia="zh-CN" w:bidi="ar"/>
                    </w:rPr>
                    <w:t>废水</w:t>
                  </w:r>
                </w:p>
              </w:tc>
              <w:tc>
                <w:tcPr>
                  <w:tcW w:w="634" w:type="pct"/>
                  <w:tcBorders>
                    <w:tl2br w:val="nil"/>
                    <w:tr2bl w:val="nil"/>
                  </w:tcBorders>
                  <w:shd w:val="clear" w:color="auto" w:fill="auto"/>
                  <w:noWrap/>
                  <w:tcMar>
                    <w:top w:w="15" w:type="dxa"/>
                    <w:left w:w="15" w:type="dxa"/>
                    <w:right w:w="15" w:type="dxa"/>
                  </w:tcMar>
                  <w:vAlign w:val="center"/>
                </w:tcPr>
                <w:p w14:paraId="09E7746E">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sz w:val="21"/>
                      <w:szCs w:val="21"/>
                      <w:u w:val="none"/>
                    </w:rPr>
                  </w:pPr>
                  <w:r>
                    <w:rPr>
                      <w:rStyle w:val="78"/>
                      <w:rFonts w:hint="default" w:ascii="Times New Roman" w:hAnsi="Times New Roman" w:eastAsia="宋体" w:cs="Times New Roman"/>
                      <w:color w:val="auto"/>
                      <w:sz w:val="21"/>
                      <w:szCs w:val="21"/>
                      <w:lang w:val="en-US" w:eastAsia="zh-CN" w:bidi="ar"/>
                    </w:rPr>
                    <w:t>废水量</w:t>
                  </w:r>
                  <w:r>
                    <w:rPr>
                      <w:rFonts w:hint="eastAsia" w:cs="Times New Roman"/>
                      <w:i w:val="0"/>
                      <w:color w:val="auto"/>
                      <w:kern w:val="0"/>
                      <w:sz w:val="21"/>
                      <w:szCs w:val="21"/>
                      <w:u w:val="none"/>
                      <w:lang w:val="en-US" w:eastAsia="zh-CN" w:bidi="ar"/>
                    </w:rPr>
                    <w:t>（</w:t>
                  </w:r>
                  <w:r>
                    <w:rPr>
                      <w:rFonts w:hint="default" w:ascii="Times New Roman" w:hAnsi="Times New Roman" w:eastAsia="宋体" w:cs="Times New Roman"/>
                      <w:i w:val="0"/>
                      <w:color w:val="auto"/>
                      <w:kern w:val="0"/>
                      <w:sz w:val="21"/>
                      <w:szCs w:val="21"/>
                      <w:u w:val="none"/>
                      <w:lang w:val="en-US" w:eastAsia="zh-CN" w:bidi="ar"/>
                    </w:rPr>
                    <w:t>m</w:t>
                  </w:r>
                  <w:r>
                    <w:rPr>
                      <w:rFonts w:hint="default" w:ascii="Times New Roman" w:hAnsi="Times New Roman" w:eastAsia="宋体" w:cs="Times New Roman"/>
                      <w:i w:val="0"/>
                      <w:color w:val="auto"/>
                      <w:kern w:val="0"/>
                      <w:sz w:val="21"/>
                      <w:szCs w:val="21"/>
                      <w:u w:val="none"/>
                      <w:vertAlign w:val="superscript"/>
                      <w:lang w:val="en-US" w:eastAsia="zh-CN" w:bidi="ar"/>
                    </w:rPr>
                    <w:t>3</w:t>
                  </w:r>
                  <w:r>
                    <w:rPr>
                      <w:rFonts w:hint="default" w:ascii="Times New Roman" w:hAnsi="Times New Roman" w:eastAsia="宋体" w:cs="Times New Roman"/>
                      <w:i w:val="0"/>
                      <w:color w:val="auto"/>
                      <w:kern w:val="0"/>
                      <w:sz w:val="21"/>
                      <w:szCs w:val="21"/>
                      <w:u w:val="none"/>
                      <w:lang w:val="en-US" w:eastAsia="zh-CN" w:bidi="ar"/>
                    </w:rPr>
                    <w:t>/a</w:t>
                  </w:r>
                  <w:r>
                    <w:rPr>
                      <w:rFonts w:hint="eastAsia" w:cs="Times New Roman"/>
                      <w:i w:val="0"/>
                      <w:color w:val="auto"/>
                      <w:kern w:val="0"/>
                      <w:sz w:val="21"/>
                      <w:szCs w:val="21"/>
                      <w:u w:val="none"/>
                      <w:lang w:val="en-US" w:eastAsia="zh-CN" w:bidi="ar"/>
                    </w:rPr>
                    <w:t>）</w:t>
                  </w:r>
                </w:p>
              </w:tc>
              <w:tc>
                <w:tcPr>
                  <w:tcW w:w="353" w:type="pct"/>
                  <w:tcBorders>
                    <w:tl2br w:val="nil"/>
                    <w:tr2bl w:val="nil"/>
                  </w:tcBorders>
                  <w:shd w:val="clear" w:color="auto" w:fill="auto"/>
                  <w:noWrap/>
                  <w:tcMar>
                    <w:top w:w="15" w:type="dxa"/>
                    <w:left w:w="15" w:type="dxa"/>
                    <w:right w:w="15" w:type="dxa"/>
                  </w:tcMar>
                  <w:vAlign w:val="center"/>
                </w:tcPr>
                <w:p w14:paraId="15AB60CA">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5B29FD0C">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31FEBE5D">
                  <w:pPr>
                    <w:spacing w:line="360" w:lineRule="exact"/>
                    <w:jc w:val="center"/>
                    <w:rPr>
                      <w:rFonts w:hint="default" w:ascii="Times New Roman" w:hAnsi="Times New Roman" w:eastAsia="宋体" w:cs="Times New Roman"/>
                      <w:color w:val="auto"/>
                      <w:spacing w:val="-3"/>
                      <w:kern w:val="2"/>
                      <w:sz w:val="21"/>
                      <w:szCs w:val="21"/>
                      <w:lang w:val="en-US" w:eastAsia="zh-CN" w:bidi="ar-SA"/>
                    </w:rPr>
                  </w:pPr>
                  <w:r>
                    <w:rPr>
                      <w:rFonts w:hint="eastAsia" w:ascii="Times New Roman" w:hAnsi="Times New Roman" w:eastAsia="宋体" w:cs="Times New Roman"/>
                      <w:color w:val="auto"/>
                      <w:spacing w:val="-3"/>
                      <w:szCs w:val="21"/>
                      <w:lang w:val="en-US" w:eastAsia="zh-CN"/>
                    </w:rPr>
                    <w:t>1350</w:t>
                  </w:r>
                </w:p>
              </w:tc>
              <w:tc>
                <w:tcPr>
                  <w:tcW w:w="365" w:type="pct"/>
                  <w:tcBorders>
                    <w:tl2br w:val="nil"/>
                    <w:tr2bl w:val="nil"/>
                  </w:tcBorders>
                  <w:shd w:val="clear" w:color="auto" w:fill="auto"/>
                  <w:noWrap/>
                  <w:tcMar>
                    <w:top w:w="15" w:type="dxa"/>
                    <w:left w:w="15" w:type="dxa"/>
                    <w:right w:w="15" w:type="dxa"/>
                  </w:tcMar>
                  <w:vAlign w:val="center"/>
                </w:tcPr>
                <w:p w14:paraId="677A6034">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0</w:t>
                  </w:r>
                </w:p>
              </w:tc>
              <w:tc>
                <w:tcPr>
                  <w:tcW w:w="319" w:type="pct"/>
                  <w:tcBorders>
                    <w:tl2br w:val="nil"/>
                    <w:tr2bl w:val="nil"/>
                  </w:tcBorders>
                  <w:shd w:val="clear" w:color="auto" w:fill="auto"/>
                  <w:noWrap/>
                  <w:tcMar>
                    <w:top w:w="15" w:type="dxa"/>
                    <w:left w:w="15" w:type="dxa"/>
                    <w:right w:w="15" w:type="dxa"/>
                  </w:tcMar>
                  <w:vAlign w:val="center"/>
                </w:tcPr>
                <w:p w14:paraId="3C669E32">
                  <w:pPr>
                    <w:spacing w:line="360" w:lineRule="exact"/>
                    <w:jc w:val="center"/>
                    <w:rPr>
                      <w:rFonts w:hint="default" w:ascii="Times New Roman" w:hAnsi="Times New Roman" w:eastAsia="宋体" w:cs="Times New Roman"/>
                      <w:color w:val="auto"/>
                      <w:spacing w:val="-3"/>
                      <w:kern w:val="2"/>
                      <w:sz w:val="21"/>
                      <w:szCs w:val="21"/>
                      <w:lang w:val="en-US" w:eastAsia="zh-CN" w:bidi="ar-SA"/>
                    </w:rPr>
                  </w:pPr>
                  <w:r>
                    <w:rPr>
                      <w:rFonts w:hint="eastAsia" w:ascii="Times New Roman" w:hAnsi="Times New Roman" w:eastAsia="宋体" w:cs="Times New Roman"/>
                      <w:color w:val="auto"/>
                      <w:spacing w:val="-3"/>
                      <w:szCs w:val="21"/>
                      <w:lang w:val="en-US" w:eastAsia="zh-CN"/>
                    </w:rPr>
                    <w:t>1350</w:t>
                  </w:r>
                </w:p>
              </w:tc>
              <w:tc>
                <w:tcPr>
                  <w:tcW w:w="319" w:type="pct"/>
                  <w:tcBorders>
                    <w:tl2br w:val="nil"/>
                    <w:tr2bl w:val="nil"/>
                  </w:tcBorders>
                  <w:shd w:val="clear" w:color="auto" w:fill="auto"/>
                  <w:noWrap/>
                  <w:tcMar>
                    <w:top w:w="15" w:type="dxa"/>
                    <w:left w:w="15" w:type="dxa"/>
                    <w:right w:w="15" w:type="dxa"/>
                  </w:tcMar>
                  <w:vAlign w:val="center"/>
                </w:tcPr>
                <w:p w14:paraId="7A9E6C8E">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1350</w:t>
                  </w:r>
                </w:p>
              </w:tc>
              <w:tc>
                <w:tcPr>
                  <w:tcW w:w="301" w:type="pct"/>
                  <w:tcBorders>
                    <w:tl2br w:val="nil"/>
                    <w:tr2bl w:val="nil"/>
                  </w:tcBorders>
                  <w:shd w:val="clear" w:color="auto" w:fill="auto"/>
                  <w:noWrap/>
                  <w:tcMar>
                    <w:top w:w="15" w:type="dxa"/>
                    <w:left w:w="15" w:type="dxa"/>
                    <w:right w:w="15" w:type="dxa"/>
                  </w:tcMar>
                  <w:vAlign w:val="center"/>
                </w:tcPr>
                <w:p w14:paraId="4CFB7700">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7907821A">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7231CEEE">
                  <w:pPr>
                    <w:spacing w:line="360" w:lineRule="exact"/>
                    <w:jc w:val="center"/>
                    <w:rPr>
                      <w:rFonts w:hint="default" w:ascii="Times New Roman" w:hAnsi="Times New Roman" w:eastAsia="宋体" w:cs="Times New Roman"/>
                      <w:color w:val="auto"/>
                      <w:spacing w:val="-3"/>
                      <w:kern w:val="2"/>
                      <w:sz w:val="21"/>
                      <w:szCs w:val="21"/>
                      <w:lang w:val="en-US" w:eastAsia="zh-CN" w:bidi="ar-SA"/>
                    </w:rPr>
                  </w:pPr>
                  <w:r>
                    <w:rPr>
                      <w:rFonts w:hint="eastAsia" w:ascii="Times New Roman" w:hAnsi="Times New Roman" w:cs="Times New Roman"/>
                      <w:color w:val="auto"/>
                      <w:spacing w:val="-3"/>
                      <w:szCs w:val="21"/>
                      <w:lang w:val="en-US" w:eastAsia="zh-CN"/>
                    </w:rPr>
                    <w:t>+</w:t>
                  </w:r>
                  <w:r>
                    <w:rPr>
                      <w:rFonts w:hint="eastAsia" w:ascii="Times New Roman" w:hAnsi="Times New Roman" w:eastAsia="宋体" w:cs="Times New Roman"/>
                      <w:color w:val="auto"/>
                      <w:spacing w:val="-3"/>
                      <w:szCs w:val="21"/>
                      <w:lang w:val="en-US" w:eastAsia="zh-CN"/>
                    </w:rPr>
                    <w:t>1350</w:t>
                  </w:r>
                </w:p>
              </w:tc>
              <w:tc>
                <w:tcPr>
                  <w:tcW w:w="344" w:type="pct"/>
                  <w:tcBorders>
                    <w:tl2br w:val="nil"/>
                    <w:tr2bl w:val="nil"/>
                  </w:tcBorders>
                  <w:shd w:val="clear" w:color="auto" w:fill="auto"/>
                  <w:noWrap/>
                  <w:tcMar>
                    <w:top w:w="15" w:type="dxa"/>
                    <w:left w:w="15" w:type="dxa"/>
                    <w:right w:w="15" w:type="dxa"/>
                  </w:tcMar>
                  <w:vAlign w:val="center"/>
                </w:tcPr>
                <w:p w14:paraId="675832B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1350</w:t>
                  </w:r>
                </w:p>
              </w:tc>
              <w:tc>
                <w:tcPr>
                  <w:tcW w:w="287" w:type="pct"/>
                  <w:tcBorders>
                    <w:tl2br w:val="nil"/>
                    <w:tr2bl w:val="nil"/>
                  </w:tcBorders>
                  <w:shd w:val="clear" w:color="auto" w:fill="auto"/>
                  <w:noWrap/>
                  <w:tcMar>
                    <w:top w:w="15" w:type="dxa"/>
                    <w:left w:w="15" w:type="dxa"/>
                    <w:right w:w="15" w:type="dxa"/>
                  </w:tcMar>
                  <w:vAlign w:val="center"/>
                </w:tcPr>
                <w:p w14:paraId="2889C335">
                  <w:pPr>
                    <w:spacing w:line="360" w:lineRule="exact"/>
                    <w:jc w:val="center"/>
                    <w:rPr>
                      <w:rFonts w:hint="default" w:ascii="Times New Roman" w:hAnsi="Times New Roman" w:eastAsia="宋体" w:cs="Times New Roman"/>
                      <w:color w:val="auto"/>
                      <w:spacing w:val="-3"/>
                      <w:kern w:val="2"/>
                      <w:sz w:val="21"/>
                      <w:szCs w:val="21"/>
                      <w:lang w:val="en-US" w:eastAsia="zh-CN" w:bidi="ar-SA"/>
                    </w:rPr>
                  </w:pPr>
                  <w:r>
                    <w:rPr>
                      <w:rFonts w:hint="eastAsia" w:ascii="Times New Roman" w:hAnsi="Times New Roman" w:eastAsia="宋体" w:cs="Times New Roman"/>
                      <w:color w:val="auto"/>
                      <w:spacing w:val="-3"/>
                      <w:szCs w:val="21"/>
                      <w:lang w:val="en-US" w:eastAsia="zh-CN"/>
                    </w:rPr>
                    <w:t>1350</w:t>
                  </w:r>
                </w:p>
              </w:tc>
              <w:tc>
                <w:tcPr>
                  <w:tcW w:w="410" w:type="pct"/>
                  <w:tcBorders>
                    <w:tl2br w:val="nil"/>
                    <w:tr2bl w:val="nil"/>
                  </w:tcBorders>
                  <w:shd w:val="clear" w:color="auto" w:fill="auto"/>
                  <w:noWrap/>
                  <w:tcMar>
                    <w:top w:w="15" w:type="dxa"/>
                    <w:left w:w="15" w:type="dxa"/>
                    <w:right w:w="15" w:type="dxa"/>
                  </w:tcMar>
                  <w:vAlign w:val="center"/>
                </w:tcPr>
                <w:p w14:paraId="6DDE1A13">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1350</w:t>
                  </w:r>
                </w:p>
              </w:tc>
            </w:tr>
            <w:tr w14:paraId="4EE51B0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2E1D6F7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1BACBB0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sz w:val="21"/>
                      <w:szCs w:val="21"/>
                    </w:rPr>
                    <w:t>COD</w:t>
                  </w:r>
                </w:p>
              </w:tc>
              <w:tc>
                <w:tcPr>
                  <w:tcW w:w="353" w:type="pct"/>
                  <w:tcBorders>
                    <w:tl2br w:val="nil"/>
                    <w:tr2bl w:val="nil"/>
                  </w:tcBorders>
                  <w:shd w:val="clear" w:color="auto" w:fill="auto"/>
                  <w:noWrap/>
                  <w:tcMar>
                    <w:top w:w="15" w:type="dxa"/>
                    <w:left w:w="15" w:type="dxa"/>
                    <w:right w:w="15" w:type="dxa"/>
                  </w:tcMar>
                  <w:vAlign w:val="center"/>
                </w:tcPr>
                <w:p w14:paraId="0DCEBF98">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7415F7E2">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5029D605">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0.473 </w:t>
                  </w:r>
                </w:p>
              </w:tc>
              <w:tc>
                <w:tcPr>
                  <w:tcW w:w="365" w:type="pct"/>
                  <w:tcBorders>
                    <w:tl2br w:val="nil"/>
                    <w:tr2bl w:val="nil"/>
                  </w:tcBorders>
                  <w:shd w:val="clear" w:color="auto" w:fill="auto"/>
                  <w:noWrap/>
                  <w:tcMar>
                    <w:top w:w="15" w:type="dxa"/>
                    <w:left w:w="15" w:type="dxa"/>
                    <w:right w:w="15" w:type="dxa"/>
                  </w:tcMar>
                  <w:vAlign w:val="center"/>
                </w:tcPr>
                <w:p w14:paraId="6EB681F5">
                  <w:pPr>
                    <w:keepNext w:val="0"/>
                    <w:keepLines w:val="0"/>
                    <w:widowControl/>
                    <w:suppressLineNumbers w:val="0"/>
                    <w:jc w:val="center"/>
                    <w:textAlignment w:val="center"/>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0.237</w:t>
                  </w:r>
                </w:p>
              </w:tc>
              <w:tc>
                <w:tcPr>
                  <w:tcW w:w="319" w:type="pct"/>
                  <w:tcBorders>
                    <w:tl2br w:val="nil"/>
                    <w:tr2bl w:val="nil"/>
                  </w:tcBorders>
                  <w:shd w:val="clear" w:color="auto" w:fill="auto"/>
                  <w:noWrap/>
                  <w:tcMar>
                    <w:top w:w="15" w:type="dxa"/>
                    <w:left w:w="15" w:type="dxa"/>
                    <w:right w:w="15" w:type="dxa"/>
                  </w:tcMar>
                  <w:vAlign w:val="center"/>
                </w:tcPr>
                <w:p w14:paraId="3740BDD7">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0.236 </w:t>
                  </w:r>
                </w:p>
              </w:tc>
              <w:tc>
                <w:tcPr>
                  <w:tcW w:w="319" w:type="pct"/>
                  <w:tcBorders>
                    <w:tl2br w:val="nil"/>
                    <w:tr2bl w:val="nil"/>
                  </w:tcBorders>
                  <w:shd w:val="clear" w:color="auto" w:fill="auto"/>
                  <w:noWrap/>
                  <w:tcMar>
                    <w:top w:w="15" w:type="dxa"/>
                    <w:left w:w="15" w:type="dxa"/>
                    <w:right w:w="15" w:type="dxa"/>
                  </w:tcMar>
                  <w:vAlign w:val="center"/>
                </w:tcPr>
                <w:p w14:paraId="1DCD6723">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 xml:space="preserve">0.068 </w:t>
                  </w:r>
                </w:p>
              </w:tc>
              <w:tc>
                <w:tcPr>
                  <w:tcW w:w="301" w:type="pct"/>
                  <w:tcBorders>
                    <w:tl2br w:val="nil"/>
                    <w:tr2bl w:val="nil"/>
                  </w:tcBorders>
                  <w:shd w:val="clear" w:color="auto" w:fill="auto"/>
                  <w:noWrap/>
                  <w:tcMar>
                    <w:top w:w="15" w:type="dxa"/>
                    <w:left w:w="15" w:type="dxa"/>
                    <w:right w:w="15" w:type="dxa"/>
                  </w:tcMar>
                  <w:vAlign w:val="center"/>
                </w:tcPr>
                <w:p w14:paraId="21594B04">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4F76CE17">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565FE8E1">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color w:val="auto"/>
                      <w:spacing w:val="-1"/>
                      <w:szCs w:val="21"/>
                      <w:lang w:val="en-US" w:eastAsia="zh-CN"/>
                    </w:rPr>
                    <w:t xml:space="preserve">0.236 </w:t>
                  </w:r>
                </w:p>
              </w:tc>
              <w:tc>
                <w:tcPr>
                  <w:tcW w:w="344" w:type="pct"/>
                  <w:tcBorders>
                    <w:tl2br w:val="nil"/>
                    <w:tr2bl w:val="nil"/>
                  </w:tcBorders>
                  <w:shd w:val="clear" w:color="auto" w:fill="auto"/>
                  <w:noWrap/>
                  <w:tcMar>
                    <w:top w:w="15" w:type="dxa"/>
                    <w:left w:w="15" w:type="dxa"/>
                    <w:right w:w="15" w:type="dxa"/>
                  </w:tcMar>
                  <w:vAlign w:val="center"/>
                </w:tcPr>
                <w:p w14:paraId="3571B76F">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0.068 </w:t>
                  </w:r>
                </w:p>
              </w:tc>
              <w:tc>
                <w:tcPr>
                  <w:tcW w:w="287" w:type="pct"/>
                  <w:tcBorders>
                    <w:tl2br w:val="nil"/>
                    <w:tr2bl w:val="nil"/>
                  </w:tcBorders>
                  <w:shd w:val="clear" w:color="auto" w:fill="auto"/>
                  <w:noWrap/>
                  <w:tcMar>
                    <w:top w:w="15" w:type="dxa"/>
                    <w:left w:w="15" w:type="dxa"/>
                    <w:right w:w="15" w:type="dxa"/>
                  </w:tcMar>
                  <w:vAlign w:val="center"/>
                </w:tcPr>
                <w:p w14:paraId="234545B5">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0.236 </w:t>
                  </w:r>
                </w:p>
              </w:tc>
              <w:tc>
                <w:tcPr>
                  <w:tcW w:w="410" w:type="pct"/>
                  <w:tcBorders>
                    <w:tl2br w:val="nil"/>
                    <w:tr2bl w:val="nil"/>
                  </w:tcBorders>
                  <w:shd w:val="clear" w:color="auto" w:fill="auto"/>
                  <w:noWrap/>
                  <w:tcMar>
                    <w:top w:w="15" w:type="dxa"/>
                    <w:left w:w="15" w:type="dxa"/>
                    <w:right w:w="15" w:type="dxa"/>
                  </w:tcMar>
                  <w:vAlign w:val="center"/>
                </w:tcPr>
                <w:p w14:paraId="54ED120E">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0.068 </w:t>
                  </w:r>
                </w:p>
              </w:tc>
            </w:tr>
            <w:tr w14:paraId="1A9F8317">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36F1957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3DDD079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sz w:val="21"/>
                      <w:szCs w:val="21"/>
                    </w:rPr>
                    <w:t>SS</w:t>
                  </w:r>
                </w:p>
              </w:tc>
              <w:tc>
                <w:tcPr>
                  <w:tcW w:w="353" w:type="pct"/>
                  <w:tcBorders>
                    <w:tl2br w:val="nil"/>
                    <w:tr2bl w:val="nil"/>
                  </w:tcBorders>
                  <w:shd w:val="clear" w:color="auto" w:fill="auto"/>
                  <w:noWrap/>
                  <w:tcMar>
                    <w:top w:w="15" w:type="dxa"/>
                    <w:left w:w="15" w:type="dxa"/>
                    <w:right w:w="15" w:type="dxa"/>
                  </w:tcMar>
                  <w:vAlign w:val="center"/>
                </w:tcPr>
                <w:p w14:paraId="26671AE0">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14AD08E9">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1BEAE9B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0.405 </w:t>
                  </w:r>
                </w:p>
              </w:tc>
              <w:tc>
                <w:tcPr>
                  <w:tcW w:w="365" w:type="pct"/>
                  <w:tcBorders>
                    <w:tl2br w:val="nil"/>
                    <w:tr2bl w:val="nil"/>
                  </w:tcBorders>
                  <w:shd w:val="clear" w:color="auto" w:fill="auto"/>
                  <w:noWrap/>
                  <w:tcMar>
                    <w:top w:w="15" w:type="dxa"/>
                    <w:left w:w="15" w:type="dxa"/>
                    <w:right w:w="15" w:type="dxa"/>
                  </w:tcMar>
                  <w:vAlign w:val="center"/>
                </w:tcPr>
                <w:p w14:paraId="473D4055">
                  <w:pPr>
                    <w:keepNext w:val="0"/>
                    <w:keepLines w:val="0"/>
                    <w:widowControl/>
                    <w:suppressLineNumbers w:val="0"/>
                    <w:jc w:val="center"/>
                    <w:textAlignment w:val="center"/>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0.243</w:t>
                  </w:r>
                </w:p>
              </w:tc>
              <w:tc>
                <w:tcPr>
                  <w:tcW w:w="319" w:type="pct"/>
                  <w:tcBorders>
                    <w:tl2br w:val="nil"/>
                    <w:tr2bl w:val="nil"/>
                  </w:tcBorders>
                  <w:shd w:val="clear" w:color="auto" w:fill="auto"/>
                  <w:noWrap/>
                  <w:tcMar>
                    <w:top w:w="15" w:type="dxa"/>
                    <w:left w:w="15" w:type="dxa"/>
                    <w:right w:w="15" w:type="dxa"/>
                  </w:tcMar>
                  <w:vAlign w:val="center"/>
                </w:tcPr>
                <w:p w14:paraId="718B7E1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0.162 </w:t>
                  </w:r>
                </w:p>
              </w:tc>
              <w:tc>
                <w:tcPr>
                  <w:tcW w:w="319" w:type="pct"/>
                  <w:tcBorders>
                    <w:tl2br w:val="nil"/>
                    <w:tr2bl w:val="nil"/>
                  </w:tcBorders>
                  <w:shd w:val="clear" w:color="auto" w:fill="auto"/>
                  <w:noWrap/>
                  <w:tcMar>
                    <w:top w:w="15" w:type="dxa"/>
                    <w:left w:w="15" w:type="dxa"/>
                    <w:right w:w="15" w:type="dxa"/>
                  </w:tcMar>
                  <w:vAlign w:val="center"/>
                </w:tcPr>
                <w:p w14:paraId="78C97D5E">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 xml:space="preserve">0.014 </w:t>
                  </w:r>
                </w:p>
              </w:tc>
              <w:tc>
                <w:tcPr>
                  <w:tcW w:w="301" w:type="pct"/>
                  <w:tcBorders>
                    <w:tl2br w:val="nil"/>
                    <w:tr2bl w:val="nil"/>
                  </w:tcBorders>
                  <w:shd w:val="clear" w:color="auto" w:fill="auto"/>
                  <w:noWrap/>
                  <w:tcMar>
                    <w:top w:w="15" w:type="dxa"/>
                    <w:left w:w="15" w:type="dxa"/>
                    <w:right w:w="15" w:type="dxa"/>
                  </w:tcMar>
                  <w:vAlign w:val="center"/>
                </w:tcPr>
                <w:p w14:paraId="5BACC0A6">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09256466">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2FC96C41">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color w:val="auto"/>
                      <w:spacing w:val="-1"/>
                      <w:szCs w:val="21"/>
                      <w:lang w:val="en-US" w:eastAsia="zh-CN"/>
                    </w:rPr>
                    <w:t xml:space="preserve">0.162 </w:t>
                  </w:r>
                </w:p>
              </w:tc>
              <w:tc>
                <w:tcPr>
                  <w:tcW w:w="344" w:type="pct"/>
                  <w:tcBorders>
                    <w:tl2br w:val="nil"/>
                    <w:tr2bl w:val="nil"/>
                  </w:tcBorders>
                  <w:shd w:val="clear" w:color="auto" w:fill="auto"/>
                  <w:noWrap/>
                  <w:tcMar>
                    <w:top w:w="15" w:type="dxa"/>
                    <w:left w:w="15" w:type="dxa"/>
                    <w:right w:w="15" w:type="dxa"/>
                  </w:tcMar>
                  <w:vAlign w:val="center"/>
                </w:tcPr>
                <w:p w14:paraId="4A3E5C0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0.014 </w:t>
                  </w:r>
                </w:p>
              </w:tc>
              <w:tc>
                <w:tcPr>
                  <w:tcW w:w="287" w:type="pct"/>
                  <w:tcBorders>
                    <w:tl2br w:val="nil"/>
                    <w:tr2bl w:val="nil"/>
                  </w:tcBorders>
                  <w:shd w:val="clear" w:color="auto" w:fill="auto"/>
                  <w:noWrap/>
                  <w:tcMar>
                    <w:top w:w="15" w:type="dxa"/>
                    <w:left w:w="15" w:type="dxa"/>
                    <w:right w:w="15" w:type="dxa"/>
                  </w:tcMar>
                  <w:vAlign w:val="center"/>
                </w:tcPr>
                <w:p w14:paraId="4D32520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0.162 </w:t>
                  </w:r>
                </w:p>
              </w:tc>
              <w:tc>
                <w:tcPr>
                  <w:tcW w:w="410" w:type="pct"/>
                  <w:tcBorders>
                    <w:tl2br w:val="nil"/>
                    <w:tr2bl w:val="nil"/>
                  </w:tcBorders>
                  <w:shd w:val="clear" w:color="auto" w:fill="auto"/>
                  <w:noWrap/>
                  <w:tcMar>
                    <w:top w:w="15" w:type="dxa"/>
                    <w:left w:w="15" w:type="dxa"/>
                    <w:right w:w="15" w:type="dxa"/>
                  </w:tcMar>
                  <w:vAlign w:val="center"/>
                </w:tcPr>
                <w:p w14:paraId="2E682ABD">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0.014 </w:t>
                  </w:r>
                </w:p>
              </w:tc>
            </w:tr>
            <w:tr w14:paraId="318833F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059AD4D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131BC13B">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sz w:val="21"/>
                      <w:szCs w:val="21"/>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lang w:val="en-US" w:eastAsia="zh-CN"/>
                    </w:rPr>
                    <w:t>-N</w:t>
                  </w:r>
                </w:p>
              </w:tc>
              <w:tc>
                <w:tcPr>
                  <w:tcW w:w="353" w:type="pct"/>
                  <w:tcBorders>
                    <w:tl2br w:val="nil"/>
                    <w:tr2bl w:val="nil"/>
                  </w:tcBorders>
                  <w:shd w:val="clear" w:color="auto" w:fill="auto"/>
                  <w:noWrap/>
                  <w:tcMar>
                    <w:top w:w="15" w:type="dxa"/>
                    <w:left w:w="15" w:type="dxa"/>
                    <w:right w:w="15" w:type="dxa"/>
                  </w:tcMar>
                  <w:vAlign w:val="center"/>
                </w:tcPr>
                <w:p w14:paraId="5B1A9002">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2189BA80">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16FC1E18">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0.041 </w:t>
                  </w:r>
                </w:p>
              </w:tc>
              <w:tc>
                <w:tcPr>
                  <w:tcW w:w="365" w:type="pct"/>
                  <w:tcBorders>
                    <w:tl2br w:val="nil"/>
                    <w:tr2bl w:val="nil"/>
                  </w:tcBorders>
                  <w:shd w:val="clear" w:color="auto" w:fill="auto"/>
                  <w:noWrap/>
                  <w:tcMar>
                    <w:top w:w="15" w:type="dxa"/>
                    <w:left w:w="15" w:type="dxa"/>
                    <w:right w:w="15" w:type="dxa"/>
                  </w:tcMar>
                  <w:vAlign w:val="center"/>
                </w:tcPr>
                <w:p w14:paraId="042BD9C4">
                  <w:pPr>
                    <w:keepNext w:val="0"/>
                    <w:keepLines w:val="0"/>
                    <w:widowControl/>
                    <w:suppressLineNumbers w:val="0"/>
                    <w:jc w:val="center"/>
                    <w:textAlignment w:val="center"/>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0.005</w:t>
                  </w:r>
                </w:p>
              </w:tc>
              <w:tc>
                <w:tcPr>
                  <w:tcW w:w="319" w:type="pct"/>
                  <w:tcBorders>
                    <w:tl2br w:val="nil"/>
                    <w:tr2bl w:val="nil"/>
                  </w:tcBorders>
                  <w:shd w:val="clear" w:color="auto" w:fill="auto"/>
                  <w:noWrap/>
                  <w:tcMar>
                    <w:top w:w="15" w:type="dxa"/>
                    <w:left w:w="15" w:type="dxa"/>
                    <w:right w:w="15" w:type="dxa"/>
                  </w:tcMar>
                  <w:vAlign w:val="center"/>
                </w:tcPr>
                <w:p w14:paraId="0F365974">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0.036 </w:t>
                  </w:r>
                </w:p>
              </w:tc>
              <w:tc>
                <w:tcPr>
                  <w:tcW w:w="319" w:type="pct"/>
                  <w:tcBorders>
                    <w:tl2br w:val="nil"/>
                    <w:tr2bl w:val="nil"/>
                  </w:tcBorders>
                  <w:shd w:val="clear" w:color="auto" w:fill="auto"/>
                  <w:noWrap/>
                  <w:tcMar>
                    <w:top w:w="15" w:type="dxa"/>
                    <w:left w:w="15" w:type="dxa"/>
                    <w:right w:w="15" w:type="dxa"/>
                  </w:tcMar>
                  <w:vAlign w:val="center"/>
                </w:tcPr>
                <w:p w14:paraId="5AB48CAE">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 xml:space="preserve">0.007 </w:t>
                  </w:r>
                </w:p>
              </w:tc>
              <w:tc>
                <w:tcPr>
                  <w:tcW w:w="301" w:type="pct"/>
                  <w:tcBorders>
                    <w:tl2br w:val="nil"/>
                    <w:tr2bl w:val="nil"/>
                  </w:tcBorders>
                  <w:shd w:val="clear" w:color="auto" w:fill="auto"/>
                  <w:noWrap/>
                  <w:tcMar>
                    <w:top w:w="15" w:type="dxa"/>
                    <w:left w:w="15" w:type="dxa"/>
                    <w:right w:w="15" w:type="dxa"/>
                  </w:tcMar>
                  <w:vAlign w:val="center"/>
                </w:tcPr>
                <w:p w14:paraId="1E113C9C">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1B91696B">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56FB0B83">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color w:val="auto"/>
                      <w:spacing w:val="-1"/>
                      <w:szCs w:val="21"/>
                      <w:lang w:val="en-US" w:eastAsia="zh-CN"/>
                    </w:rPr>
                    <w:t xml:space="preserve">0.036 </w:t>
                  </w:r>
                </w:p>
              </w:tc>
              <w:tc>
                <w:tcPr>
                  <w:tcW w:w="344" w:type="pct"/>
                  <w:tcBorders>
                    <w:tl2br w:val="nil"/>
                    <w:tr2bl w:val="nil"/>
                  </w:tcBorders>
                  <w:shd w:val="clear" w:color="auto" w:fill="auto"/>
                  <w:noWrap/>
                  <w:tcMar>
                    <w:top w:w="15" w:type="dxa"/>
                    <w:left w:w="15" w:type="dxa"/>
                    <w:right w:w="15" w:type="dxa"/>
                  </w:tcMar>
                  <w:vAlign w:val="center"/>
                </w:tcPr>
                <w:p w14:paraId="005F72B1">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0.007 </w:t>
                  </w:r>
                </w:p>
              </w:tc>
              <w:tc>
                <w:tcPr>
                  <w:tcW w:w="287" w:type="pct"/>
                  <w:tcBorders>
                    <w:tl2br w:val="nil"/>
                    <w:tr2bl w:val="nil"/>
                  </w:tcBorders>
                  <w:shd w:val="clear" w:color="auto" w:fill="auto"/>
                  <w:noWrap/>
                  <w:tcMar>
                    <w:top w:w="15" w:type="dxa"/>
                    <w:left w:w="15" w:type="dxa"/>
                    <w:right w:w="15" w:type="dxa"/>
                  </w:tcMar>
                  <w:vAlign w:val="center"/>
                </w:tcPr>
                <w:p w14:paraId="66036F99">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0.036 </w:t>
                  </w:r>
                </w:p>
              </w:tc>
              <w:tc>
                <w:tcPr>
                  <w:tcW w:w="410" w:type="pct"/>
                  <w:tcBorders>
                    <w:tl2br w:val="nil"/>
                    <w:tr2bl w:val="nil"/>
                  </w:tcBorders>
                  <w:shd w:val="clear" w:color="auto" w:fill="auto"/>
                  <w:noWrap/>
                  <w:tcMar>
                    <w:top w:w="15" w:type="dxa"/>
                    <w:left w:w="15" w:type="dxa"/>
                    <w:right w:w="15" w:type="dxa"/>
                  </w:tcMar>
                  <w:vAlign w:val="center"/>
                </w:tcPr>
                <w:p w14:paraId="31F51DE6">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0.007 </w:t>
                  </w:r>
                </w:p>
              </w:tc>
            </w:tr>
            <w:tr w14:paraId="54B9BB8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796B7E3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3BFCFDBB">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TP</w:t>
                  </w:r>
                </w:p>
              </w:tc>
              <w:tc>
                <w:tcPr>
                  <w:tcW w:w="353" w:type="pct"/>
                  <w:tcBorders>
                    <w:tl2br w:val="nil"/>
                    <w:tr2bl w:val="nil"/>
                  </w:tcBorders>
                  <w:shd w:val="clear" w:color="auto" w:fill="auto"/>
                  <w:noWrap/>
                  <w:tcMar>
                    <w:top w:w="15" w:type="dxa"/>
                    <w:left w:w="15" w:type="dxa"/>
                    <w:right w:w="15" w:type="dxa"/>
                  </w:tcMar>
                  <w:vAlign w:val="center"/>
                </w:tcPr>
                <w:p w14:paraId="5E69EF35">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032F4CF9">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5749FB7F">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0.004 </w:t>
                  </w:r>
                </w:p>
              </w:tc>
              <w:tc>
                <w:tcPr>
                  <w:tcW w:w="365" w:type="pct"/>
                  <w:tcBorders>
                    <w:tl2br w:val="nil"/>
                    <w:tr2bl w:val="nil"/>
                  </w:tcBorders>
                  <w:shd w:val="clear" w:color="auto" w:fill="auto"/>
                  <w:noWrap/>
                  <w:tcMar>
                    <w:top w:w="15" w:type="dxa"/>
                    <w:left w:w="15" w:type="dxa"/>
                    <w:right w:w="15" w:type="dxa"/>
                  </w:tcMar>
                  <w:vAlign w:val="center"/>
                </w:tcPr>
                <w:p w14:paraId="625C0EB2">
                  <w:pPr>
                    <w:keepNext w:val="0"/>
                    <w:keepLines w:val="0"/>
                    <w:widowControl/>
                    <w:suppressLineNumbers w:val="0"/>
                    <w:jc w:val="center"/>
                    <w:textAlignment w:val="center"/>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0.001</w:t>
                  </w:r>
                </w:p>
              </w:tc>
              <w:tc>
                <w:tcPr>
                  <w:tcW w:w="319" w:type="pct"/>
                  <w:tcBorders>
                    <w:tl2br w:val="nil"/>
                    <w:tr2bl w:val="nil"/>
                  </w:tcBorders>
                  <w:shd w:val="clear" w:color="auto" w:fill="auto"/>
                  <w:noWrap/>
                  <w:tcMar>
                    <w:top w:w="15" w:type="dxa"/>
                    <w:left w:w="15" w:type="dxa"/>
                    <w:right w:w="15" w:type="dxa"/>
                  </w:tcMar>
                  <w:vAlign w:val="center"/>
                </w:tcPr>
                <w:p w14:paraId="7404244E">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0.003 </w:t>
                  </w:r>
                </w:p>
              </w:tc>
              <w:tc>
                <w:tcPr>
                  <w:tcW w:w="319" w:type="pct"/>
                  <w:tcBorders>
                    <w:tl2br w:val="nil"/>
                    <w:tr2bl w:val="nil"/>
                  </w:tcBorders>
                  <w:shd w:val="clear" w:color="auto" w:fill="auto"/>
                  <w:noWrap/>
                  <w:tcMar>
                    <w:top w:w="15" w:type="dxa"/>
                    <w:left w:w="15" w:type="dxa"/>
                    <w:right w:w="15" w:type="dxa"/>
                  </w:tcMar>
                  <w:vAlign w:val="center"/>
                </w:tcPr>
                <w:p w14:paraId="676FB442">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 xml:space="preserve">0.001 </w:t>
                  </w:r>
                </w:p>
              </w:tc>
              <w:tc>
                <w:tcPr>
                  <w:tcW w:w="301" w:type="pct"/>
                  <w:tcBorders>
                    <w:tl2br w:val="nil"/>
                    <w:tr2bl w:val="nil"/>
                  </w:tcBorders>
                  <w:shd w:val="clear" w:color="auto" w:fill="auto"/>
                  <w:noWrap/>
                  <w:tcMar>
                    <w:top w:w="15" w:type="dxa"/>
                    <w:left w:w="15" w:type="dxa"/>
                    <w:right w:w="15" w:type="dxa"/>
                  </w:tcMar>
                  <w:vAlign w:val="center"/>
                </w:tcPr>
                <w:p w14:paraId="38ACB327">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57D20FB8">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08908396">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color w:val="auto"/>
                      <w:spacing w:val="-1"/>
                      <w:szCs w:val="21"/>
                      <w:lang w:val="en-US" w:eastAsia="zh-CN"/>
                    </w:rPr>
                    <w:t xml:space="preserve">0.003 </w:t>
                  </w:r>
                </w:p>
              </w:tc>
              <w:tc>
                <w:tcPr>
                  <w:tcW w:w="344" w:type="pct"/>
                  <w:tcBorders>
                    <w:tl2br w:val="nil"/>
                    <w:tr2bl w:val="nil"/>
                  </w:tcBorders>
                  <w:shd w:val="clear" w:color="auto" w:fill="auto"/>
                  <w:noWrap/>
                  <w:tcMar>
                    <w:top w:w="15" w:type="dxa"/>
                    <w:left w:w="15" w:type="dxa"/>
                    <w:right w:w="15" w:type="dxa"/>
                  </w:tcMar>
                  <w:vAlign w:val="center"/>
                </w:tcPr>
                <w:p w14:paraId="56E83820">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0.001 </w:t>
                  </w:r>
                </w:p>
              </w:tc>
              <w:tc>
                <w:tcPr>
                  <w:tcW w:w="287" w:type="pct"/>
                  <w:tcBorders>
                    <w:tl2br w:val="nil"/>
                    <w:tr2bl w:val="nil"/>
                  </w:tcBorders>
                  <w:shd w:val="clear" w:color="auto" w:fill="auto"/>
                  <w:noWrap/>
                  <w:tcMar>
                    <w:top w:w="15" w:type="dxa"/>
                    <w:left w:w="15" w:type="dxa"/>
                    <w:right w:w="15" w:type="dxa"/>
                  </w:tcMar>
                  <w:vAlign w:val="center"/>
                </w:tcPr>
                <w:p w14:paraId="7B6E6D15">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0.003 </w:t>
                  </w:r>
                </w:p>
              </w:tc>
              <w:tc>
                <w:tcPr>
                  <w:tcW w:w="410" w:type="pct"/>
                  <w:tcBorders>
                    <w:tl2br w:val="nil"/>
                    <w:tr2bl w:val="nil"/>
                  </w:tcBorders>
                  <w:shd w:val="clear" w:color="auto" w:fill="auto"/>
                  <w:noWrap/>
                  <w:tcMar>
                    <w:top w:w="15" w:type="dxa"/>
                    <w:left w:w="15" w:type="dxa"/>
                    <w:right w:w="15" w:type="dxa"/>
                  </w:tcMar>
                  <w:vAlign w:val="center"/>
                </w:tcPr>
                <w:p w14:paraId="368F2DA3">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0.001 </w:t>
                  </w:r>
                </w:p>
              </w:tc>
            </w:tr>
            <w:tr w14:paraId="6BC2AFF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noWrap/>
                  <w:tcMar>
                    <w:top w:w="15" w:type="dxa"/>
                    <w:left w:w="15" w:type="dxa"/>
                    <w:right w:w="15" w:type="dxa"/>
                  </w:tcMar>
                  <w:vAlign w:val="center"/>
                </w:tcPr>
                <w:p w14:paraId="698B170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050FA419">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sz w:val="21"/>
                      <w:szCs w:val="21"/>
                      <w:lang w:val="en-US" w:eastAsia="zh-CN"/>
                    </w:rPr>
                    <w:t>TN</w:t>
                  </w:r>
                </w:p>
              </w:tc>
              <w:tc>
                <w:tcPr>
                  <w:tcW w:w="353" w:type="pct"/>
                  <w:tcBorders>
                    <w:tl2br w:val="nil"/>
                    <w:tr2bl w:val="nil"/>
                  </w:tcBorders>
                  <w:shd w:val="clear" w:color="auto" w:fill="auto"/>
                  <w:noWrap/>
                  <w:tcMar>
                    <w:top w:w="15" w:type="dxa"/>
                    <w:left w:w="15" w:type="dxa"/>
                    <w:right w:w="15" w:type="dxa"/>
                  </w:tcMar>
                  <w:vAlign w:val="center"/>
                </w:tcPr>
                <w:p w14:paraId="3F774C5D">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5" w:type="pct"/>
                  <w:tcBorders>
                    <w:tl2br w:val="nil"/>
                    <w:tr2bl w:val="nil"/>
                  </w:tcBorders>
                  <w:shd w:val="clear" w:color="auto" w:fill="auto"/>
                  <w:noWrap/>
                  <w:tcMar>
                    <w:top w:w="15" w:type="dxa"/>
                    <w:left w:w="15" w:type="dxa"/>
                    <w:right w:w="15" w:type="dxa"/>
                  </w:tcMar>
                  <w:vAlign w:val="center"/>
                </w:tcPr>
                <w:p w14:paraId="1102ACDB">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Borders>
                    <w:tl2br w:val="nil"/>
                    <w:tr2bl w:val="nil"/>
                  </w:tcBorders>
                  <w:shd w:val="clear" w:color="auto" w:fill="auto"/>
                  <w:noWrap/>
                  <w:tcMar>
                    <w:top w:w="15" w:type="dxa"/>
                    <w:left w:w="15" w:type="dxa"/>
                    <w:right w:w="15" w:type="dxa"/>
                  </w:tcMar>
                  <w:vAlign w:val="center"/>
                </w:tcPr>
                <w:p w14:paraId="3575A267">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 xml:space="preserve">0.068 </w:t>
                  </w:r>
                </w:p>
              </w:tc>
              <w:tc>
                <w:tcPr>
                  <w:tcW w:w="365" w:type="pct"/>
                  <w:tcBorders>
                    <w:tl2br w:val="nil"/>
                    <w:tr2bl w:val="nil"/>
                  </w:tcBorders>
                  <w:shd w:val="clear" w:color="auto" w:fill="auto"/>
                  <w:noWrap/>
                  <w:tcMar>
                    <w:top w:w="15" w:type="dxa"/>
                    <w:left w:w="15" w:type="dxa"/>
                    <w:right w:w="15" w:type="dxa"/>
                  </w:tcMar>
                  <w:vAlign w:val="center"/>
                </w:tcPr>
                <w:p w14:paraId="2D5D2760">
                  <w:pPr>
                    <w:keepNext w:val="0"/>
                    <w:keepLines w:val="0"/>
                    <w:widowControl/>
                    <w:suppressLineNumbers w:val="0"/>
                    <w:jc w:val="center"/>
                    <w:textAlignment w:val="center"/>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0.019</w:t>
                  </w:r>
                </w:p>
              </w:tc>
              <w:tc>
                <w:tcPr>
                  <w:tcW w:w="319" w:type="pct"/>
                  <w:tcBorders>
                    <w:tl2br w:val="nil"/>
                    <w:tr2bl w:val="nil"/>
                  </w:tcBorders>
                  <w:shd w:val="clear" w:color="auto" w:fill="auto"/>
                  <w:noWrap/>
                  <w:tcMar>
                    <w:top w:w="15" w:type="dxa"/>
                    <w:left w:w="15" w:type="dxa"/>
                    <w:right w:w="15" w:type="dxa"/>
                  </w:tcMar>
                  <w:vAlign w:val="center"/>
                </w:tcPr>
                <w:p w14:paraId="02E430B9">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0.04</w:t>
                  </w:r>
                  <w:r>
                    <w:rPr>
                      <w:rFonts w:hint="eastAsia" w:ascii="Times New Roman" w:hAnsi="Times New Roman" w:eastAsia="宋体" w:cs="Times New Roman"/>
                      <w:color w:val="auto"/>
                      <w:spacing w:val="-1"/>
                      <w:szCs w:val="21"/>
                      <w:lang w:val="en-US" w:eastAsia="zh-CN"/>
                    </w:rPr>
                    <w:t>9</w:t>
                  </w:r>
                  <w:r>
                    <w:rPr>
                      <w:rFonts w:hint="default" w:ascii="Times New Roman" w:hAnsi="Times New Roman" w:eastAsia="宋体" w:cs="Times New Roman"/>
                      <w:color w:val="auto"/>
                      <w:spacing w:val="-1"/>
                      <w:szCs w:val="21"/>
                      <w:lang w:val="en-US" w:eastAsia="zh-CN"/>
                    </w:rPr>
                    <w:t xml:space="preserve"> </w:t>
                  </w:r>
                </w:p>
              </w:tc>
              <w:tc>
                <w:tcPr>
                  <w:tcW w:w="319" w:type="pct"/>
                  <w:tcBorders>
                    <w:tl2br w:val="nil"/>
                    <w:tr2bl w:val="nil"/>
                  </w:tcBorders>
                  <w:shd w:val="clear" w:color="auto" w:fill="auto"/>
                  <w:noWrap/>
                  <w:tcMar>
                    <w:top w:w="15" w:type="dxa"/>
                    <w:left w:w="15" w:type="dxa"/>
                    <w:right w:w="15" w:type="dxa"/>
                  </w:tcMar>
                  <w:vAlign w:val="center"/>
                </w:tcPr>
                <w:p w14:paraId="393102A5">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 xml:space="preserve">0.020 </w:t>
                  </w:r>
                </w:p>
              </w:tc>
              <w:tc>
                <w:tcPr>
                  <w:tcW w:w="301" w:type="pct"/>
                  <w:tcBorders>
                    <w:tl2br w:val="nil"/>
                    <w:tr2bl w:val="nil"/>
                  </w:tcBorders>
                  <w:shd w:val="clear" w:color="auto" w:fill="auto"/>
                  <w:noWrap/>
                  <w:tcMar>
                    <w:top w:w="15" w:type="dxa"/>
                    <w:left w:w="15" w:type="dxa"/>
                    <w:right w:w="15" w:type="dxa"/>
                  </w:tcMar>
                  <w:vAlign w:val="center"/>
                </w:tcPr>
                <w:p w14:paraId="229CDA10">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303" w:type="pct"/>
                  <w:tcBorders>
                    <w:tl2br w:val="nil"/>
                    <w:tr2bl w:val="nil"/>
                  </w:tcBorders>
                  <w:shd w:val="clear" w:color="auto" w:fill="auto"/>
                  <w:noWrap/>
                  <w:tcMar>
                    <w:top w:w="15" w:type="dxa"/>
                    <w:left w:w="15" w:type="dxa"/>
                    <w:right w:w="15" w:type="dxa"/>
                  </w:tcMar>
                  <w:vAlign w:val="center"/>
                </w:tcPr>
                <w:p w14:paraId="4BCD810F">
                  <w:pPr>
                    <w:keepNext w:val="0"/>
                    <w:keepLines w:val="0"/>
                    <w:pageBreakBefore w:val="0"/>
                    <w:widowControl w:val="0"/>
                    <w:kinsoku/>
                    <w:wordWrap/>
                    <w:overflowPunct/>
                    <w:topLinePunct w:val="0"/>
                    <w:autoSpaceDE w:val="0"/>
                    <w:autoSpaceDN w:val="0"/>
                    <w:bidi w:val="0"/>
                    <w:adjustRightInd/>
                    <w:snapToGrid/>
                    <w:spacing w:line="360" w:lineRule="exac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2" w:type="pct"/>
                  <w:tcBorders>
                    <w:tl2br w:val="nil"/>
                    <w:tr2bl w:val="nil"/>
                  </w:tcBorders>
                  <w:shd w:val="clear" w:color="auto" w:fill="auto"/>
                  <w:noWrap/>
                  <w:tcMar>
                    <w:top w:w="15" w:type="dxa"/>
                    <w:left w:w="15" w:type="dxa"/>
                    <w:right w:w="15" w:type="dxa"/>
                  </w:tcMar>
                  <w:vAlign w:val="center"/>
                </w:tcPr>
                <w:p w14:paraId="754183B8">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color w:val="auto"/>
                      <w:spacing w:val="-1"/>
                      <w:szCs w:val="21"/>
                      <w:lang w:val="en-US" w:eastAsia="zh-CN"/>
                    </w:rPr>
                    <w:t>0.04</w:t>
                  </w:r>
                  <w:r>
                    <w:rPr>
                      <w:rFonts w:hint="eastAsia" w:ascii="Times New Roman" w:hAnsi="Times New Roman" w:eastAsia="宋体" w:cs="Times New Roman"/>
                      <w:color w:val="auto"/>
                      <w:spacing w:val="-1"/>
                      <w:szCs w:val="21"/>
                      <w:lang w:val="en-US" w:eastAsia="zh-CN"/>
                    </w:rPr>
                    <w:t>9</w:t>
                  </w:r>
                  <w:r>
                    <w:rPr>
                      <w:rFonts w:hint="default" w:ascii="Times New Roman" w:hAnsi="Times New Roman" w:eastAsia="宋体" w:cs="Times New Roman"/>
                      <w:color w:val="auto"/>
                      <w:spacing w:val="-1"/>
                      <w:szCs w:val="21"/>
                      <w:lang w:val="en-US" w:eastAsia="zh-CN"/>
                    </w:rPr>
                    <w:t xml:space="preserve"> </w:t>
                  </w:r>
                </w:p>
              </w:tc>
              <w:tc>
                <w:tcPr>
                  <w:tcW w:w="344" w:type="pct"/>
                  <w:tcBorders>
                    <w:tl2br w:val="nil"/>
                    <w:tr2bl w:val="nil"/>
                  </w:tcBorders>
                  <w:shd w:val="clear" w:color="auto" w:fill="auto"/>
                  <w:noWrap/>
                  <w:tcMar>
                    <w:top w:w="15" w:type="dxa"/>
                    <w:left w:w="15" w:type="dxa"/>
                    <w:right w:w="15" w:type="dxa"/>
                  </w:tcMar>
                  <w:vAlign w:val="center"/>
                </w:tcPr>
                <w:p w14:paraId="7C5FCDDC">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0.020 </w:t>
                  </w:r>
                </w:p>
              </w:tc>
              <w:tc>
                <w:tcPr>
                  <w:tcW w:w="287" w:type="pct"/>
                  <w:tcBorders>
                    <w:tl2br w:val="nil"/>
                    <w:tr2bl w:val="nil"/>
                  </w:tcBorders>
                  <w:shd w:val="clear" w:color="auto" w:fill="auto"/>
                  <w:noWrap/>
                  <w:tcMar>
                    <w:top w:w="15" w:type="dxa"/>
                    <w:left w:w="15" w:type="dxa"/>
                    <w:right w:w="15" w:type="dxa"/>
                  </w:tcMar>
                  <w:vAlign w:val="center"/>
                </w:tcPr>
                <w:p w14:paraId="39DA74C0">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default" w:ascii="Times New Roman" w:hAnsi="Times New Roman" w:eastAsia="宋体" w:cs="Times New Roman"/>
                      <w:color w:val="auto"/>
                      <w:spacing w:val="-1"/>
                      <w:szCs w:val="21"/>
                      <w:lang w:val="en-US" w:eastAsia="zh-CN"/>
                    </w:rPr>
                    <w:t>0.04</w:t>
                  </w:r>
                  <w:r>
                    <w:rPr>
                      <w:rFonts w:hint="eastAsia" w:ascii="Times New Roman" w:hAnsi="Times New Roman" w:eastAsia="宋体" w:cs="Times New Roman"/>
                      <w:color w:val="auto"/>
                      <w:spacing w:val="-1"/>
                      <w:szCs w:val="21"/>
                      <w:lang w:val="en-US" w:eastAsia="zh-CN"/>
                    </w:rPr>
                    <w:t>9</w:t>
                  </w:r>
                  <w:r>
                    <w:rPr>
                      <w:rFonts w:hint="default" w:ascii="Times New Roman" w:hAnsi="Times New Roman" w:eastAsia="宋体" w:cs="Times New Roman"/>
                      <w:color w:val="auto"/>
                      <w:spacing w:val="-1"/>
                      <w:szCs w:val="21"/>
                      <w:lang w:val="en-US" w:eastAsia="zh-CN"/>
                    </w:rPr>
                    <w:t xml:space="preserve"> </w:t>
                  </w:r>
                </w:p>
              </w:tc>
              <w:tc>
                <w:tcPr>
                  <w:tcW w:w="410" w:type="pct"/>
                  <w:tcBorders>
                    <w:tl2br w:val="nil"/>
                    <w:tr2bl w:val="nil"/>
                  </w:tcBorders>
                  <w:shd w:val="clear" w:color="auto" w:fill="auto"/>
                  <w:noWrap/>
                  <w:tcMar>
                    <w:top w:w="15" w:type="dxa"/>
                    <w:left w:w="15" w:type="dxa"/>
                    <w:right w:w="15" w:type="dxa"/>
                  </w:tcMar>
                  <w:vAlign w:val="center"/>
                </w:tcPr>
                <w:p w14:paraId="039BCD59">
                  <w:pPr>
                    <w:spacing w:line="360" w:lineRule="exac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0.020 </w:t>
                  </w:r>
                </w:p>
              </w:tc>
            </w:tr>
            <w:tr w14:paraId="1720015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restart"/>
                  <w:tcBorders>
                    <w:tl2br w:val="nil"/>
                    <w:tr2bl w:val="nil"/>
                  </w:tcBorders>
                  <w:shd w:val="clear" w:color="auto" w:fill="auto"/>
                  <w:tcMar>
                    <w:top w:w="15" w:type="dxa"/>
                    <w:left w:w="15" w:type="dxa"/>
                    <w:right w:w="15" w:type="dxa"/>
                  </w:tcMar>
                  <w:vAlign w:val="center"/>
                </w:tcPr>
                <w:p w14:paraId="282C9C8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center"/>
                    <w:outlineLvl w:val="9"/>
                    <w:rPr>
                      <w:rFonts w:hint="default" w:ascii="Times New Roman" w:hAnsi="Times New Roman" w:eastAsia="宋体" w:cs="Times New Roman"/>
                      <w:i w:val="0"/>
                      <w:color w:val="auto"/>
                      <w:sz w:val="21"/>
                      <w:szCs w:val="21"/>
                      <w:u w:val="none"/>
                    </w:rPr>
                  </w:pPr>
                  <w:r>
                    <w:rPr>
                      <w:rStyle w:val="78"/>
                      <w:rFonts w:hint="default" w:ascii="Times New Roman" w:hAnsi="Times New Roman" w:eastAsia="宋体" w:cs="Times New Roman"/>
                      <w:color w:val="auto"/>
                      <w:sz w:val="21"/>
                      <w:szCs w:val="21"/>
                      <w:lang w:val="en-US" w:eastAsia="zh-CN" w:bidi="ar"/>
                    </w:rPr>
                    <w:t>有组织废气</w:t>
                  </w:r>
                </w:p>
              </w:tc>
              <w:tc>
                <w:tcPr>
                  <w:tcW w:w="634" w:type="pct"/>
                  <w:tcBorders>
                    <w:tl2br w:val="nil"/>
                    <w:tr2bl w:val="nil"/>
                  </w:tcBorders>
                  <w:shd w:val="clear" w:color="auto" w:fill="auto"/>
                  <w:noWrap/>
                  <w:tcMar>
                    <w:top w:w="15" w:type="dxa"/>
                    <w:left w:w="15" w:type="dxa"/>
                    <w:right w:w="15" w:type="dxa"/>
                  </w:tcMar>
                  <w:vAlign w:val="center"/>
                </w:tcPr>
                <w:p w14:paraId="52482F73">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rPr>
                  </w:pPr>
                  <w:r>
                    <w:rPr>
                      <w:rFonts w:hint="eastAsia" w:ascii="Times New Roman" w:hAnsi="Times New Roman" w:eastAsia="宋体" w:cs="Times New Roman"/>
                      <w:color w:val="auto"/>
                      <w:w w:val="100"/>
                      <w:kern w:val="2"/>
                      <w:sz w:val="21"/>
                      <w:szCs w:val="21"/>
                      <w:lang w:val="en-US" w:eastAsia="zh-CN"/>
                    </w:rPr>
                    <w:t>挥发性有机物</w:t>
                  </w:r>
                </w:p>
              </w:tc>
              <w:tc>
                <w:tcPr>
                  <w:tcW w:w="659" w:type="pct"/>
                  <w:gridSpan w:val="2"/>
                  <w:tcBorders>
                    <w:tl2br w:val="nil"/>
                    <w:tr2bl w:val="nil"/>
                  </w:tcBorders>
                  <w:shd w:val="clear" w:color="auto" w:fill="auto"/>
                  <w:noWrap/>
                  <w:tcMar>
                    <w:top w:w="15" w:type="dxa"/>
                    <w:left w:w="15" w:type="dxa"/>
                    <w:right w:w="15" w:type="dxa"/>
                  </w:tcMar>
                  <w:vAlign w:val="center"/>
                </w:tcPr>
                <w:p w14:paraId="701E0FC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1.46</w:t>
                  </w:r>
                </w:p>
              </w:tc>
              <w:tc>
                <w:tcPr>
                  <w:tcW w:w="409" w:type="pct"/>
                  <w:tcBorders>
                    <w:tl2br w:val="nil"/>
                    <w:tr2bl w:val="nil"/>
                  </w:tcBorders>
                  <w:shd w:val="clear" w:color="auto" w:fill="auto"/>
                  <w:noWrap/>
                  <w:tcMar>
                    <w:top w:w="15" w:type="dxa"/>
                    <w:left w:w="15" w:type="dxa"/>
                    <w:right w:w="15" w:type="dxa"/>
                  </w:tcMar>
                  <w:vAlign w:val="center"/>
                </w:tcPr>
                <w:p w14:paraId="3DA4449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34.550</w:t>
                  </w:r>
                </w:p>
              </w:tc>
              <w:tc>
                <w:tcPr>
                  <w:tcW w:w="365" w:type="pct"/>
                  <w:tcBorders>
                    <w:tl2br w:val="nil"/>
                    <w:tr2bl w:val="nil"/>
                  </w:tcBorders>
                  <w:shd w:val="clear" w:color="auto" w:fill="auto"/>
                  <w:noWrap/>
                  <w:tcMar>
                    <w:top w:w="15" w:type="dxa"/>
                    <w:left w:w="15" w:type="dxa"/>
                    <w:right w:w="15" w:type="dxa"/>
                  </w:tcMar>
                  <w:vAlign w:val="center"/>
                </w:tcPr>
                <w:p w14:paraId="39A15C9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31.640 </w:t>
                  </w:r>
                </w:p>
              </w:tc>
              <w:tc>
                <w:tcPr>
                  <w:tcW w:w="638" w:type="pct"/>
                  <w:gridSpan w:val="2"/>
                  <w:tcBorders>
                    <w:tl2br w:val="nil"/>
                    <w:tr2bl w:val="nil"/>
                  </w:tcBorders>
                  <w:shd w:val="clear" w:color="auto" w:fill="auto"/>
                  <w:noWrap/>
                  <w:tcMar>
                    <w:top w:w="15" w:type="dxa"/>
                    <w:left w:w="15" w:type="dxa"/>
                    <w:right w:w="15" w:type="dxa"/>
                  </w:tcMar>
                  <w:vAlign w:val="center"/>
                </w:tcPr>
                <w:p w14:paraId="104404F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2.910</w:t>
                  </w:r>
                </w:p>
              </w:tc>
              <w:tc>
                <w:tcPr>
                  <w:tcW w:w="605" w:type="pct"/>
                  <w:gridSpan w:val="2"/>
                  <w:tcBorders>
                    <w:tl2br w:val="nil"/>
                    <w:tr2bl w:val="nil"/>
                  </w:tcBorders>
                  <w:shd w:val="clear" w:color="auto" w:fill="auto"/>
                  <w:noWrap/>
                  <w:tcMar>
                    <w:top w:w="15" w:type="dxa"/>
                    <w:left w:w="15" w:type="dxa"/>
                    <w:right w:w="15" w:type="dxa"/>
                  </w:tcMar>
                  <w:vAlign w:val="center"/>
                </w:tcPr>
                <w:p w14:paraId="2A473BE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-1.45</w:t>
                  </w:r>
                </w:p>
              </w:tc>
              <w:tc>
                <w:tcPr>
                  <w:tcW w:w="747" w:type="pct"/>
                  <w:gridSpan w:val="2"/>
                  <w:tcBorders>
                    <w:tl2br w:val="nil"/>
                    <w:tr2bl w:val="nil"/>
                  </w:tcBorders>
                  <w:shd w:val="clear" w:color="auto" w:fill="auto"/>
                  <w:noWrap/>
                  <w:tcMar>
                    <w:top w:w="15" w:type="dxa"/>
                    <w:left w:w="15" w:type="dxa"/>
                    <w:right w:w="15" w:type="dxa"/>
                  </w:tcMar>
                  <w:vAlign w:val="center"/>
                </w:tcPr>
                <w:p w14:paraId="077EBD60">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1.45</w:t>
                  </w:r>
                </w:p>
              </w:tc>
              <w:tc>
                <w:tcPr>
                  <w:tcW w:w="698" w:type="pct"/>
                  <w:gridSpan w:val="2"/>
                  <w:tcBorders>
                    <w:tl2br w:val="nil"/>
                    <w:tr2bl w:val="nil"/>
                  </w:tcBorders>
                  <w:shd w:val="clear" w:color="auto" w:fill="auto"/>
                  <w:noWrap/>
                  <w:tcMar>
                    <w:top w:w="15" w:type="dxa"/>
                    <w:left w:w="15" w:type="dxa"/>
                    <w:right w:w="15" w:type="dxa"/>
                  </w:tcMar>
                  <w:vAlign w:val="center"/>
                </w:tcPr>
                <w:p w14:paraId="5A253B3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2.910</w:t>
                  </w:r>
                </w:p>
              </w:tc>
            </w:tr>
            <w:tr w14:paraId="700B8BE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7CA76C6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1AF8FE8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乙醇</w:t>
                  </w:r>
                </w:p>
              </w:tc>
              <w:tc>
                <w:tcPr>
                  <w:tcW w:w="659" w:type="pct"/>
                  <w:gridSpan w:val="2"/>
                  <w:tcBorders>
                    <w:tl2br w:val="nil"/>
                    <w:tr2bl w:val="nil"/>
                  </w:tcBorders>
                  <w:shd w:val="clear" w:color="auto" w:fill="auto"/>
                  <w:noWrap/>
                  <w:tcMar>
                    <w:top w:w="15" w:type="dxa"/>
                    <w:left w:w="15" w:type="dxa"/>
                    <w:right w:w="15" w:type="dxa"/>
                  </w:tcMar>
                  <w:vAlign w:val="center"/>
                </w:tcPr>
                <w:p w14:paraId="33C0B56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2827E71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1.900</w:t>
                  </w:r>
                </w:p>
              </w:tc>
              <w:tc>
                <w:tcPr>
                  <w:tcW w:w="365" w:type="pct"/>
                  <w:tcBorders>
                    <w:tl2br w:val="nil"/>
                    <w:tr2bl w:val="nil"/>
                  </w:tcBorders>
                  <w:shd w:val="clear" w:color="auto" w:fill="auto"/>
                  <w:noWrap/>
                  <w:tcMar>
                    <w:top w:w="15" w:type="dxa"/>
                    <w:left w:w="15" w:type="dxa"/>
                    <w:right w:w="15" w:type="dxa"/>
                  </w:tcMar>
                  <w:vAlign w:val="center"/>
                </w:tcPr>
                <w:p w14:paraId="3ACAF1B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1.729 </w:t>
                  </w:r>
                </w:p>
              </w:tc>
              <w:tc>
                <w:tcPr>
                  <w:tcW w:w="638" w:type="pct"/>
                  <w:gridSpan w:val="2"/>
                  <w:tcBorders>
                    <w:tl2br w:val="nil"/>
                    <w:tr2bl w:val="nil"/>
                  </w:tcBorders>
                  <w:shd w:val="clear" w:color="auto" w:fill="auto"/>
                  <w:noWrap/>
                  <w:tcMar>
                    <w:top w:w="15" w:type="dxa"/>
                    <w:left w:w="15" w:type="dxa"/>
                    <w:right w:w="15" w:type="dxa"/>
                  </w:tcMar>
                  <w:vAlign w:val="center"/>
                </w:tcPr>
                <w:p w14:paraId="23B822C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0.171</w:t>
                  </w:r>
                </w:p>
              </w:tc>
              <w:tc>
                <w:tcPr>
                  <w:tcW w:w="605" w:type="pct"/>
                  <w:gridSpan w:val="2"/>
                  <w:tcBorders>
                    <w:tl2br w:val="nil"/>
                    <w:tr2bl w:val="nil"/>
                  </w:tcBorders>
                  <w:shd w:val="clear" w:color="auto" w:fill="auto"/>
                  <w:noWrap/>
                  <w:tcMar>
                    <w:top w:w="15" w:type="dxa"/>
                    <w:left w:w="15" w:type="dxa"/>
                    <w:right w:w="15" w:type="dxa"/>
                  </w:tcMar>
                  <w:vAlign w:val="center"/>
                </w:tcPr>
                <w:p w14:paraId="60A415E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-0.171</w:t>
                  </w:r>
                </w:p>
              </w:tc>
              <w:tc>
                <w:tcPr>
                  <w:tcW w:w="747" w:type="pct"/>
                  <w:gridSpan w:val="2"/>
                  <w:tcBorders>
                    <w:tl2br w:val="nil"/>
                    <w:tr2bl w:val="nil"/>
                  </w:tcBorders>
                  <w:shd w:val="clear" w:color="auto" w:fill="auto"/>
                  <w:noWrap/>
                  <w:tcMar>
                    <w:top w:w="15" w:type="dxa"/>
                    <w:left w:w="15" w:type="dxa"/>
                    <w:right w:w="15" w:type="dxa"/>
                  </w:tcMar>
                  <w:vAlign w:val="center"/>
                </w:tcPr>
                <w:p w14:paraId="71571DE5">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Times New Roman" w:hAnsi="Times New Roman"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0.171</w:t>
                  </w:r>
                </w:p>
              </w:tc>
              <w:tc>
                <w:tcPr>
                  <w:tcW w:w="698" w:type="pct"/>
                  <w:gridSpan w:val="2"/>
                  <w:tcBorders>
                    <w:tl2br w:val="nil"/>
                    <w:tr2bl w:val="nil"/>
                  </w:tcBorders>
                  <w:shd w:val="clear" w:color="auto" w:fill="auto"/>
                  <w:noWrap/>
                  <w:tcMar>
                    <w:top w:w="15" w:type="dxa"/>
                    <w:left w:w="15" w:type="dxa"/>
                    <w:right w:w="15" w:type="dxa"/>
                  </w:tcMar>
                  <w:vAlign w:val="center"/>
                </w:tcPr>
                <w:p w14:paraId="7818D56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0.171</w:t>
                  </w:r>
                </w:p>
              </w:tc>
            </w:tr>
            <w:tr w14:paraId="6F69C5A7">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0A69C0C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3CEB768F">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甲苯</w:t>
                  </w:r>
                </w:p>
              </w:tc>
              <w:tc>
                <w:tcPr>
                  <w:tcW w:w="659" w:type="pct"/>
                  <w:gridSpan w:val="2"/>
                  <w:tcBorders>
                    <w:tl2br w:val="nil"/>
                    <w:tr2bl w:val="nil"/>
                  </w:tcBorders>
                  <w:shd w:val="clear" w:color="auto" w:fill="auto"/>
                  <w:noWrap/>
                  <w:tcMar>
                    <w:top w:w="15" w:type="dxa"/>
                    <w:left w:w="15" w:type="dxa"/>
                    <w:right w:w="15" w:type="dxa"/>
                  </w:tcMar>
                  <w:vAlign w:val="center"/>
                </w:tcPr>
                <w:p w14:paraId="48E422E1">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506C0BB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4.275</w:t>
                  </w:r>
                </w:p>
              </w:tc>
              <w:tc>
                <w:tcPr>
                  <w:tcW w:w="365" w:type="pct"/>
                  <w:tcBorders>
                    <w:tl2br w:val="nil"/>
                    <w:tr2bl w:val="nil"/>
                  </w:tcBorders>
                  <w:shd w:val="clear" w:color="auto" w:fill="auto"/>
                  <w:noWrap/>
                  <w:tcMar>
                    <w:top w:w="15" w:type="dxa"/>
                    <w:left w:w="15" w:type="dxa"/>
                    <w:right w:w="15" w:type="dxa"/>
                  </w:tcMar>
                  <w:vAlign w:val="center"/>
                </w:tcPr>
                <w:p w14:paraId="0840878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3.890 </w:t>
                  </w:r>
                </w:p>
              </w:tc>
              <w:tc>
                <w:tcPr>
                  <w:tcW w:w="638" w:type="pct"/>
                  <w:gridSpan w:val="2"/>
                  <w:tcBorders>
                    <w:tl2br w:val="nil"/>
                    <w:tr2bl w:val="nil"/>
                  </w:tcBorders>
                  <w:shd w:val="clear" w:color="auto" w:fill="auto"/>
                  <w:noWrap/>
                  <w:tcMar>
                    <w:top w:w="15" w:type="dxa"/>
                    <w:left w:w="15" w:type="dxa"/>
                    <w:right w:w="15" w:type="dxa"/>
                  </w:tcMar>
                  <w:vAlign w:val="center"/>
                </w:tcPr>
                <w:p w14:paraId="397B0E5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0.385</w:t>
                  </w:r>
                </w:p>
              </w:tc>
              <w:tc>
                <w:tcPr>
                  <w:tcW w:w="605" w:type="pct"/>
                  <w:gridSpan w:val="2"/>
                  <w:tcBorders>
                    <w:tl2br w:val="nil"/>
                    <w:tr2bl w:val="nil"/>
                  </w:tcBorders>
                  <w:shd w:val="clear" w:color="auto" w:fill="auto"/>
                  <w:noWrap/>
                  <w:tcMar>
                    <w:top w:w="15" w:type="dxa"/>
                    <w:left w:w="15" w:type="dxa"/>
                    <w:right w:w="15" w:type="dxa"/>
                  </w:tcMar>
                  <w:vAlign w:val="center"/>
                </w:tcPr>
                <w:p w14:paraId="2034F48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-0.385</w:t>
                  </w:r>
                </w:p>
              </w:tc>
              <w:tc>
                <w:tcPr>
                  <w:tcW w:w="747" w:type="pct"/>
                  <w:gridSpan w:val="2"/>
                  <w:tcBorders>
                    <w:tl2br w:val="nil"/>
                    <w:tr2bl w:val="nil"/>
                  </w:tcBorders>
                  <w:shd w:val="clear" w:color="auto" w:fill="auto"/>
                  <w:noWrap/>
                  <w:tcMar>
                    <w:top w:w="15" w:type="dxa"/>
                    <w:left w:w="15" w:type="dxa"/>
                    <w:right w:w="15" w:type="dxa"/>
                  </w:tcMar>
                  <w:vAlign w:val="center"/>
                </w:tcPr>
                <w:p w14:paraId="46FD838A">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eastAsia" w:ascii="Times New Roman" w:hAnsi="Times New Roman"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0.385</w:t>
                  </w:r>
                </w:p>
              </w:tc>
              <w:tc>
                <w:tcPr>
                  <w:tcW w:w="698" w:type="pct"/>
                  <w:gridSpan w:val="2"/>
                  <w:tcBorders>
                    <w:tl2br w:val="nil"/>
                    <w:tr2bl w:val="nil"/>
                  </w:tcBorders>
                  <w:shd w:val="clear" w:color="auto" w:fill="auto"/>
                  <w:noWrap/>
                  <w:tcMar>
                    <w:top w:w="15" w:type="dxa"/>
                    <w:left w:w="15" w:type="dxa"/>
                    <w:right w:w="15" w:type="dxa"/>
                  </w:tcMar>
                  <w:vAlign w:val="center"/>
                </w:tcPr>
                <w:p w14:paraId="2B4CB07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0.385</w:t>
                  </w:r>
                </w:p>
              </w:tc>
            </w:tr>
            <w:tr w14:paraId="470D8AA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3186711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321E620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659" w:type="pct"/>
                  <w:gridSpan w:val="2"/>
                  <w:tcBorders>
                    <w:tl2br w:val="nil"/>
                    <w:tr2bl w:val="nil"/>
                  </w:tcBorders>
                  <w:shd w:val="clear" w:color="auto" w:fill="auto"/>
                  <w:noWrap/>
                  <w:tcMar>
                    <w:top w:w="15" w:type="dxa"/>
                    <w:left w:w="15" w:type="dxa"/>
                    <w:right w:w="15" w:type="dxa"/>
                  </w:tcMar>
                  <w:vAlign w:val="center"/>
                </w:tcPr>
                <w:p w14:paraId="0B70BB4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33313EC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0.190</w:t>
                  </w:r>
                </w:p>
              </w:tc>
              <w:tc>
                <w:tcPr>
                  <w:tcW w:w="365" w:type="pct"/>
                  <w:tcBorders>
                    <w:tl2br w:val="nil"/>
                    <w:tr2bl w:val="nil"/>
                  </w:tcBorders>
                  <w:shd w:val="clear" w:color="auto" w:fill="auto"/>
                  <w:noWrap/>
                  <w:tcMar>
                    <w:top w:w="15" w:type="dxa"/>
                    <w:left w:w="15" w:type="dxa"/>
                    <w:right w:w="15" w:type="dxa"/>
                  </w:tcMar>
                  <w:vAlign w:val="center"/>
                </w:tcPr>
                <w:p w14:paraId="579D7A2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0.173 </w:t>
                  </w:r>
                </w:p>
              </w:tc>
              <w:tc>
                <w:tcPr>
                  <w:tcW w:w="638" w:type="pct"/>
                  <w:gridSpan w:val="2"/>
                  <w:tcBorders>
                    <w:tl2br w:val="nil"/>
                    <w:tr2bl w:val="nil"/>
                  </w:tcBorders>
                  <w:shd w:val="clear" w:color="auto" w:fill="auto"/>
                  <w:noWrap/>
                  <w:tcMar>
                    <w:top w:w="15" w:type="dxa"/>
                    <w:left w:w="15" w:type="dxa"/>
                    <w:right w:w="15" w:type="dxa"/>
                  </w:tcMar>
                  <w:vAlign w:val="center"/>
                </w:tcPr>
                <w:p w14:paraId="2701754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0.017</w:t>
                  </w:r>
                </w:p>
              </w:tc>
              <w:tc>
                <w:tcPr>
                  <w:tcW w:w="605" w:type="pct"/>
                  <w:gridSpan w:val="2"/>
                  <w:tcBorders>
                    <w:tl2br w:val="nil"/>
                    <w:tr2bl w:val="nil"/>
                  </w:tcBorders>
                  <w:shd w:val="clear" w:color="auto" w:fill="auto"/>
                  <w:noWrap/>
                  <w:tcMar>
                    <w:top w:w="15" w:type="dxa"/>
                    <w:left w:w="15" w:type="dxa"/>
                    <w:right w:w="15" w:type="dxa"/>
                  </w:tcMar>
                  <w:vAlign w:val="center"/>
                </w:tcPr>
                <w:p w14:paraId="5D35E43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-0.017</w:t>
                  </w:r>
                </w:p>
              </w:tc>
              <w:tc>
                <w:tcPr>
                  <w:tcW w:w="747" w:type="pct"/>
                  <w:gridSpan w:val="2"/>
                  <w:tcBorders>
                    <w:tl2br w:val="nil"/>
                    <w:tr2bl w:val="nil"/>
                  </w:tcBorders>
                  <w:shd w:val="clear" w:color="auto" w:fill="auto"/>
                  <w:noWrap/>
                  <w:tcMar>
                    <w:top w:w="15" w:type="dxa"/>
                    <w:left w:w="15" w:type="dxa"/>
                    <w:right w:w="15" w:type="dxa"/>
                  </w:tcMar>
                  <w:vAlign w:val="center"/>
                </w:tcPr>
                <w:p w14:paraId="6E0DC524">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0.017</w:t>
                  </w:r>
                </w:p>
              </w:tc>
              <w:tc>
                <w:tcPr>
                  <w:tcW w:w="698" w:type="pct"/>
                  <w:gridSpan w:val="2"/>
                  <w:tcBorders>
                    <w:tl2br w:val="nil"/>
                    <w:tr2bl w:val="nil"/>
                  </w:tcBorders>
                  <w:shd w:val="clear" w:color="auto" w:fill="auto"/>
                  <w:noWrap/>
                  <w:tcMar>
                    <w:top w:w="15" w:type="dxa"/>
                    <w:left w:w="15" w:type="dxa"/>
                    <w:right w:w="15" w:type="dxa"/>
                  </w:tcMar>
                  <w:vAlign w:val="center"/>
                </w:tcPr>
                <w:p w14:paraId="5CD3B6E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r>
            <w:tr w14:paraId="4A27DE6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286B67E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5F1F50D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659" w:type="pct"/>
                  <w:gridSpan w:val="2"/>
                  <w:tcBorders>
                    <w:tl2br w:val="nil"/>
                    <w:tr2bl w:val="nil"/>
                  </w:tcBorders>
                  <w:shd w:val="clear" w:color="auto" w:fill="auto"/>
                  <w:noWrap/>
                  <w:tcMar>
                    <w:top w:w="15" w:type="dxa"/>
                    <w:left w:w="15" w:type="dxa"/>
                    <w:right w:w="15" w:type="dxa"/>
                  </w:tcMar>
                  <w:vAlign w:val="center"/>
                </w:tcPr>
                <w:p w14:paraId="4914CB6B">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1E3E7B2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0.185</w:t>
                  </w:r>
                </w:p>
              </w:tc>
              <w:tc>
                <w:tcPr>
                  <w:tcW w:w="365" w:type="pct"/>
                  <w:tcBorders>
                    <w:tl2br w:val="nil"/>
                    <w:tr2bl w:val="nil"/>
                  </w:tcBorders>
                  <w:shd w:val="clear" w:color="auto" w:fill="auto"/>
                  <w:noWrap/>
                  <w:tcMar>
                    <w:top w:w="15" w:type="dxa"/>
                    <w:left w:w="15" w:type="dxa"/>
                    <w:right w:w="15" w:type="dxa"/>
                  </w:tcMar>
                  <w:vAlign w:val="center"/>
                </w:tcPr>
                <w:p w14:paraId="195E704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0.168 </w:t>
                  </w:r>
                </w:p>
              </w:tc>
              <w:tc>
                <w:tcPr>
                  <w:tcW w:w="638" w:type="pct"/>
                  <w:gridSpan w:val="2"/>
                  <w:tcBorders>
                    <w:tl2br w:val="nil"/>
                    <w:tr2bl w:val="nil"/>
                  </w:tcBorders>
                  <w:shd w:val="clear" w:color="auto" w:fill="auto"/>
                  <w:noWrap/>
                  <w:tcMar>
                    <w:top w:w="15" w:type="dxa"/>
                    <w:left w:w="15" w:type="dxa"/>
                    <w:right w:w="15" w:type="dxa"/>
                  </w:tcMar>
                  <w:vAlign w:val="center"/>
                </w:tcPr>
                <w:p w14:paraId="65AB8BE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0.017</w:t>
                  </w:r>
                </w:p>
              </w:tc>
              <w:tc>
                <w:tcPr>
                  <w:tcW w:w="605" w:type="pct"/>
                  <w:gridSpan w:val="2"/>
                  <w:tcBorders>
                    <w:tl2br w:val="nil"/>
                    <w:tr2bl w:val="nil"/>
                  </w:tcBorders>
                  <w:shd w:val="clear" w:color="auto" w:fill="auto"/>
                  <w:noWrap/>
                  <w:tcMar>
                    <w:top w:w="15" w:type="dxa"/>
                    <w:left w:w="15" w:type="dxa"/>
                    <w:right w:w="15" w:type="dxa"/>
                  </w:tcMar>
                  <w:vAlign w:val="center"/>
                </w:tcPr>
                <w:p w14:paraId="2EE3B66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-0.017</w:t>
                  </w:r>
                </w:p>
              </w:tc>
              <w:tc>
                <w:tcPr>
                  <w:tcW w:w="747" w:type="pct"/>
                  <w:gridSpan w:val="2"/>
                  <w:tcBorders>
                    <w:tl2br w:val="nil"/>
                    <w:tr2bl w:val="nil"/>
                  </w:tcBorders>
                  <w:shd w:val="clear" w:color="auto" w:fill="auto"/>
                  <w:noWrap/>
                  <w:tcMar>
                    <w:top w:w="15" w:type="dxa"/>
                    <w:left w:w="15" w:type="dxa"/>
                    <w:right w:w="15" w:type="dxa"/>
                  </w:tcMar>
                  <w:vAlign w:val="center"/>
                </w:tcPr>
                <w:p w14:paraId="27B31216">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0.017</w:t>
                  </w:r>
                </w:p>
              </w:tc>
              <w:tc>
                <w:tcPr>
                  <w:tcW w:w="698" w:type="pct"/>
                  <w:gridSpan w:val="2"/>
                  <w:tcBorders>
                    <w:tl2br w:val="nil"/>
                    <w:tr2bl w:val="nil"/>
                  </w:tcBorders>
                  <w:shd w:val="clear" w:color="auto" w:fill="auto"/>
                  <w:noWrap/>
                  <w:tcMar>
                    <w:top w:w="15" w:type="dxa"/>
                    <w:left w:w="15" w:type="dxa"/>
                    <w:right w:w="15" w:type="dxa"/>
                  </w:tcMar>
                  <w:vAlign w:val="center"/>
                </w:tcPr>
                <w:p w14:paraId="73254A6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r>
            <w:tr w14:paraId="3319FDA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61EF942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62F74F08">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cs="Times New Roman"/>
                      <w:i w:val="0"/>
                      <w:color w:val="auto"/>
                      <w:kern w:val="2"/>
                      <w:sz w:val="21"/>
                      <w:szCs w:val="21"/>
                      <w:u w:val="none"/>
                      <w:lang w:val="en-US" w:eastAsia="zh-CN" w:bidi="ar-SA"/>
                    </w:rPr>
                    <w:t>颗粒物</w:t>
                  </w:r>
                </w:p>
              </w:tc>
              <w:tc>
                <w:tcPr>
                  <w:tcW w:w="659" w:type="pct"/>
                  <w:gridSpan w:val="2"/>
                  <w:tcBorders>
                    <w:tl2br w:val="nil"/>
                    <w:tr2bl w:val="nil"/>
                  </w:tcBorders>
                  <w:shd w:val="clear" w:color="auto" w:fill="auto"/>
                  <w:noWrap/>
                  <w:tcMar>
                    <w:top w:w="15" w:type="dxa"/>
                    <w:left w:w="15" w:type="dxa"/>
                    <w:right w:w="15" w:type="dxa"/>
                  </w:tcMar>
                  <w:vAlign w:val="center"/>
                </w:tcPr>
                <w:p w14:paraId="0907597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0.19</w:t>
                  </w:r>
                </w:p>
              </w:tc>
              <w:tc>
                <w:tcPr>
                  <w:tcW w:w="409" w:type="pct"/>
                  <w:tcBorders>
                    <w:tl2br w:val="nil"/>
                    <w:tr2bl w:val="nil"/>
                  </w:tcBorders>
                  <w:shd w:val="clear" w:color="auto" w:fill="auto"/>
                  <w:noWrap/>
                  <w:tcMar>
                    <w:top w:w="15" w:type="dxa"/>
                    <w:left w:w="15" w:type="dxa"/>
                    <w:right w:w="15" w:type="dxa"/>
                  </w:tcMar>
                  <w:vAlign w:val="center"/>
                </w:tcPr>
                <w:p w14:paraId="7895834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21.343</w:t>
                  </w:r>
                </w:p>
              </w:tc>
              <w:tc>
                <w:tcPr>
                  <w:tcW w:w="365" w:type="pct"/>
                  <w:tcBorders>
                    <w:tl2br w:val="nil"/>
                    <w:tr2bl w:val="nil"/>
                  </w:tcBorders>
                  <w:shd w:val="clear" w:color="auto" w:fill="auto"/>
                  <w:noWrap/>
                  <w:tcMar>
                    <w:top w:w="15" w:type="dxa"/>
                    <w:left w:w="15" w:type="dxa"/>
                    <w:right w:w="15" w:type="dxa"/>
                  </w:tcMar>
                  <w:vAlign w:val="center"/>
                </w:tcPr>
                <w:p w14:paraId="093D005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 xml:space="preserve">20.677 </w:t>
                  </w:r>
                </w:p>
              </w:tc>
              <w:tc>
                <w:tcPr>
                  <w:tcW w:w="638" w:type="pct"/>
                  <w:gridSpan w:val="2"/>
                  <w:tcBorders>
                    <w:tl2br w:val="nil"/>
                    <w:tr2bl w:val="nil"/>
                  </w:tcBorders>
                  <w:shd w:val="clear" w:color="auto" w:fill="auto"/>
                  <w:noWrap/>
                  <w:tcMar>
                    <w:top w:w="15" w:type="dxa"/>
                    <w:left w:w="15" w:type="dxa"/>
                    <w:right w:w="15" w:type="dxa"/>
                  </w:tcMar>
                  <w:vAlign w:val="center"/>
                </w:tcPr>
                <w:p w14:paraId="0307F49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0.666</w:t>
                  </w:r>
                </w:p>
              </w:tc>
              <w:tc>
                <w:tcPr>
                  <w:tcW w:w="605" w:type="pct"/>
                  <w:gridSpan w:val="2"/>
                  <w:tcBorders>
                    <w:tl2br w:val="nil"/>
                    <w:tr2bl w:val="nil"/>
                  </w:tcBorders>
                  <w:shd w:val="clear" w:color="auto" w:fill="auto"/>
                  <w:noWrap/>
                  <w:tcMar>
                    <w:top w:w="15" w:type="dxa"/>
                    <w:left w:w="15" w:type="dxa"/>
                    <w:right w:w="15" w:type="dxa"/>
                  </w:tcMar>
                  <w:vAlign w:val="center"/>
                </w:tcPr>
                <w:p w14:paraId="7B6146D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-0.476</w:t>
                  </w:r>
                </w:p>
              </w:tc>
              <w:tc>
                <w:tcPr>
                  <w:tcW w:w="747" w:type="pct"/>
                  <w:gridSpan w:val="2"/>
                  <w:tcBorders>
                    <w:tl2br w:val="nil"/>
                    <w:tr2bl w:val="nil"/>
                  </w:tcBorders>
                  <w:shd w:val="clear" w:color="auto" w:fill="auto"/>
                  <w:noWrap/>
                  <w:tcMar>
                    <w:top w:w="15" w:type="dxa"/>
                    <w:left w:w="15" w:type="dxa"/>
                    <w:right w:w="15" w:type="dxa"/>
                  </w:tcMar>
                  <w:vAlign w:val="center"/>
                </w:tcPr>
                <w:p w14:paraId="6F7A9C37">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0.476</w:t>
                  </w:r>
                </w:p>
              </w:tc>
              <w:tc>
                <w:tcPr>
                  <w:tcW w:w="698" w:type="pct"/>
                  <w:gridSpan w:val="2"/>
                  <w:tcBorders>
                    <w:tl2br w:val="nil"/>
                    <w:tr2bl w:val="nil"/>
                  </w:tcBorders>
                  <w:shd w:val="clear" w:color="auto" w:fill="auto"/>
                  <w:noWrap/>
                  <w:tcMar>
                    <w:top w:w="15" w:type="dxa"/>
                    <w:left w:w="15" w:type="dxa"/>
                    <w:right w:w="15" w:type="dxa"/>
                  </w:tcMar>
                  <w:vAlign w:val="center"/>
                </w:tcPr>
                <w:p w14:paraId="1D09CAF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0.666</w:t>
                  </w:r>
                </w:p>
              </w:tc>
            </w:tr>
            <w:tr w14:paraId="264C93D9">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restart"/>
                  <w:tcBorders>
                    <w:tl2br w:val="nil"/>
                    <w:tr2bl w:val="nil"/>
                  </w:tcBorders>
                  <w:shd w:val="clear" w:color="auto" w:fill="auto"/>
                  <w:tcMar>
                    <w:top w:w="15" w:type="dxa"/>
                    <w:left w:w="15" w:type="dxa"/>
                    <w:right w:w="15" w:type="dxa"/>
                  </w:tcMar>
                  <w:vAlign w:val="center"/>
                </w:tcPr>
                <w:p w14:paraId="61CA21A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r>
                    <w:rPr>
                      <w:rStyle w:val="78"/>
                      <w:rFonts w:hint="default" w:ascii="Times New Roman" w:hAnsi="Times New Roman" w:eastAsia="宋体" w:cs="Times New Roman"/>
                      <w:color w:val="auto"/>
                      <w:sz w:val="21"/>
                      <w:szCs w:val="21"/>
                      <w:lang w:val="en-US" w:eastAsia="zh-CN" w:bidi="ar"/>
                    </w:rPr>
                    <w:t>无组织废气</w:t>
                  </w:r>
                </w:p>
              </w:tc>
              <w:tc>
                <w:tcPr>
                  <w:tcW w:w="634" w:type="pct"/>
                  <w:tcBorders>
                    <w:tl2br w:val="nil"/>
                    <w:tr2bl w:val="nil"/>
                  </w:tcBorders>
                  <w:shd w:val="clear" w:color="auto" w:fill="auto"/>
                  <w:noWrap/>
                  <w:tcMar>
                    <w:top w:w="15" w:type="dxa"/>
                    <w:left w:w="15" w:type="dxa"/>
                    <w:right w:w="15" w:type="dxa"/>
                  </w:tcMar>
                  <w:vAlign w:val="center"/>
                </w:tcPr>
                <w:p w14:paraId="62F3471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color w:val="auto"/>
                      <w:w w:val="100"/>
                      <w:kern w:val="2"/>
                      <w:sz w:val="21"/>
                      <w:szCs w:val="21"/>
                      <w:lang w:val="en-US" w:eastAsia="zh-CN"/>
                    </w:rPr>
                    <w:t>挥发性有机物</w:t>
                  </w:r>
                </w:p>
              </w:tc>
              <w:tc>
                <w:tcPr>
                  <w:tcW w:w="659" w:type="pct"/>
                  <w:gridSpan w:val="2"/>
                  <w:tcBorders>
                    <w:tl2br w:val="nil"/>
                    <w:tr2bl w:val="nil"/>
                  </w:tcBorders>
                  <w:shd w:val="clear" w:color="auto" w:fill="auto"/>
                  <w:noWrap/>
                  <w:tcMar>
                    <w:top w:w="15" w:type="dxa"/>
                    <w:left w:w="15" w:type="dxa"/>
                    <w:right w:w="15" w:type="dxa"/>
                  </w:tcMar>
                  <w:vAlign w:val="center"/>
                </w:tcPr>
                <w:p w14:paraId="6CE98B7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1.54</w:t>
                  </w:r>
                </w:p>
              </w:tc>
              <w:tc>
                <w:tcPr>
                  <w:tcW w:w="409" w:type="pct"/>
                  <w:tcBorders>
                    <w:tl2br w:val="nil"/>
                    <w:tr2bl w:val="nil"/>
                  </w:tcBorders>
                  <w:shd w:val="clear" w:color="auto" w:fill="auto"/>
                  <w:noWrap/>
                  <w:tcMar>
                    <w:top w:w="15" w:type="dxa"/>
                    <w:left w:w="15" w:type="dxa"/>
                    <w:right w:w="15" w:type="dxa"/>
                  </w:tcMar>
                  <w:vAlign w:val="center"/>
                </w:tcPr>
                <w:p w14:paraId="714BCC7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1.818</w:t>
                  </w:r>
                </w:p>
              </w:tc>
              <w:tc>
                <w:tcPr>
                  <w:tcW w:w="365" w:type="pct"/>
                  <w:tcBorders>
                    <w:tl2br w:val="nil"/>
                    <w:tr2bl w:val="nil"/>
                  </w:tcBorders>
                  <w:shd w:val="clear" w:color="auto" w:fill="auto"/>
                  <w:noWrap/>
                  <w:tcMar>
                    <w:top w:w="15" w:type="dxa"/>
                    <w:left w:w="15" w:type="dxa"/>
                    <w:right w:w="15" w:type="dxa"/>
                  </w:tcMar>
                  <w:vAlign w:val="center"/>
                </w:tcPr>
                <w:p w14:paraId="364F5D5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w:t>
                  </w:r>
                </w:p>
              </w:tc>
              <w:tc>
                <w:tcPr>
                  <w:tcW w:w="638" w:type="pct"/>
                  <w:gridSpan w:val="2"/>
                  <w:tcBorders>
                    <w:tl2br w:val="nil"/>
                    <w:tr2bl w:val="nil"/>
                  </w:tcBorders>
                  <w:shd w:val="clear" w:color="auto" w:fill="auto"/>
                  <w:noWrap/>
                  <w:tcMar>
                    <w:top w:w="15" w:type="dxa"/>
                    <w:left w:w="15" w:type="dxa"/>
                    <w:right w:w="15" w:type="dxa"/>
                  </w:tcMar>
                  <w:vAlign w:val="center"/>
                </w:tcPr>
                <w:p w14:paraId="19E4B67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1.818</w:t>
                  </w:r>
                </w:p>
              </w:tc>
              <w:tc>
                <w:tcPr>
                  <w:tcW w:w="605" w:type="pct"/>
                  <w:gridSpan w:val="2"/>
                  <w:tcBorders>
                    <w:tl2br w:val="nil"/>
                    <w:tr2bl w:val="nil"/>
                  </w:tcBorders>
                  <w:shd w:val="clear" w:color="auto" w:fill="auto"/>
                  <w:noWrap/>
                  <w:tcMar>
                    <w:top w:w="15" w:type="dxa"/>
                    <w:left w:w="15" w:type="dxa"/>
                    <w:right w:w="15" w:type="dxa"/>
                  </w:tcMar>
                  <w:vAlign w:val="center"/>
                </w:tcPr>
                <w:p w14:paraId="4F52536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-0.278</w:t>
                  </w:r>
                </w:p>
              </w:tc>
              <w:tc>
                <w:tcPr>
                  <w:tcW w:w="747" w:type="pct"/>
                  <w:gridSpan w:val="2"/>
                  <w:tcBorders>
                    <w:tl2br w:val="nil"/>
                    <w:tr2bl w:val="nil"/>
                  </w:tcBorders>
                  <w:shd w:val="clear" w:color="auto" w:fill="auto"/>
                  <w:noWrap/>
                  <w:tcMar>
                    <w:top w:w="15" w:type="dxa"/>
                    <w:left w:w="15" w:type="dxa"/>
                    <w:right w:w="15" w:type="dxa"/>
                  </w:tcMar>
                  <w:vAlign w:val="center"/>
                </w:tcPr>
                <w:p w14:paraId="05752AD3">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0.278</w:t>
                  </w:r>
                </w:p>
              </w:tc>
              <w:tc>
                <w:tcPr>
                  <w:tcW w:w="698" w:type="pct"/>
                  <w:gridSpan w:val="2"/>
                  <w:tcBorders>
                    <w:tl2br w:val="nil"/>
                    <w:tr2bl w:val="nil"/>
                  </w:tcBorders>
                  <w:shd w:val="clear" w:color="auto" w:fill="auto"/>
                  <w:noWrap/>
                  <w:tcMar>
                    <w:top w:w="15" w:type="dxa"/>
                    <w:left w:w="15" w:type="dxa"/>
                    <w:right w:w="15" w:type="dxa"/>
                  </w:tcMar>
                  <w:vAlign w:val="center"/>
                </w:tcPr>
                <w:p w14:paraId="3DDBF51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1.818</w:t>
                  </w:r>
                </w:p>
              </w:tc>
            </w:tr>
            <w:tr w14:paraId="56D3949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35EE28E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4BA80CD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乙醇</w:t>
                  </w:r>
                </w:p>
              </w:tc>
              <w:tc>
                <w:tcPr>
                  <w:tcW w:w="659" w:type="pct"/>
                  <w:gridSpan w:val="2"/>
                  <w:tcBorders>
                    <w:tl2br w:val="nil"/>
                    <w:tr2bl w:val="nil"/>
                  </w:tcBorders>
                  <w:shd w:val="clear" w:color="auto" w:fill="auto"/>
                  <w:noWrap/>
                  <w:tcMar>
                    <w:top w:w="15" w:type="dxa"/>
                    <w:left w:w="15" w:type="dxa"/>
                    <w:right w:w="15" w:type="dxa"/>
                  </w:tcMar>
                  <w:vAlign w:val="center"/>
                </w:tcPr>
                <w:p w14:paraId="5B5C137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4AE5780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0.100</w:t>
                  </w:r>
                </w:p>
              </w:tc>
              <w:tc>
                <w:tcPr>
                  <w:tcW w:w="365" w:type="pct"/>
                  <w:tcBorders>
                    <w:tl2br w:val="nil"/>
                    <w:tr2bl w:val="nil"/>
                  </w:tcBorders>
                  <w:shd w:val="clear" w:color="auto" w:fill="auto"/>
                  <w:noWrap/>
                  <w:tcMar>
                    <w:top w:w="15" w:type="dxa"/>
                    <w:left w:w="15" w:type="dxa"/>
                    <w:right w:w="15" w:type="dxa"/>
                  </w:tcMar>
                  <w:vAlign w:val="center"/>
                </w:tcPr>
                <w:p w14:paraId="1467C65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w:t>
                  </w:r>
                </w:p>
              </w:tc>
              <w:tc>
                <w:tcPr>
                  <w:tcW w:w="638" w:type="pct"/>
                  <w:gridSpan w:val="2"/>
                  <w:tcBorders>
                    <w:tl2br w:val="nil"/>
                    <w:tr2bl w:val="nil"/>
                  </w:tcBorders>
                  <w:shd w:val="clear" w:color="auto" w:fill="auto"/>
                  <w:noWrap/>
                  <w:tcMar>
                    <w:top w:w="15" w:type="dxa"/>
                    <w:left w:w="15" w:type="dxa"/>
                    <w:right w:w="15" w:type="dxa"/>
                  </w:tcMar>
                  <w:vAlign w:val="center"/>
                </w:tcPr>
                <w:p w14:paraId="09E3CFFB">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0.100</w:t>
                  </w:r>
                </w:p>
              </w:tc>
              <w:tc>
                <w:tcPr>
                  <w:tcW w:w="605" w:type="pct"/>
                  <w:gridSpan w:val="2"/>
                  <w:tcBorders>
                    <w:tl2br w:val="nil"/>
                    <w:tr2bl w:val="nil"/>
                  </w:tcBorders>
                  <w:shd w:val="clear" w:color="auto" w:fill="auto"/>
                  <w:noWrap/>
                  <w:tcMar>
                    <w:top w:w="15" w:type="dxa"/>
                    <w:left w:w="15" w:type="dxa"/>
                    <w:right w:w="15" w:type="dxa"/>
                  </w:tcMar>
                  <w:vAlign w:val="center"/>
                </w:tcPr>
                <w:p w14:paraId="6F0BA1F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-0.1</w:t>
                  </w:r>
                </w:p>
              </w:tc>
              <w:tc>
                <w:tcPr>
                  <w:tcW w:w="747" w:type="pct"/>
                  <w:gridSpan w:val="2"/>
                  <w:tcBorders>
                    <w:tl2br w:val="nil"/>
                    <w:tr2bl w:val="nil"/>
                  </w:tcBorders>
                  <w:shd w:val="clear" w:color="auto" w:fill="auto"/>
                  <w:noWrap/>
                  <w:tcMar>
                    <w:top w:w="15" w:type="dxa"/>
                    <w:left w:w="15" w:type="dxa"/>
                    <w:right w:w="15" w:type="dxa"/>
                  </w:tcMar>
                  <w:vAlign w:val="center"/>
                </w:tcPr>
                <w:p w14:paraId="4ACAF74C">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eastAsia" w:ascii="Times New Roman" w:hAnsi="Times New Roman"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0.1</w:t>
                  </w:r>
                </w:p>
              </w:tc>
              <w:tc>
                <w:tcPr>
                  <w:tcW w:w="698" w:type="pct"/>
                  <w:gridSpan w:val="2"/>
                  <w:tcBorders>
                    <w:tl2br w:val="nil"/>
                    <w:tr2bl w:val="nil"/>
                  </w:tcBorders>
                  <w:shd w:val="clear" w:color="auto" w:fill="auto"/>
                  <w:noWrap/>
                  <w:tcMar>
                    <w:top w:w="15" w:type="dxa"/>
                    <w:left w:w="15" w:type="dxa"/>
                    <w:right w:w="15" w:type="dxa"/>
                  </w:tcMar>
                  <w:vAlign w:val="center"/>
                </w:tcPr>
                <w:p w14:paraId="365036A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0.100</w:t>
                  </w:r>
                </w:p>
              </w:tc>
            </w:tr>
            <w:tr w14:paraId="30A5EA4F">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733EE86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5D5D67C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甲苯</w:t>
                  </w:r>
                </w:p>
              </w:tc>
              <w:tc>
                <w:tcPr>
                  <w:tcW w:w="659" w:type="pct"/>
                  <w:gridSpan w:val="2"/>
                  <w:tcBorders>
                    <w:tl2br w:val="nil"/>
                    <w:tr2bl w:val="nil"/>
                  </w:tcBorders>
                  <w:shd w:val="clear" w:color="auto" w:fill="auto"/>
                  <w:noWrap/>
                  <w:tcMar>
                    <w:top w:w="15" w:type="dxa"/>
                    <w:left w:w="15" w:type="dxa"/>
                    <w:right w:w="15" w:type="dxa"/>
                  </w:tcMar>
                  <w:vAlign w:val="center"/>
                </w:tcPr>
                <w:p w14:paraId="711B19F9">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Borders>
                    <w:tl2br w:val="nil"/>
                    <w:tr2bl w:val="nil"/>
                  </w:tcBorders>
                  <w:shd w:val="clear" w:color="auto" w:fill="auto"/>
                  <w:noWrap/>
                  <w:tcMar>
                    <w:top w:w="15" w:type="dxa"/>
                    <w:left w:w="15" w:type="dxa"/>
                    <w:right w:w="15" w:type="dxa"/>
                  </w:tcMar>
                  <w:vAlign w:val="center"/>
                </w:tcPr>
                <w:p w14:paraId="626120E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0.225</w:t>
                  </w:r>
                </w:p>
              </w:tc>
              <w:tc>
                <w:tcPr>
                  <w:tcW w:w="365" w:type="pct"/>
                  <w:tcBorders>
                    <w:tl2br w:val="nil"/>
                    <w:tr2bl w:val="nil"/>
                  </w:tcBorders>
                  <w:shd w:val="clear" w:color="auto" w:fill="auto"/>
                  <w:noWrap/>
                  <w:tcMar>
                    <w:top w:w="15" w:type="dxa"/>
                    <w:left w:w="15" w:type="dxa"/>
                    <w:right w:w="15" w:type="dxa"/>
                  </w:tcMar>
                  <w:vAlign w:val="center"/>
                </w:tcPr>
                <w:p w14:paraId="3BAC228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w:t>
                  </w:r>
                </w:p>
              </w:tc>
              <w:tc>
                <w:tcPr>
                  <w:tcW w:w="638" w:type="pct"/>
                  <w:gridSpan w:val="2"/>
                  <w:tcBorders>
                    <w:tl2br w:val="nil"/>
                    <w:tr2bl w:val="nil"/>
                  </w:tcBorders>
                  <w:shd w:val="clear" w:color="auto" w:fill="auto"/>
                  <w:noWrap/>
                  <w:tcMar>
                    <w:top w:w="15" w:type="dxa"/>
                    <w:left w:w="15" w:type="dxa"/>
                    <w:right w:w="15" w:type="dxa"/>
                  </w:tcMar>
                  <w:vAlign w:val="center"/>
                </w:tcPr>
                <w:p w14:paraId="44BB19A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0.225</w:t>
                  </w:r>
                </w:p>
              </w:tc>
              <w:tc>
                <w:tcPr>
                  <w:tcW w:w="605" w:type="pct"/>
                  <w:gridSpan w:val="2"/>
                  <w:tcBorders>
                    <w:tl2br w:val="nil"/>
                    <w:tr2bl w:val="nil"/>
                  </w:tcBorders>
                  <w:shd w:val="clear" w:color="auto" w:fill="auto"/>
                  <w:noWrap/>
                  <w:tcMar>
                    <w:top w:w="15" w:type="dxa"/>
                    <w:left w:w="15" w:type="dxa"/>
                    <w:right w:w="15" w:type="dxa"/>
                  </w:tcMar>
                  <w:vAlign w:val="center"/>
                </w:tcPr>
                <w:p w14:paraId="1EF943A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-0.225</w:t>
                  </w:r>
                </w:p>
              </w:tc>
              <w:tc>
                <w:tcPr>
                  <w:tcW w:w="747" w:type="pct"/>
                  <w:gridSpan w:val="2"/>
                  <w:tcBorders>
                    <w:tl2br w:val="nil"/>
                    <w:tr2bl w:val="nil"/>
                  </w:tcBorders>
                  <w:shd w:val="clear" w:color="auto" w:fill="auto"/>
                  <w:noWrap/>
                  <w:tcMar>
                    <w:top w:w="15" w:type="dxa"/>
                    <w:left w:w="15" w:type="dxa"/>
                    <w:right w:w="15" w:type="dxa"/>
                  </w:tcMar>
                  <w:vAlign w:val="center"/>
                </w:tcPr>
                <w:p w14:paraId="1612C8B1">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outlineLvl w:val="9"/>
                    <w:rPr>
                      <w:rFonts w:hint="eastAsia" w:ascii="Times New Roman" w:hAnsi="Times New Roman"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0.225</w:t>
                  </w:r>
                </w:p>
              </w:tc>
              <w:tc>
                <w:tcPr>
                  <w:tcW w:w="698" w:type="pct"/>
                  <w:gridSpan w:val="2"/>
                  <w:tcBorders>
                    <w:tl2br w:val="nil"/>
                    <w:tr2bl w:val="nil"/>
                  </w:tcBorders>
                  <w:shd w:val="clear" w:color="auto" w:fill="auto"/>
                  <w:noWrap/>
                  <w:tcMar>
                    <w:top w:w="15" w:type="dxa"/>
                    <w:left w:w="15" w:type="dxa"/>
                    <w:right w:w="15" w:type="dxa"/>
                  </w:tcMar>
                  <w:vAlign w:val="center"/>
                </w:tcPr>
                <w:p w14:paraId="2E1BFE4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0.225</w:t>
                  </w:r>
                </w:p>
              </w:tc>
            </w:tr>
            <w:tr w14:paraId="54BC9AD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1BDE1B7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7C76FBA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659" w:type="pct"/>
                  <w:gridSpan w:val="2"/>
                  <w:tcBorders>
                    <w:tl2br w:val="nil"/>
                    <w:tr2bl w:val="nil"/>
                  </w:tcBorders>
                  <w:shd w:val="clear" w:color="auto" w:fill="auto"/>
                  <w:noWrap/>
                  <w:tcMar>
                    <w:top w:w="15" w:type="dxa"/>
                    <w:left w:w="15" w:type="dxa"/>
                    <w:right w:w="15" w:type="dxa"/>
                  </w:tcMar>
                  <w:vAlign w:val="center"/>
                </w:tcPr>
                <w:p w14:paraId="55C5E540">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tcBorders>
                    <w:tl2br w:val="nil"/>
                    <w:tr2bl w:val="nil"/>
                  </w:tcBorders>
                  <w:shd w:val="clear" w:color="auto" w:fill="auto"/>
                  <w:noWrap/>
                  <w:tcMar>
                    <w:top w:w="15" w:type="dxa"/>
                    <w:left w:w="15" w:type="dxa"/>
                    <w:right w:w="15" w:type="dxa"/>
                  </w:tcMar>
                  <w:vAlign w:val="center"/>
                </w:tcPr>
                <w:p w14:paraId="589FB4C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0.010</w:t>
                  </w:r>
                </w:p>
              </w:tc>
              <w:tc>
                <w:tcPr>
                  <w:tcW w:w="365" w:type="pct"/>
                  <w:tcBorders>
                    <w:tl2br w:val="nil"/>
                    <w:tr2bl w:val="nil"/>
                  </w:tcBorders>
                  <w:shd w:val="clear" w:color="auto" w:fill="auto"/>
                  <w:noWrap/>
                  <w:tcMar>
                    <w:top w:w="15" w:type="dxa"/>
                    <w:left w:w="15" w:type="dxa"/>
                    <w:right w:w="15" w:type="dxa"/>
                  </w:tcMar>
                  <w:vAlign w:val="center"/>
                </w:tcPr>
                <w:p w14:paraId="739C7B4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w:t>
                  </w:r>
                </w:p>
              </w:tc>
              <w:tc>
                <w:tcPr>
                  <w:tcW w:w="638" w:type="pct"/>
                  <w:gridSpan w:val="2"/>
                  <w:tcBorders>
                    <w:tl2br w:val="nil"/>
                    <w:tr2bl w:val="nil"/>
                  </w:tcBorders>
                  <w:shd w:val="clear" w:color="auto" w:fill="auto"/>
                  <w:noWrap/>
                  <w:tcMar>
                    <w:top w:w="15" w:type="dxa"/>
                    <w:left w:w="15" w:type="dxa"/>
                    <w:right w:w="15" w:type="dxa"/>
                  </w:tcMar>
                  <w:vAlign w:val="center"/>
                </w:tcPr>
                <w:p w14:paraId="0B3EFA1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0.010</w:t>
                  </w:r>
                </w:p>
              </w:tc>
              <w:tc>
                <w:tcPr>
                  <w:tcW w:w="605" w:type="pct"/>
                  <w:gridSpan w:val="2"/>
                  <w:tcBorders>
                    <w:tl2br w:val="nil"/>
                    <w:tr2bl w:val="nil"/>
                  </w:tcBorders>
                  <w:shd w:val="clear" w:color="auto" w:fill="auto"/>
                  <w:noWrap/>
                  <w:tcMar>
                    <w:top w:w="15" w:type="dxa"/>
                    <w:left w:w="15" w:type="dxa"/>
                    <w:right w:w="15" w:type="dxa"/>
                  </w:tcMar>
                  <w:vAlign w:val="center"/>
                </w:tcPr>
                <w:p w14:paraId="298BA06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default" w:cs="Times New Roman"/>
                      <w:color w:val="auto"/>
                      <w:sz w:val="21"/>
                      <w:szCs w:val="21"/>
                      <w:lang w:val="en-US" w:eastAsia="zh-CN"/>
                    </w:rPr>
                    <w:t>-0.01</w:t>
                  </w:r>
                </w:p>
              </w:tc>
              <w:tc>
                <w:tcPr>
                  <w:tcW w:w="747" w:type="pct"/>
                  <w:gridSpan w:val="2"/>
                  <w:tcBorders>
                    <w:tl2br w:val="nil"/>
                    <w:tr2bl w:val="nil"/>
                  </w:tcBorders>
                  <w:shd w:val="clear" w:color="auto" w:fill="auto"/>
                  <w:noWrap/>
                  <w:tcMar>
                    <w:top w:w="15" w:type="dxa"/>
                    <w:left w:w="15" w:type="dxa"/>
                    <w:right w:w="15" w:type="dxa"/>
                  </w:tcMar>
                  <w:vAlign w:val="center"/>
                </w:tcPr>
                <w:p w14:paraId="5197B5E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r>
                    <w:rPr>
                      <w:rFonts w:hint="default" w:cs="Times New Roman"/>
                      <w:color w:val="auto"/>
                      <w:sz w:val="21"/>
                      <w:szCs w:val="21"/>
                      <w:lang w:val="en-US" w:eastAsia="zh-CN"/>
                    </w:rPr>
                    <w:t>0.01</w:t>
                  </w:r>
                </w:p>
              </w:tc>
              <w:tc>
                <w:tcPr>
                  <w:tcW w:w="698" w:type="pct"/>
                  <w:gridSpan w:val="2"/>
                  <w:tcBorders>
                    <w:tl2br w:val="nil"/>
                    <w:tr2bl w:val="nil"/>
                  </w:tcBorders>
                  <w:shd w:val="clear" w:color="auto" w:fill="auto"/>
                  <w:noWrap/>
                  <w:tcMar>
                    <w:top w:w="15" w:type="dxa"/>
                    <w:left w:w="15" w:type="dxa"/>
                    <w:right w:w="15" w:type="dxa"/>
                  </w:tcMar>
                  <w:vAlign w:val="center"/>
                </w:tcPr>
                <w:p w14:paraId="09F5550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0.010</w:t>
                  </w:r>
                </w:p>
              </w:tc>
            </w:tr>
            <w:tr w14:paraId="32BBFA9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557572C2">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35E4047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659" w:type="pct"/>
                  <w:gridSpan w:val="2"/>
                  <w:tcBorders>
                    <w:tl2br w:val="nil"/>
                    <w:tr2bl w:val="nil"/>
                  </w:tcBorders>
                  <w:shd w:val="clear" w:color="auto" w:fill="auto"/>
                  <w:noWrap/>
                  <w:tcMar>
                    <w:top w:w="15" w:type="dxa"/>
                    <w:left w:w="15" w:type="dxa"/>
                    <w:right w:w="15" w:type="dxa"/>
                  </w:tcMar>
                  <w:vAlign w:val="center"/>
                </w:tcPr>
                <w:p w14:paraId="40EA1E7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tcBorders>
                    <w:tl2br w:val="nil"/>
                    <w:tr2bl w:val="nil"/>
                  </w:tcBorders>
                  <w:shd w:val="clear" w:color="auto" w:fill="auto"/>
                  <w:noWrap/>
                  <w:tcMar>
                    <w:top w:w="15" w:type="dxa"/>
                    <w:left w:w="15" w:type="dxa"/>
                    <w:right w:w="15" w:type="dxa"/>
                  </w:tcMar>
                  <w:vAlign w:val="center"/>
                </w:tcPr>
                <w:p w14:paraId="183F93EF">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0.010</w:t>
                  </w:r>
                </w:p>
              </w:tc>
              <w:tc>
                <w:tcPr>
                  <w:tcW w:w="365" w:type="pct"/>
                  <w:tcBorders>
                    <w:tl2br w:val="nil"/>
                    <w:tr2bl w:val="nil"/>
                  </w:tcBorders>
                  <w:shd w:val="clear" w:color="auto" w:fill="auto"/>
                  <w:noWrap/>
                  <w:tcMar>
                    <w:top w:w="15" w:type="dxa"/>
                    <w:left w:w="15" w:type="dxa"/>
                    <w:right w:w="15" w:type="dxa"/>
                  </w:tcMar>
                  <w:vAlign w:val="center"/>
                </w:tcPr>
                <w:p w14:paraId="3A5855C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w:t>
                  </w:r>
                </w:p>
              </w:tc>
              <w:tc>
                <w:tcPr>
                  <w:tcW w:w="638" w:type="pct"/>
                  <w:gridSpan w:val="2"/>
                  <w:tcBorders>
                    <w:tl2br w:val="nil"/>
                    <w:tr2bl w:val="nil"/>
                  </w:tcBorders>
                  <w:shd w:val="clear" w:color="auto" w:fill="auto"/>
                  <w:noWrap/>
                  <w:tcMar>
                    <w:top w:w="15" w:type="dxa"/>
                    <w:left w:w="15" w:type="dxa"/>
                    <w:right w:w="15" w:type="dxa"/>
                  </w:tcMar>
                  <w:vAlign w:val="center"/>
                </w:tcPr>
                <w:p w14:paraId="731AEC4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sz w:val="21"/>
                      <w:szCs w:val="21"/>
                      <w:u w:val="none"/>
                      <w:lang w:val="en-US" w:eastAsia="zh-CN"/>
                    </w:rPr>
                  </w:pPr>
                  <w:r>
                    <w:rPr>
                      <w:rFonts w:hint="eastAsia" w:ascii="Times New Roman" w:hAnsi="Times New Roman" w:eastAsia="宋体" w:cs="Times New Roman"/>
                      <w:i w:val="0"/>
                      <w:color w:val="auto"/>
                      <w:sz w:val="21"/>
                      <w:szCs w:val="21"/>
                      <w:u w:val="none"/>
                      <w:lang w:val="en-US" w:eastAsia="zh-CN"/>
                    </w:rPr>
                    <w:t>0.010</w:t>
                  </w:r>
                </w:p>
              </w:tc>
              <w:tc>
                <w:tcPr>
                  <w:tcW w:w="605" w:type="pct"/>
                  <w:gridSpan w:val="2"/>
                  <w:tcBorders>
                    <w:tl2br w:val="nil"/>
                    <w:tr2bl w:val="nil"/>
                  </w:tcBorders>
                  <w:shd w:val="clear" w:color="auto" w:fill="auto"/>
                  <w:noWrap/>
                  <w:tcMar>
                    <w:top w:w="15" w:type="dxa"/>
                    <w:left w:w="15" w:type="dxa"/>
                    <w:right w:w="15" w:type="dxa"/>
                  </w:tcMar>
                  <w:vAlign w:val="center"/>
                </w:tcPr>
                <w:p w14:paraId="395B43A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default" w:cs="Times New Roman"/>
                      <w:color w:val="auto"/>
                      <w:sz w:val="21"/>
                      <w:szCs w:val="21"/>
                      <w:lang w:val="en-US" w:eastAsia="zh-CN"/>
                    </w:rPr>
                    <w:t>-0.01</w:t>
                  </w:r>
                </w:p>
              </w:tc>
              <w:tc>
                <w:tcPr>
                  <w:tcW w:w="747" w:type="pct"/>
                  <w:gridSpan w:val="2"/>
                  <w:tcBorders>
                    <w:tl2br w:val="nil"/>
                    <w:tr2bl w:val="nil"/>
                  </w:tcBorders>
                  <w:shd w:val="clear" w:color="auto" w:fill="auto"/>
                  <w:noWrap/>
                  <w:tcMar>
                    <w:top w:w="15" w:type="dxa"/>
                    <w:left w:w="15" w:type="dxa"/>
                    <w:right w:w="15" w:type="dxa"/>
                  </w:tcMar>
                  <w:vAlign w:val="center"/>
                </w:tcPr>
                <w:p w14:paraId="519AAEA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r>
                    <w:rPr>
                      <w:rFonts w:hint="default" w:cs="Times New Roman"/>
                      <w:color w:val="auto"/>
                      <w:sz w:val="21"/>
                      <w:szCs w:val="21"/>
                      <w:lang w:val="en-US" w:eastAsia="zh-CN"/>
                    </w:rPr>
                    <w:t>0.01</w:t>
                  </w:r>
                </w:p>
              </w:tc>
              <w:tc>
                <w:tcPr>
                  <w:tcW w:w="698" w:type="pct"/>
                  <w:gridSpan w:val="2"/>
                  <w:tcBorders>
                    <w:tl2br w:val="nil"/>
                    <w:tr2bl w:val="nil"/>
                  </w:tcBorders>
                  <w:shd w:val="clear" w:color="auto" w:fill="auto"/>
                  <w:noWrap/>
                  <w:tcMar>
                    <w:top w:w="15" w:type="dxa"/>
                    <w:left w:w="15" w:type="dxa"/>
                    <w:right w:w="15" w:type="dxa"/>
                  </w:tcMar>
                  <w:vAlign w:val="center"/>
                </w:tcPr>
                <w:p w14:paraId="6179A6F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0.010</w:t>
                  </w:r>
                </w:p>
              </w:tc>
            </w:tr>
            <w:tr w14:paraId="574D16F7">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1E3BAC0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19079541">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2"/>
                      <w:sz w:val="21"/>
                      <w:szCs w:val="21"/>
                      <w:u w:val="none"/>
                      <w:lang w:val="en-US" w:eastAsia="zh-CN" w:bidi="ar-SA"/>
                    </w:rPr>
                    <w:t>颗粒物</w:t>
                  </w:r>
                </w:p>
              </w:tc>
              <w:tc>
                <w:tcPr>
                  <w:tcW w:w="659" w:type="pct"/>
                  <w:gridSpan w:val="2"/>
                  <w:tcBorders>
                    <w:tl2br w:val="nil"/>
                    <w:tr2bl w:val="nil"/>
                  </w:tcBorders>
                  <w:shd w:val="clear" w:color="auto" w:fill="auto"/>
                  <w:noWrap/>
                  <w:tcMar>
                    <w:top w:w="15" w:type="dxa"/>
                    <w:left w:w="15" w:type="dxa"/>
                    <w:right w:w="15" w:type="dxa"/>
                  </w:tcMar>
                  <w:vAlign w:val="center"/>
                </w:tcPr>
                <w:p w14:paraId="7F19BBD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0.21</w:t>
                  </w:r>
                </w:p>
              </w:tc>
              <w:tc>
                <w:tcPr>
                  <w:tcW w:w="409" w:type="pct"/>
                  <w:tcBorders>
                    <w:tl2br w:val="nil"/>
                    <w:tr2bl w:val="nil"/>
                  </w:tcBorders>
                  <w:shd w:val="clear" w:color="auto" w:fill="auto"/>
                  <w:noWrap/>
                  <w:tcMar>
                    <w:top w:w="15" w:type="dxa"/>
                    <w:left w:w="15" w:type="dxa"/>
                    <w:right w:w="15" w:type="dxa"/>
                  </w:tcMar>
                  <w:vAlign w:val="center"/>
                </w:tcPr>
                <w:p w14:paraId="4DB7192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1.578</w:t>
                  </w:r>
                </w:p>
              </w:tc>
              <w:tc>
                <w:tcPr>
                  <w:tcW w:w="365" w:type="pct"/>
                  <w:tcBorders>
                    <w:tl2br w:val="nil"/>
                    <w:tr2bl w:val="nil"/>
                  </w:tcBorders>
                  <w:shd w:val="clear" w:color="auto" w:fill="auto"/>
                  <w:noWrap/>
                  <w:tcMar>
                    <w:top w:w="15" w:type="dxa"/>
                    <w:left w:w="15" w:type="dxa"/>
                    <w:right w:w="15" w:type="dxa"/>
                  </w:tcMar>
                  <w:vAlign w:val="center"/>
                </w:tcPr>
                <w:p w14:paraId="20186322">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1.420</w:t>
                  </w:r>
                </w:p>
              </w:tc>
              <w:tc>
                <w:tcPr>
                  <w:tcW w:w="638" w:type="pct"/>
                  <w:gridSpan w:val="2"/>
                  <w:tcBorders>
                    <w:tl2br w:val="nil"/>
                    <w:tr2bl w:val="nil"/>
                  </w:tcBorders>
                  <w:shd w:val="clear" w:color="auto" w:fill="auto"/>
                  <w:noWrap/>
                  <w:tcMar>
                    <w:top w:w="15" w:type="dxa"/>
                    <w:left w:w="15" w:type="dxa"/>
                    <w:right w:w="15" w:type="dxa"/>
                  </w:tcMar>
                  <w:vAlign w:val="center"/>
                </w:tcPr>
                <w:p w14:paraId="5603AAE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0.158</w:t>
                  </w:r>
                </w:p>
              </w:tc>
              <w:tc>
                <w:tcPr>
                  <w:tcW w:w="605" w:type="pct"/>
                  <w:gridSpan w:val="2"/>
                  <w:tcBorders>
                    <w:tl2br w:val="nil"/>
                    <w:tr2bl w:val="nil"/>
                  </w:tcBorders>
                  <w:shd w:val="clear" w:color="auto" w:fill="auto"/>
                  <w:noWrap/>
                  <w:tcMar>
                    <w:top w:w="15" w:type="dxa"/>
                    <w:left w:w="15" w:type="dxa"/>
                    <w:right w:w="15" w:type="dxa"/>
                  </w:tcMar>
                  <w:vAlign w:val="center"/>
                </w:tcPr>
                <w:p w14:paraId="028CD3D8">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default" w:cs="Times New Roman"/>
                      <w:color w:val="auto"/>
                      <w:sz w:val="21"/>
                      <w:szCs w:val="21"/>
                      <w:lang w:val="en-US" w:eastAsia="zh-CN"/>
                    </w:rPr>
                    <w:t>0.</w:t>
                  </w:r>
                  <w:r>
                    <w:rPr>
                      <w:rFonts w:hint="eastAsia" w:cs="Times New Roman"/>
                      <w:color w:val="auto"/>
                      <w:sz w:val="21"/>
                      <w:szCs w:val="21"/>
                      <w:lang w:val="en-US" w:eastAsia="zh-CN"/>
                    </w:rPr>
                    <w:t>052</w:t>
                  </w:r>
                </w:p>
              </w:tc>
              <w:tc>
                <w:tcPr>
                  <w:tcW w:w="747" w:type="pct"/>
                  <w:gridSpan w:val="2"/>
                  <w:tcBorders>
                    <w:tl2br w:val="nil"/>
                    <w:tr2bl w:val="nil"/>
                  </w:tcBorders>
                  <w:shd w:val="clear" w:color="auto" w:fill="auto"/>
                  <w:noWrap/>
                  <w:tcMar>
                    <w:top w:w="15" w:type="dxa"/>
                    <w:left w:w="15" w:type="dxa"/>
                    <w:right w:w="15" w:type="dxa"/>
                  </w:tcMar>
                  <w:vAlign w:val="center"/>
                </w:tcPr>
                <w:p w14:paraId="21D08A2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w:t>
                  </w:r>
                  <w:r>
                    <w:rPr>
                      <w:rFonts w:hint="default" w:cs="Times New Roman"/>
                      <w:color w:val="auto"/>
                      <w:sz w:val="21"/>
                      <w:szCs w:val="21"/>
                      <w:lang w:val="en-US" w:eastAsia="zh-CN"/>
                    </w:rPr>
                    <w:t>0.</w:t>
                  </w:r>
                  <w:r>
                    <w:rPr>
                      <w:rFonts w:hint="eastAsia" w:cs="Times New Roman"/>
                      <w:color w:val="auto"/>
                      <w:sz w:val="21"/>
                      <w:szCs w:val="21"/>
                      <w:lang w:val="en-US" w:eastAsia="zh-CN"/>
                    </w:rPr>
                    <w:t>052</w:t>
                  </w:r>
                </w:p>
              </w:tc>
              <w:tc>
                <w:tcPr>
                  <w:tcW w:w="698" w:type="pct"/>
                  <w:gridSpan w:val="2"/>
                  <w:tcBorders>
                    <w:tl2br w:val="nil"/>
                    <w:tr2bl w:val="nil"/>
                  </w:tcBorders>
                  <w:shd w:val="clear" w:color="auto" w:fill="auto"/>
                  <w:noWrap/>
                  <w:tcMar>
                    <w:top w:w="15" w:type="dxa"/>
                    <w:left w:w="15" w:type="dxa"/>
                    <w:right w:w="15" w:type="dxa"/>
                  </w:tcMar>
                  <w:vAlign w:val="center"/>
                </w:tcPr>
                <w:p w14:paraId="22969DE1">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outlineLvl w:val="9"/>
                    <w:rPr>
                      <w:rFonts w:hint="default" w:cs="Times New Roman"/>
                      <w:color w:val="auto"/>
                      <w:sz w:val="21"/>
                      <w:szCs w:val="21"/>
                      <w:lang w:val="en-US" w:eastAsia="zh-CN"/>
                    </w:rPr>
                  </w:pPr>
                  <w:r>
                    <w:rPr>
                      <w:rFonts w:hint="eastAsia" w:cs="Times New Roman"/>
                      <w:color w:val="auto"/>
                      <w:sz w:val="21"/>
                      <w:szCs w:val="21"/>
                      <w:lang w:val="en-US" w:eastAsia="zh-CN"/>
                    </w:rPr>
                    <w:t>0.158</w:t>
                  </w:r>
                </w:p>
              </w:tc>
            </w:tr>
            <w:tr w14:paraId="3A4D870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restart"/>
                  <w:tcBorders>
                    <w:tl2br w:val="nil"/>
                    <w:tr2bl w:val="nil"/>
                  </w:tcBorders>
                  <w:shd w:val="clear" w:color="auto" w:fill="auto"/>
                  <w:tcMar>
                    <w:top w:w="15" w:type="dxa"/>
                    <w:left w:w="15" w:type="dxa"/>
                    <w:right w:w="15" w:type="dxa"/>
                  </w:tcMar>
                  <w:vAlign w:val="center"/>
                </w:tcPr>
                <w:p w14:paraId="08213097">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固体废物</w:t>
                  </w:r>
                </w:p>
              </w:tc>
              <w:tc>
                <w:tcPr>
                  <w:tcW w:w="634" w:type="pct"/>
                  <w:tcBorders>
                    <w:tl2br w:val="nil"/>
                    <w:tr2bl w:val="nil"/>
                  </w:tcBorders>
                  <w:shd w:val="clear" w:color="auto" w:fill="auto"/>
                  <w:noWrap/>
                  <w:tcMar>
                    <w:top w:w="15" w:type="dxa"/>
                    <w:left w:w="15" w:type="dxa"/>
                    <w:right w:w="15" w:type="dxa"/>
                  </w:tcMar>
                  <w:vAlign w:val="center"/>
                </w:tcPr>
                <w:p w14:paraId="130E310F">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危险废物</w:t>
                  </w:r>
                </w:p>
              </w:tc>
              <w:tc>
                <w:tcPr>
                  <w:tcW w:w="659" w:type="pct"/>
                  <w:gridSpan w:val="2"/>
                  <w:tcBorders>
                    <w:tl2br w:val="nil"/>
                    <w:tr2bl w:val="nil"/>
                  </w:tcBorders>
                  <w:shd w:val="clear" w:color="auto" w:fill="auto"/>
                  <w:noWrap/>
                  <w:tcMar>
                    <w:top w:w="15" w:type="dxa"/>
                    <w:left w:w="15" w:type="dxa"/>
                    <w:right w:w="15" w:type="dxa"/>
                  </w:tcMar>
                  <w:vAlign w:val="center"/>
                </w:tcPr>
                <w:p w14:paraId="7C6B9ABD">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409" w:type="pct"/>
                  <w:tcBorders>
                    <w:tl2br w:val="nil"/>
                    <w:tr2bl w:val="nil"/>
                  </w:tcBorders>
                  <w:shd w:val="clear" w:color="auto" w:fill="auto"/>
                  <w:noWrap/>
                  <w:tcMar>
                    <w:top w:w="15" w:type="dxa"/>
                    <w:left w:w="15" w:type="dxa"/>
                    <w:right w:w="15" w:type="dxa"/>
                  </w:tcMar>
                  <w:vAlign w:val="center"/>
                </w:tcPr>
                <w:p w14:paraId="2BFBC484">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100.41</w:t>
                  </w:r>
                </w:p>
              </w:tc>
              <w:tc>
                <w:tcPr>
                  <w:tcW w:w="365" w:type="pct"/>
                  <w:tcBorders>
                    <w:tl2br w:val="nil"/>
                    <w:tr2bl w:val="nil"/>
                  </w:tcBorders>
                  <w:shd w:val="clear" w:color="auto" w:fill="auto"/>
                  <w:noWrap/>
                  <w:tcMar>
                    <w:top w:w="15" w:type="dxa"/>
                    <w:left w:w="15" w:type="dxa"/>
                    <w:right w:w="15" w:type="dxa"/>
                  </w:tcMar>
                  <w:vAlign w:val="center"/>
                </w:tcPr>
                <w:p w14:paraId="3B873EEA">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100.41</w:t>
                  </w:r>
                </w:p>
              </w:tc>
              <w:tc>
                <w:tcPr>
                  <w:tcW w:w="638" w:type="pct"/>
                  <w:gridSpan w:val="2"/>
                  <w:tcBorders>
                    <w:tl2br w:val="nil"/>
                    <w:tr2bl w:val="nil"/>
                  </w:tcBorders>
                  <w:shd w:val="clear" w:color="auto" w:fill="auto"/>
                  <w:noWrap/>
                  <w:tcMar>
                    <w:top w:w="15" w:type="dxa"/>
                    <w:left w:w="15" w:type="dxa"/>
                    <w:right w:w="15" w:type="dxa"/>
                  </w:tcMar>
                  <w:vAlign w:val="center"/>
                </w:tcPr>
                <w:p w14:paraId="7024EC83">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05" w:type="pct"/>
                  <w:gridSpan w:val="2"/>
                  <w:tcBorders>
                    <w:tl2br w:val="nil"/>
                    <w:tr2bl w:val="nil"/>
                  </w:tcBorders>
                  <w:shd w:val="clear" w:color="auto" w:fill="auto"/>
                  <w:noWrap/>
                  <w:tcMar>
                    <w:top w:w="15" w:type="dxa"/>
                    <w:left w:w="15" w:type="dxa"/>
                    <w:right w:w="15" w:type="dxa"/>
                  </w:tcMar>
                  <w:vAlign w:val="center"/>
                </w:tcPr>
                <w:p w14:paraId="5E866705">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747" w:type="pct"/>
                  <w:gridSpan w:val="2"/>
                  <w:tcBorders>
                    <w:tl2br w:val="nil"/>
                    <w:tr2bl w:val="nil"/>
                  </w:tcBorders>
                  <w:shd w:val="clear" w:color="auto" w:fill="auto"/>
                  <w:noWrap/>
                  <w:tcMar>
                    <w:top w:w="15" w:type="dxa"/>
                    <w:left w:w="15" w:type="dxa"/>
                    <w:right w:w="15" w:type="dxa"/>
                  </w:tcMar>
                  <w:vAlign w:val="center"/>
                </w:tcPr>
                <w:p w14:paraId="5F29B35B">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98" w:type="pct"/>
                  <w:gridSpan w:val="2"/>
                  <w:tcBorders>
                    <w:tl2br w:val="nil"/>
                    <w:tr2bl w:val="nil"/>
                  </w:tcBorders>
                  <w:shd w:val="clear" w:color="auto" w:fill="auto"/>
                  <w:noWrap/>
                  <w:tcMar>
                    <w:top w:w="15" w:type="dxa"/>
                    <w:left w:w="15" w:type="dxa"/>
                    <w:right w:w="15" w:type="dxa"/>
                  </w:tcMar>
                  <w:vAlign w:val="center"/>
                </w:tcPr>
                <w:p w14:paraId="47AD1749">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r>
            <w:tr w14:paraId="7FF6230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36E5D8C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220EC37F">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工业固废</w:t>
                  </w:r>
                </w:p>
              </w:tc>
              <w:tc>
                <w:tcPr>
                  <w:tcW w:w="659" w:type="pct"/>
                  <w:gridSpan w:val="2"/>
                  <w:tcBorders>
                    <w:tl2br w:val="nil"/>
                    <w:tr2bl w:val="nil"/>
                  </w:tcBorders>
                  <w:shd w:val="clear" w:color="auto" w:fill="auto"/>
                  <w:noWrap/>
                  <w:tcMar>
                    <w:top w:w="15" w:type="dxa"/>
                    <w:left w:w="15" w:type="dxa"/>
                    <w:right w:w="15" w:type="dxa"/>
                  </w:tcMar>
                  <w:vAlign w:val="center"/>
                </w:tcPr>
                <w:p w14:paraId="21F25F29">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409" w:type="pct"/>
                  <w:tcBorders>
                    <w:tl2br w:val="nil"/>
                    <w:tr2bl w:val="nil"/>
                  </w:tcBorders>
                  <w:shd w:val="clear" w:color="auto" w:fill="auto"/>
                  <w:noWrap/>
                  <w:tcMar>
                    <w:top w:w="15" w:type="dxa"/>
                    <w:left w:w="15" w:type="dxa"/>
                    <w:right w:w="15" w:type="dxa"/>
                  </w:tcMar>
                  <w:vAlign w:val="center"/>
                </w:tcPr>
                <w:p w14:paraId="6B955C83">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74.750</w:t>
                  </w:r>
                </w:p>
              </w:tc>
              <w:tc>
                <w:tcPr>
                  <w:tcW w:w="365" w:type="pct"/>
                  <w:tcBorders>
                    <w:tl2br w:val="nil"/>
                    <w:tr2bl w:val="nil"/>
                  </w:tcBorders>
                  <w:shd w:val="clear" w:color="auto" w:fill="auto"/>
                  <w:noWrap/>
                  <w:tcMar>
                    <w:top w:w="15" w:type="dxa"/>
                    <w:left w:w="15" w:type="dxa"/>
                    <w:right w:w="15" w:type="dxa"/>
                  </w:tcMar>
                  <w:vAlign w:val="center"/>
                </w:tcPr>
                <w:p w14:paraId="59B3DB43">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74.750</w:t>
                  </w:r>
                </w:p>
              </w:tc>
              <w:tc>
                <w:tcPr>
                  <w:tcW w:w="638" w:type="pct"/>
                  <w:gridSpan w:val="2"/>
                  <w:tcBorders>
                    <w:tl2br w:val="nil"/>
                    <w:tr2bl w:val="nil"/>
                  </w:tcBorders>
                  <w:shd w:val="clear" w:color="auto" w:fill="auto"/>
                  <w:noWrap/>
                  <w:tcMar>
                    <w:top w:w="15" w:type="dxa"/>
                    <w:left w:w="15" w:type="dxa"/>
                    <w:right w:w="15" w:type="dxa"/>
                  </w:tcMar>
                  <w:vAlign w:val="center"/>
                </w:tcPr>
                <w:p w14:paraId="5E354E4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05" w:type="pct"/>
                  <w:gridSpan w:val="2"/>
                  <w:tcBorders>
                    <w:tl2br w:val="nil"/>
                    <w:tr2bl w:val="nil"/>
                  </w:tcBorders>
                  <w:shd w:val="clear" w:color="auto" w:fill="auto"/>
                  <w:noWrap/>
                  <w:tcMar>
                    <w:top w:w="15" w:type="dxa"/>
                    <w:left w:w="15" w:type="dxa"/>
                    <w:right w:w="15" w:type="dxa"/>
                  </w:tcMar>
                  <w:vAlign w:val="center"/>
                </w:tcPr>
                <w:p w14:paraId="5F9AC9F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747" w:type="pct"/>
                  <w:gridSpan w:val="2"/>
                  <w:tcBorders>
                    <w:tl2br w:val="nil"/>
                    <w:tr2bl w:val="nil"/>
                  </w:tcBorders>
                  <w:shd w:val="clear" w:color="auto" w:fill="auto"/>
                  <w:noWrap/>
                  <w:tcMar>
                    <w:top w:w="15" w:type="dxa"/>
                    <w:left w:w="15" w:type="dxa"/>
                    <w:right w:w="15" w:type="dxa"/>
                  </w:tcMar>
                  <w:vAlign w:val="center"/>
                </w:tcPr>
                <w:p w14:paraId="776292BC">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98" w:type="pct"/>
                  <w:gridSpan w:val="2"/>
                  <w:tcBorders>
                    <w:tl2br w:val="nil"/>
                    <w:tr2bl w:val="nil"/>
                  </w:tcBorders>
                  <w:shd w:val="clear" w:color="auto" w:fill="auto"/>
                  <w:noWrap/>
                  <w:tcMar>
                    <w:top w:w="15" w:type="dxa"/>
                    <w:left w:w="15" w:type="dxa"/>
                    <w:right w:w="15" w:type="dxa"/>
                  </w:tcMar>
                  <w:vAlign w:val="center"/>
                </w:tcPr>
                <w:p w14:paraId="153116C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r>
            <w:tr w14:paraId="3BBB1EC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78EA451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7464B39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化粪池污泥</w:t>
                  </w:r>
                </w:p>
              </w:tc>
              <w:tc>
                <w:tcPr>
                  <w:tcW w:w="659" w:type="pct"/>
                  <w:gridSpan w:val="2"/>
                  <w:tcBorders>
                    <w:tl2br w:val="nil"/>
                    <w:tr2bl w:val="nil"/>
                  </w:tcBorders>
                  <w:shd w:val="clear" w:color="auto" w:fill="auto"/>
                  <w:noWrap/>
                  <w:tcMar>
                    <w:top w:w="15" w:type="dxa"/>
                    <w:left w:w="15" w:type="dxa"/>
                    <w:right w:w="15" w:type="dxa"/>
                  </w:tcMar>
                  <w:vAlign w:val="center"/>
                </w:tcPr>
                <w:p w14:paraId="16F3CAC0">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0</w:t>
                  </w:r>
                </w:p>
              </w:tc>
              <w:tc>
                <w:tcPr>
                  <w:tcW w:w="409" w:type="pct"/>
                  <w:tcBorders>
                    <w:tl2br w:val="nil"/>
                    <w:tr2bl w:val="nil"/>
                  </w:tcBorders>
                  <w:shd w:val="clear" w:color="auto" w:fill="auto"/>
                  <w:noWrap/>
                  <w:tcMar>
                    <w:top w:w="15" w:type="dxa"/>
                    <w:left w:w="15" w:type="dxa"/>
                    <w:right w:w="15" w:type="dxa"/>
                  </w:tcMar>
                  <w:vAlign w:val="center"/>
                </w:tcPr>
                <w:p w14:paraId="43C48ACE">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8</w:t>
                  </w:r>
                </w:p>
              </w:tc>
              <w:tc>
                <w:tcPr>
                  <w:tcW w:w="365" w:type="pct"/>
                  <w:tcBorders>
                    <w:tl2br w:val="nil"/>
                    <w:tr2bl w:val="nil"/>
                  </w:tcBorders>
                  <w:shd w:val="clear" w:color="auto" w:fill="auto"/>
                  <w:noWrap/>
                  <w:tcMar>
                    <w:top w:w="15" w:type="dxa"/>
                    <w:left w:w="15" w:type="dxa"/>
                    <w:right w:w="15" w:type="dxa"/>
                  </w:tcMar>
                  <w:vAlign w:val="center"/>
                </w:tcPr>
                <w:p w14:paraId="5E83E553">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cs="Times New Roman"/>
                      <w:i w:val="0"/>
                      <w:color w:val="auto"/>
                      <w:kern w:val="0"/>
                      <w:sz w:val="21"/>
                      <w:szCs w:val="21"/>
                      <w:u w:val="none"/>
                      <w:lang w:val="en-US" w:eastAsia="zh-CN" w:bidi="ar"/>
                    </w:rPr>
                  </w:pPr>
                  <w:r>
                    <w:rPr>
                      <w:rFonts w:hint="eastAsia" w:cs="Times New Roman"/>
                      <w:i w:val="0"/>
                      <w:color w:val="auto"/>
                      <w:kern w:val="0"/>
                      <w:sz w:val="21"/>
                      <w:szCs w:val="21"/>
                      <w:u w:val="none"/>
                      <w:lang w:val="en-US" w:eastAsia="zh-CN" w:bidi="ar"/>
                    </w:rPr>
                    <w:t>8</w:t>
                  </w:r>
                </w:p>
              </w:tc>
              <w:tc>
                <w:tcPr>
                  <w:tcW w:w="638" w:type="pct"/>
                  <w:gridSpan w:val="2"/>
                  <w:tcBorders>
                    <w:tl2br w:val="nil"/>
                    <w:tr2bl w:val="nil"/>
                  </w:tcBorders>
                  <w:shd w:val="clear" w:color="auto" w:fill="auto"/>
                  <w:noWrap/>
                  <w:tcMar>
                    <w:top w:w="15" w:type="dxa"/>
                    <w:left w:w="15" w:type="dxa"/>
                    <w:right w:w="15" w:type="dxa"/>
                  </w:tcMar>
                  <w:vAlign w:val="center"/>
                </w:tcPr>
                <w:p w14:paraId="54898DE7">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05" w:type="pct"/>
                  <w:gridSpan w:val="2"/>
                  <w:tcBorders>
                    <w:tl2br w:val="nil"/>
                    <w:tr2bl w:val="nil"/>
                  </w:tcBorders>
                  <w:shd w:val="clear" w:color="auto" w:fill="auto"/>
                  <w:noWrap/>
                  <w:tcMar>
                    <w:top w:w="15" w:type="dxa"/>
                    <w:left w:w="15" w:type="dxa"/>
                    <w:right w:w="15" w:type="dxa"/>
                  </w:tcMar>
                  <w:vAlign w:val="center"/>
                </w:tcPr>
                <w:p w14:paraId="556E8531">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747" w:type="pct"/>
                  <w:gridSpan w:val="2"/>
                  <w:tcBorders>
                    <w:tl2br w:val="nil"/>
                    <w:tr2bl w:val="nil"/>
                  </w:tcBorders>
                  <w:shd w:val="clear" w:color="auto" w:fill="auto"/>
                  <w:noWrap/>
                  <w:tcMar>
                    <w:top w:w="15" w:type="dxa"/>
                    <w:left w:w="15" w:type="dxa"/>
                    <w:right w:w="15" w:type="dxa"/>
                  </w:tcMar>
                  <w:vAlign w:val="center"/>
                </w:tcPr>
                <w:p w14:paraId="304C4CF7">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98" w:type="pct"/>
                  <w:gridSpan w:val="2"/>
                  <w:tcBorders>
                    <w:tl2br w:val="nil"/>
                    <w:tr2bl w:val="nil"/>
                  </w:tcBorders>
                  <w:shd w:val="clear" w:color="auto" w:fill="auto"/>
                  <w:noWrap/>
                  <w:tcMar>
                    <w:top w:w="15" w:type="dxa"/>
                    <w:left w:w="15" w:type="dxa"/>
                    <w:right w:w="15" w:type="dxa"/>
                  </w:tcMar>
                  <w:vAlign w:val="center"/>
                </w:tcPr>
                <w:p w14:paraId="018BE1FB">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r>
            <w:tr w14:paraId="0087201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shd w:val="clear" w:color="auto" w:fill="auto"/>
                <w:tblCellMar>
                  <w:top w:w="0" w:type="dxa"/>
                  <w:left w:w="0" w:type="dxa"/>
                  <w:bottom w:w="0" w:type="dxa"/>
                  <w:right w:w="0" w:type="dxa"/>
                </w:tblCellMar>
              </w:tblPrEx>
              <w:trPr>
                <w:trHeight w:val="454" w:hRule="atLeast"/>
                <w:jc w:val="center"/>
              </w:trPr>
              <w:tc>
                <w:tcPr>
                  <w:tcW w:w="241" w:type="pct"/>
                  <w:vMerge w:val="continue"/>
                  <w:tcBorders>
                    <w:tl2br w:val="nil"/>
                    <w:tr2bl w:val="nil"/>
                  </w:tcBorders>
                  <w:shd w:val="clear" w:color="auto" w:fill="auto"/>
                  <w:tcMar>
                    <w:top w:w="15" w:type="dxa"/>
                    <w:left w:w="15" w:type="dxa"/>
                    <w:right w:w="15" w:type="dxa"/>
                  </w:tcMar>
                  <w:vAlign w:val="center"/>
                </w:tcPr>
                <w:p w14:paraId="2A1F1E66">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outlineLvl w:val="9"/>
                    <w:rPr>
                      <w:rFonts w:hint="default" w:ascii="Times New Roman" w:hAnsi="Times New Roman" w:eastAsia="宋体" w:cs="Times New Roman"/>
                      <w:i w:val="0"/>
                      <w:color w:val="auto"/>
                      <w:sz w:val="21"/>
                      <w:szCs w:val="21"/>
                      <w:u w:val="none"/>
                    </w:rPr>
                  </w:pPr>
                </w:p>
              </w:tc>
              <w:tc>
                <w:tcPr>
                  <w:tcW w:w="634" w:type="pct"/>
                  <w:tcBorders>
                    <w:tl2br w:val="nil"/>
                    <w:tr2bl w:val="nil"/>
                  </w:tcBorders>
                  <w:shd w:val="clear" w:color="auto" w:fill="auto"/>
                  <w:noWrap/>
                  <w:tcMar>
                    <w:top w:w="15" w:type="dxa"/>
                    <w:left w:w="15" w:type="dxa"/>
                    <w:right w:w="15" w:type="dxa"/>
                  </w:tcMar>
                  <w:vAlign w:val="center"/>
                </w:tcPr>
                <w:p w14:paraId="611300B6">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生活垃圾</w:t>
                  </w:r>
                </w:p>
              </w:tc>
              <w:tc>
                <w:tcPr>
                  <w:tcW w:w="659" w:type="pct"/>
                  <w:gridSpan w:val="2"/>
                  <w:tcBorders>
                    <w:tl2br w:val="nil"/>
                    <w:tr2bl w:val="nil"/>
                  </w:tcBorders>
                  <w:shd w:val="clear" w:color="auto" w:fill="auto"/>
                  <w:noWrap/>
                  <w:tcMar>
                    <w:top w:w="15" w:type="dxa"/>
                    <w:left w:w="15" w:type="dxa"/>
                    <w:right w:w="15" w:type="dxa"/>
                  </w:tcMar>
                  <w:vAlign w:val="center"/>
                </w:tcPr>
                <w:p w14:paraId="54C5CF70">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409" w:type="pct"/>
                  <w:tcBorders>
                    <w:tl2br w:val="nil"/>
                    <w:tr2bl w:val="nil"/>
                  </w:tcBorders>
                  <w:shd w:val="clear" w:color="auto" w:fill="auto"/>
                  <w:noWrap/>
                  <w:tcMar>
                    <w:top w:w="15" w:type="dxa"/>
                    <w:left w:w="15" w:type="dxa"/>
                    <w:right w:w="15" w:type="dxa"/>
                  </w:tcMar>
                  <w:vAlign w:val="center"/>
                </w:tcPr>
                <w:p w14:paraId="2075D352">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cs="Times New Roman"/>
                      <w:i w:val="0"/>
                      <w:color w:val="auto"/>
                      <w:kern w:val="0"/>
                      <w:sz w:val="21"/>
                      <w:szCs w:val="21"/>
                      <w:u w:val="none"/>
                      <w:lang w:val="en-US" w:eastAsia="zh-CN" w:bidi="ar"/>
                    </w:rPr>
                    <w:t>15</w:t>
                  </w:r>
                </w:p>
              </w:tc>
              <w:tc>
                <w:tcPr>
                  <w:tcW w:w="365" w:type="pct"/>
                  <w:tcBorders>
                    <w:tl2br w:val="nil"/>
                    <w:tr2bl w:val="nil"/>
                  </w:tcBorders>
                  <w:shd w:val="clear" w:color="auto" w:fill="auto"/>
                  <w:noWrap/>
                  <w:tcMar>
                    <w:top w:w="15" w:type="dxa"/>
                    <w:left w:w="15" w:type="dxa"/>
                    <w:right w:w="15" w:type="dxa"/>
                  </w:tcMar>
                  <w:vAlign w:val="center"/>
                </w:tcPr>
                <w:p w14:paraId="4D3EC880">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cs="Times New Roman"/>
                      <w:i w:val="0"/>
                      <w:color w:val="auto"/>
                      <w:kern w:val="0"/>
                      <w:sz w:val="21"/>
                      <w:szCs w:val="21"/>
                      <w:u w:val="none"/>
                      <w:lang w:val="en-US" w:eastAsia="zh-CN" w:bidi="ar"/>
                    </w:rPr>
                    <w:t>15</w:t>
                  </w:r>
                </w:p>
              </w:tc>
              <w:tc>
                <w:tcPr>
                  <w:tcW w:w="638" w:type="pct"/>
                  <w:gridSpan w:val="2"/>
                  <w:tcBorders>
                    <w:tl2br w:val="nil"/>
                    <w:tr2bl w:val="nil"/>
                  </w:tcBorders>
                  <w:shd w:val="clear" w:color="auto" w:fill="auto"/>
                  <w:noWrap/>
                  <w:tcMar>
                    <w:top w:w="15" w:type="dxa"/>
                    <w:left w:w="15" w:type="dxa"/>
                    <w:right w:w="15" w:type="dxa"/>
                  </w:tcMar>
                  <w:vAlign w:val="center"/>
                </w:tcPr>
                <w:p w14:paraId="5A5C9C60">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05" w:type="pct"/>
                  <w:gridSpan w:val="2"/>
                  <w:tcBorders>
                    <w:tl2br w:val="nil"/>
                    <w:tr2bl w:val="nil"/>
                  </w:tcBorders>
                  <w:shd w:val="clear" w:color="auto" w:fill="auto"/>
                  <w:noWrap/>
                  <w:tcMar>
                    <w:top w:w="15" w:type="dxa"/>
                    <w:left w:w="15" w:type="dxa"/>
                    <w:right w:w="15" w:type="dxa"/>
                  </w:tcMar>
                  <w:vAlign w:val="center"/>
                </w:tcPr>
                <w:p w14:paraId="282A98A8">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747" w:type="pct"/>
                  <w:gridSpan w:val="2"/>
                  <w:tcBorders>
                    <w:tl2br w:val="nil"/>
                    <w:tr2bl w:val="nil"/>
                  </w:tcBorders>
                  <w:shd w:val="clear" w:color="auto" w:fill="auto"/>
                  <w:noWrap/>
                  <w:tcMar>
                    <w:top w:w="15" w:type="dxa"/>
                    <w:left w:w="15" w:type="dxa"/>
                    <w:right w:w="15" w:type="dxa"/>
                  </w:tcMar>
                  <w:vAlign w:val="center"/>
                </w:tcPr>
                <w:p w14:paraId="453F963C">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c>
                <w:tcPr>
                  <w:tcW w:w="698" w:type="pct"/>
                  <w:gridSpan w:val="2"/>
                  <w:tcBorders>
                    <w:tl2br w:val="nil"/>
                    <w:tr2bl w:val="nil"/>
                  </w:tcBorders>
                  <w:shd w:val="clear" w:color="auto" w:fill="auto"/>
                  <w:noWrap/>
                  <w:tcMar>
                    <w:top w:w="15" w:type="dxa"/>
                    <w:left w:w="15" w:type="dxa"/>
                    <w:right w:w="15" w:type="dxa"/>
                  </w:tcMar>
                  <w:vAlign w:val="center"/>
                </w:tcPr>
                <w:p w14:paraId="263823AF">
                  <w:pPr>
                    <w:keepNext w:val="0"/>
                    <w:keepLines w:val="0"/>
                    <w:pageBreakBefore w:val="0"/>
                    <w:widowControl w:val="0"/>
                    <w:suppressLineNumbers w:val="0"/>
                    <w:kinsoku/>
                    <w:wordWrap/>
                    <w:overflowPunct/>
                    <w:topLinePunct w:val="0"/>
                    <w:autoSpaceDE/>
                    <w:autoSpaceDN/>
                    <w:bidi w:val="0"/>
                    <w:adjustRightInd/>
                    <w:snapToGrid/>
                    <w:spacing w:line="360" w:lineRule="exact"/>
                    <w:ind w:firstLine="0" w:firstLineChars="0"/>
                    <w:jc w:val="center"/>
                    <w:textAlignment w:val="top"/>
                    <w:outlineLvl w:val="9"/>
                    <w:rPr>
                      <w:rFonts w:hint="default"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i w:val="0"/>
                      <w:color w:val="auto"/>
                      <w:kern w:val="0"/>
                      <w:sz w:val="21"/>
                      <w:szCs w:val="21"/>
                      <w:u w:val="none"/>
                      <w:lang w:val="en-US" w:eastAsia="zh-CN" w:bidi="ar"/>
                    </w:rPr>
                    <w:t>0</w:t>
                  </w:r>
                </w:p>
              </w:tc>
            </w:tr>
          </w:tbl>
          <w:p w14:paraId="3F77A901">
            <w:pPr>
              <w:keepNext w:val="0"/>
              <w:keepLines w:val="0"/>
              <w:pageBreakBefore w:val="0"/>
              <w:widowControl w:val="0"/>
              <w:kinsoku/>
              <w:wordWrap/>
              <w:overflowPunct/>
              <w:topLinePunct w:val="0"/>
              <w:autoSpaceDE w:val="0"/>
              <w:autoSpaceDN w:val="0"/>
              <w:bidi w:val="0"/>
              <w:snapToGrid/>
              <w:spacing w:line="500" w:lineRule="exact"/>
              <w:ind w:firstLine="440" w:firstLineChars="200"/>
              <w:textAlignment w:val="auto"/>
              <w:outlineLvl w:val="9"/>
              <w:rPr>
                <w:rFonts w:hint="default" w:ascii="Times New Roman" w:hAnsi="Times New Roman" w:eastAsia="宋体" w:cs="Times New Roman"/>
                <w:b w:val="0"/>
                <w:bCs/>
                <w:color w:val="auto"/>
                <w:w w:val="100"/>
                <w:kern w:val="0"/>
                <w:sz w:val="22"/>
                <w:szCs w:val="22"/>
                <w:lang w:val="en-US" w:eastAsia="zh-CN" w:bidi="ar-SA"/>
              </w:rPr>
            </w:pPr>
            <w:r>
              <w:rPr>
                <w:rFonts w:hint="default" w:ascii="Times New Roman" w:hAnsi="Times New Roman" w:eastAsia="宋体" w:cs="Times New Roman"/>
                <w:b w:val="0"/>
                <w:bCs/>
                <w:color w:val="auto"/>
                <w:w w:val="100"/>
                <w:kern w:val="0"/>
                <w:sz w:val="22"/>
                <w:szCs w:val="22"/>
                <w:lang w:val="en-US" w:eastAsia="zh-CN" w:bidi="ar-SA"/>
              </w:rPr>
              <w:t>由上表可知，</w:t>
            </w:r>
            <w:r>
              <w:rPr>
                <w:rFonts w:hint="eastAsia" w:cs="Times New Roman"/>
                <w:b w:val="0"/>
                <w:bCs/>
                <w:color w:val="auto"/>
                <w:w w:val="100"/>
                <w:kern w:val="0"/>
                <w:sz w:val="22"/>
                <w:szCs w:val="22"/>
                <w:lang w:val="en-US" w:eastAsia="zh-CN" w:bidi="ar-SA"/>
              </w:rPr>
              <w:t>技改后总量为挥发性有机物：4.728t/a（其中有组织2.910t/a、无组织1.818t/a），颗粒物：0.824t/a（其中有组织0.666t/a、无组织0.158t/a），其中</w:t>
            </w:r>
            <w:r>
              <w:rPr>
                <w:rFonts w:hint="default" w:ascii="Times New Roman" w:hAnsi="Times New Roman" w:eastAsia="宋体" w:cs="Times New Roman"/>
                <w:b w:val="0"/>
                <w:bCs/>
                <w:color w:val="auto"/>
                <w:w w:val="100"/>
                <w:kern w:val="0"/>
                <w:sz w:val="22"/>
                <w:szCs w:val="22"/>
                <w:lang w:val="en-US" w:eastAsia="zh-CN" w:bidi="ar-SA"/>
              </w:rPr>
              <w:t>部分挥发性有机物：</w:t>
            </w:r>
            <w:r>
              <w:rPr>
                <w:rFonts w:hint="eastAsia" w:cs="Times New Roman"/>
                <w:b w:val="0"/>
                <w:bCs/>
                <w:color w:val="auto"/>
                <w:w w:val="100"/>
                <w:kern w:val="0"/>
                <w:sz w:val="22"/>
                <w:szCs w:val="22"/>
                <w:lang w:val="en-US" w:eastAsia="zh-CN" w:bidi="ar-SA"/>
              </w:rPr>
              <w:t>3.0</w:t>
            </w:r>
            <w:r>
              <w:rPr>
                <w:rFonts w:hint="default" w:ascii="Times New Roman" w:hAnsi="Times New Roman" w:eastAsia="宋体" w:cs="Times New Roman"/>
                <w:b w:val="0"/>
                <w:bCs/>
                <w:color w:val="auto"/>
                <w:w w:val="100"/>
                <w:kern w:val="0"/>
                <w:sz w:val="22"/>
                <w:szCs w:val="22"/>
                <w:lang w:val="en-US" w:eastAsia="zh-CN" w:bidi="ar-SA"/>
              </w:rPr>
              <w:t>t/a（其中有组织</w:t>
            </w:r>
            <w:r>
              <w:rPr>
                <w:rFonts w:hint="eastAsia" w:ascii="Times New Roman" w:hAnsi="Times New Roman" w:cs="Times New Roman"/>
                <w:b w:val="0"/>
                <w:bCs/>
                <w:color w:val="auto"/>
                <w:w w:val="100"/>
                <w:kern w:val="0"/>
                <w:sz w:val="22"/>
                <w:szCs w:val="22"/>
                <w:lang w:val="en-US" w:eastAsia="zh-CN" w:bidi="ar-SA"/>
              </w:rPr>
              <w:t>1.46</w:t>
            </w:r>
            <w:r>
              <w:rPr>
                <w:rFonts w:hint="default" w:ascii="Times New Roman" w:hAnsi="Times New Roman" w:eastAsia="宋体" w:cs="Times New Roman"/>
                <w:b w:val="0"/>
                <w:bCs/>
                <w:color w:val="auto"/>
                <w:w w:val="100"/>
                <w:kern w:val="0"/>
                <w:sz w:val="22"/>
                <w:szCs w:val="22"/>
                <w:lang w:val="en-US" w:eastAsia="zh-CN" w:bidi="ar-SA"/>
              </w:rPr>
              <w:t>t/a、无组织</w:t>
            </w:r>
            <w:r>
              <w:rPr>
                <w:rFonts w:hint="eastAsia" w:ascii="Times New Roman" w:hAnsi="Times New Roman" w:cs="Times New Roman"/>
                <w:b w:val="0"/>
                <w:bCs/>
                <w:color w:val="auto"/>
                <w:w w:val="100"/>
                <w:kern w:val="0"/>
                <w:sz w:val="22"/>
                <w:szCs w:val="22"/>
                <w:lang w:val="en-US" w:eastAsia="zh-CN" w:bidi="ar-SA"/>
              </w:rPr>
              <w:t>1.</w:t>
            </w:r>
            <w:r>
              <w:rPr>
                <w:rFonts w:hint="eastAsia" w:cs="Times New Roman"/>
                <w:b w:val="0"/>
                <w:bCs/>
                <w:color w:val="auto"/>
                <w:w w:val="100"/>
                <w:kern w:val="0"/>
                <w:sz w:val="22"/>
                <w:szCs w:val="22"/>
                <w:lang w:val="en-US" w:eastAsia="zh-CN" w:bidi="ar-SA"/>
              </w:rPr>
              <w:t>54</w:t>
            </w:r>
            <w:r>
              <w:rPr>
                <w:rFonts w:hint="default" w:ascii="Times New Roman" w:hAnsi="Times New Roman" w:eastAsia="宋体" w:cs="Times New Roman"/>
                <w:b w:val="0"/>
                <w:bCs/>
                <w:color w:val="auto"/>
                <w:w w:val="100"/>
                <w:kern w:val="0"/>
                <w:sz w:val="22"/>
                <w:szCs w:val="22"/>
                <w:lang w:val="en-US" w:eastAsia="zh-CN" w:bidi="ar-SA"/>
              </w:rPr>
              <w:t>t/a）</w:t>
            </w:r>
            <w:r>
              <w:rPr>
                <w:rFonts w:hint="eastAsia" w:cs="Times New Roman"/>
                <w:b w:val="0"/>
                <w:bCs/>
                <w:color w:val="auto"/>
                <w:w w:val="100"/>
                <w:kern w:val="0"/>
                <w:sz w:val="22"/>
                <w:szCs w:val="22"/>
                <w:lang w:val="en-US" w:eastAsia="zh-CN" w:bidi="ar-SA"/>
              </w:rPr>
              <w:t>，颗粒物</w:t>
            </w:r>
            <w:r>
              <w:rPr>
                <w:rFonts w:hint="default" w:ascii="Times New Roman" w:hAnsi="Times New Roman" w:eastAsia="宋体" w:cs="Times New Roman"/>
                <w:b w:val="0"/>
                <w:bCs/>
                <w:color w:val="auto"/>
                <w:w w:val="100"/>
                <w:kern w:val="0"/>
                <w:sz w:val="22"/>
                <w:szCs w:val="22"/>
                <w:lang w:val="en-US" w:eastAsia="zh-CN" w:bidi="ar-SA"/>
              </w:rPr>
              <w:t>：0</w:t>
            </w:r>
            <w:r>
              <w:rPr>
                <w:rFonts w:hint="eastAsia" w:ascii="Times New Roman" w:hAnsi="Times New Roman" w:cs="Times New Roman"/>
                <w:b w:val="0"/>
                <w:bCs/>
                <w:color w:val="auto"/>
                <w:w w:val="100"/>
                <w:kern w:val="0"/>
                <w:sz w:val="22"/>
                <w:szCs w:val="22"/>
                <w:lang w:val="en-US" w:eastAsia="zh-CN" w:bidi="ar-SA"/>
              </w:rPr>
              <w:t>.</w:t>
            </w:r>
            <w:r>
              <w:rPr>
                <w:rFonts w:hint="eastAsia" w:cs="Times New Roman"/>
                <w:b w:val="0"/>
                <w:bCs/>
                <w:color w:val="auto"/>
                <w:w w:val="100"/>
                <w:kern w:val="0"/>
                <w:sz w:val="22"/>
                <w:szCs w:val="22"/>
                <w:lang w:val="en-US" w:eastAsia="zh-CN" w:bidi="ar-SA"/>
              </w:rPr>
              <w:t>348</w:t>
            </w:r>
            <w:r>
              <w:rPr>
                <w:rFonts w:hint="default" w:ascii="Times New Roman" w:hAnsi="Times New Roman" w:eastAsia="宋体" w:cs="Times New Roman"/>
                <w:b w:val="0"/>
                <w:bCs/>
                <w:color w:val="auto"/>
                <w:w w:val="100"/>
                <w:kern w:val="0"/>
                <w:sz w:val="22"/>
                <w:szCs w:val="22"/>
                <w:lang w:val="en-US" w:eastAsia="zh-CN" w:bidi="ar-SA"/>
              </w:rPr>
              <w:t>t/a（其中有组织0.19t/a、无组织0.</w:t>
            </w:r>
            <w:r>
              <w:rPr>
                <w:rFonts w:hint="eastAsia" w:cs="Times New Roman"/>
                <w:b w:val="0"/>
                <w:bCs/>
                <w:color w:val="auto"/>
                <w:w w:val="100"/>
                <w:kern w:val="0"/>
                <w:sz w:val="22"/>
                <w:szCs w:val="22"/>
                <w:lang w:val="en-US" w:eastAsia="zh-CN" w:bidi="ar-SA"/>
              </w:rPr>
              <w:t>158</w:t>
            </w:r>
            <w:r>
              <w:rPr>
                <w:rFonts w:hint="default" w:ascii="Times New Roman" w:hAnsi="Times New Roman" w:eastAsia="宋体" w:cs="Times New Roman"/>
                <w:b w:val="0"/>
                <w:bCs/>
                <w:color w:val="auto"/>
                <w:w w:val="100"/>
                <w:kern w:val="0"/>
                <w:sz w:val="22"/>
                <w:szCs w:val="22"/>
                <w:lang w:val="en-US" w:eastAsia="zh-CN" w:bidi="ar-SA"/>
              </w:rPr>
              <w:t>t/a）</w:t>
            </w:r>
            <w:r>
              <w:rPr>
                <w:rFonts w:hint="eastAsia" w:ascii="Times New Roman" w:hAnsi="Times New Roman" w:cs="Times New Roman"/>
                <w:b w:val="0"/>
                <w:bCs/>
                <w:color w:val="auto"/>
                <w:w w:val="100"/>
                <w:kern w:val="0"/>
                <w:sz w:val="22"/>
                <w:szCs w:val="22"/>
                <w:lang w:val="en-US" w:eastAsia="zh-CN" w:bidi="ar-SA"/>
              </w:rPr>
              <w:t>，</w:t>
            </w:r>
            <w:r>
              <w:rPr>
                <w:rFonts w:hint="default" w:ascii="Times New Roman" w:hAnsi="Times New Roman" w:eastAsia="宋体" w:cs="Times New Roman"/>
                <w:b w:val="0"/>
                <w:bCs/>
                <w:color w:val="auto"/>
                <w:w w:val="100"/>
                <w:kern w:val="0"/>
                <w:sz w:val="22"/>
                <w:szCs w:val="22"/>
                <w:lang w:val="en-US" w:eastAsia="zh-CN" w:bidi="ar-SA"/>
              </w:rPr>
              <w:t>使用现有项目审批总量。</w:t>
            </w:r>
          </w:p>
          <w:p w14:paraId="5877DDA0">
            <w:pPr>
              <w:keepNext w:val="0"/>
              <w:keepLines w:val="0"/>
              <w:pageBreakBefore w:val="0"/>
              <w:widowControl w:val="0"/>
              <w:kinsoku/>
              <w:wordWrap/>
              <w:overflowPunct/>
              <w:topLinePunct w:val="0"/>
              <w:autoSpaceDE/>
              <w:autoSpaceDN/>
              <w:bidi w:val="0"/>
              <w:adjustRightInd/>
              <w:snapToGrid/>
              <w:spacing w:before="0" w:after="0" w:line="500" w:lineRule="exact"/>
              <w:ind w:right="0" w:firstLine="440" w:firstLineChars="200"/>
              <w:jc w:val="both"/>
              <w:textAlignment w:val="auto"/>
              <w:outlineLvl w:val="9"/>
              <w:rPr>
                <w:rFonts w:hint="default" w:ascii="Times New Roman" w:hAnsi="Times New Roman" w:eastAsia="宋体" w:cs="Times New Roman"/>
                <w:color w:val="auto"/>
                <w:kern w:val="0"/>
                <w:sz w:val="22"/>
                <w:szCs w:val="22"/>
                <w:lang w:val="en-US" w:eastAsia="zh-CN" w:bidi="ar-SA"/>
              </w:rPr>
            </w:pPr>
            <w:r>
              <w:rPr>
                <w:rFonts w:hint="default" w:ascii="Times New Roman" w:hAnsi="Times New Roman" w:eastAsia="宋体" w:cs="Times New Roman"/>
                <w:b w:val="0"/>
                <w:bCs/>
                <w:color w:val="auto"/>
                <w:w w:val="100"/>
                <w:kern w:val="0"/>
                <w:sz w:val="22"/>
                <w:szCs w:val="22"/>
                <w:lang w:val="en-US" w:eastAsia="zh-CN" w:bidi="ar-SA"/>
              </w:rPr>
              <w:t>剩余新增</w:t>
            </w:r>
            <w:r>
              <w:rPr>
                <w:rFonts w:hint="eastAsia" w:cs="Times New Roman"/>
                <w:b w:val="0"/>
                <w:bCs/>
                <w:color w:val="auto"/>
                <w:w w:val="100"/>
                <w:kern w:val="0"/>
                <w:sz w:val="22"/>
                <w:szCs w:val="22"/>
                <w:lang w:val="en-US" w:eastAsia="zh-CN" w:bidi="ar-SA"/>
              </w:rPr>
              <w:t>挥发性有机物：1.728t/a（其中有组织1.45t/a、无组织0.278t/a），颗粒物：0.476t/a（其中有组织0.476t/a）</w:t>
            </w:r>
            <w:r>
              <w:rPr>
                <w:rFonts w:hint="default" w:ascii="Times New Roman" w:hAnsi="Times New Roman" w:eastAsia="宋体" w:cs="Times New Roman"/>
                <w:b w:val="0"/>
                <w:bCs/>
                <w:color w:val="auto"/>
                <w:w w:val="100"/>
                <w:kern w:val="0"/>
                <w:sz w:val="22"/>
                <w:szCs w:val="22"/>
                <w:lang w:val="en-US" w:eastAsia="zh-CN" w:bidi="ar-SA"/>
              </w:rPr>
              <w:t>，硫化氢：0.02</w:t>
            </w:r>
            <w:r>
              <w:rPr>
                <w:rFonts w:hint="eastAsia" w:cs="Times New Roman"/>
                <w:b w:val="0"/>
                <w:bCs/>
                <w:color w:val="auto"/>
                <w:w w:val="100"/>
                <w:kern w:val="0"/>
                <w:sz w:val="22"/>
                <w:szCs w:val="22"/>
                <w:lang w:val="en-US" w:eastAsia="zh-CN" w:bidi="ar-SA"/>
              </w:rPr>
              <w:t>7</w:t>
            </w:r>
            <w:r>
              <w:rPr>
                <w:rFonts w:hint="default" w:ascii="Times New Roman" w:hAnsi="Times New Roman" w:eastAsia="宋体" w:cs="Times New Roman"/>
                <w:b w:val="0"/>
                <w:bCs/>
                <w:color w:val="auto"/>
                <w:w w:val="100"/>
                <w:kern w:val="0"/>
                <w:sz w:val="22"/>
                <w:szCs w:val="22"/>
                <w:lang w:val="en-US" w:eastAsia="zh-CN" w:bidi="ar-SA"/>
              </w:rPr>
              <w:t>t/a（其中有组织0.01</w:t>
            </w:r>
            <w:r>
              <w:rPr>
                <w:rFonts w:hint="eastAsia" w:cs="Times New Roman"/>
                <w:b w:val="0"/>
                <w:bCs/>
                <w:color w:val="auto"/>
                <w:w w:val="100"/>
                <w:kern w:val="0"/>
                <w:sz w:val="22"/>
                <w:szCs w:val="22"/>
                <w:lang w:val="en-US" w:eastAsia="zh-CN" w:bidi="ar-SA"/>
              </w:rPr>
              <w:t>7</w:t>
            </w:r>
            <w:r>
              <w:rPr>
                <w:rFonts w:hint="default" w:ascii="Times New Roman" w:hAnsi="Times New Roman" w:eastAsia="宋体" w:cs="Times New Roman"/>
                <w:b w:val="0"/>
                <w:bCs/>
                <w:color w:val="auto"/>
                <w:w w:val="100"/>
                <w:kern w:val="0"/>
                <w:sz w:val="22"/>
                <w:szCs w:val="22"/>
                <w:lang w:val="en-US" w:eastAsia="zh-CN" w:bidi="ar-SA"/>
              </w:rPr>
              <w:t>t/a、无组织0.0</w:t>
            </w:r>
            <w:r>
              <w:rPr>
                <w:rFonts w:hint="eastAsia" w:cs="Times New Roman"/>
                <w:b w:val="0"/>
                <w:bCs/>
                <w:color w:val="auto"/>
                <w:w w:val="100"/>
                <w:kern w:val="0"/>
                <w:sz w:val="22"/>
                <w:szCs w:val="22"/>
                <w:lang w:val="en-US" w:eastAsia="zh-CN" w:bidi="ar-SA"/>
              </w:rPr>
              <w:t>10</w:t>
            </w:r>
            <w:r>
              <w:rPr>
                <w:rFonts w:hint="default" w:ascii="Times New Roman" w:hAnsi="Times New Roman" w:eastAsia="宋体" w:cs="Times New Roman"/>
                <w:b w:val="0"/>
                <w:bCs/>
                <w:color w:val="auto"/>
                <w:w w:val="100"/>
                <w:kern w:val="0"/>
                <w:sz w:val="22"/>
                <w:szCs w:val="22"/>
                <w:lang w:val="en-US" w:eastAsia="zh-CN" w:bidi="ar-SA"/>
              </w:rPr>
              <w:t>t/a），由淮安市淮阴生态环境局从境内企业削减总量中替代平衡。</w:t>
            </w:r>
          </w:p>
          <w:p w14:paraId="7A0EC7BC">
            <w:pPr>
              <w:keepNext w:val="0"/>
              <w:keepLines w:val="0"/>
              <w:pageBreakBefore w:val="0"/>
              <w:widowControl w:val="0"/>
              <w:kinsoku/>
              <w:wordWrap/>
              <w:overflowPunct/>
              <w:topLinePunct w:val="0"/>
              <w:autoSpaceDE/>
              <w:autoSpaceDN/>
              <w:bidi w:val="0"/>
              <w:adjustRightInd/>
              <w:snapToGrid/>
              <w:spacing w:line="500" w:lineRule="exact"/>
              <w:ind w:firstLine="425"/>
              <w:textAlignment w:val="auto"/>
              <w:rPr>
                <w:rFonts w:hint="eastAsia" w:cs="Times New Roman"/>
                <w:b w:val="0"/>
                <w:bCs/>
                <w:color w:val="auto"/>
                <w:w w:val="100"/>
                <w:kern w:val="0"/>
                <w:sz w:val="22"/>
                <w:szCs w:val="22"/>
                <w:lang w:val="en-US" w:eastAsia="zh-CN" w:bidi="ar-SA"/>
              </w:rPr>
            </w:pPr>
            <w:r>
              <w:rPr>
                <w:rFonts w:hint="eastAsia" w:ascii="Times New Roman" w:hAnsi="Times New Roman" w:eastAsia="宋体" w:cs="Times New Roman"/>
                <w:b w:val="0"/>
                <w:bCs/>
                <w:color w:val="auto"/>
                <w:w w:val="100"/>
                <w:kern w:val="0"/>
                <w:sz w:val="22"/>
                <w:szCs w:val="22"/>
                <w:lang w:val="en-US" w:eastAsia="zh-CN" w:bidi="ar-SA"/>
              </w:rPr>
              <w:t>有组织挥发性有机物</w:t>
            </w:r>
            <w:r>
              <w:rPr>
                <w:rFonts w:hint="eastAsia" w:cs="Times New Roman"/>
                <w:b w:val="0"/>
                <w:bCs/>
                <w:color w:val="auto"/>
                <w:w w:val="100"/>
                <w:kern w:val="0"/>
                <w:sz w:val="22"/>
                <w:szCs w:val="22"/>
                <w:lang w:val="en-US" w:eastAsia="zh-CN" w:bidi="ar-SA"/>
              </w:rPr>
              <w:t>2.910t/a中</w:t>
            </w:r>
            <w:r>
              <w:rPr>
                <w:rFonts w:hint="eastAsia" w:ascii="Times New Roman" w:hAnsi="Times New Roman" w:eastAsia="宋体" w:cs="Times New Roman"/>
                <w:b w:val="0"/>
                <w:bCs/>
                <w:color w:val="auto"/>
                <w:w w:val="100"/>
                <w:kern w:val="0"/>
                <w:sz w:val="22"/>
                <w:szCs w:val="22"/>
                <w:lang w:val="en-US" w:eastAsia="zh-CN" w:bidi="ar-SA"/>
              </w:rPr>
              <w:t>包含</w:t>
            </w:r>
            <w:r>
              <w:rPr>
                <w:rFonts w:hint="eastAsia" w:cs="Times New Roman"/>
                <w:b w:val="0"/>
                <w:bCs/>
                <w:color w:val="auto"/>
                <w:w w:val="100"/>
                <w:kern w:val="0"/>
                <w:sz w:val="22"/>
                <w:szCs w:val="22"/>
                <w:lang w:val="en-US" w:eastAsia="zh-CN" w:bidi="ar-SA"/>
              </w:rPr>
              <w:t>：乙醇0.171t/a、甲苯0.385t/a、二甲苯0.017t/a；无</w:t>
            </w:r>
            <w:r>
              <w:rPr>
                <w:rFonts w:hint="eastAsia" w:ascii="Times New Roman" w:hAnsi="Times New Roman" w:eastAsia="宋体" w:cs="Times New Roman"/>
                <w:b w:val="0"/>
                <w:bCs/>
                <w:color w:val="auto"/>
                <w:w w:val="100"/>
                <w:kern w:val="0"/>
                <w:sz w:val="22"/>
                <w:szCs w:val="22"/>
                <w:lang w:val="en-US" w:eastAsia="zh-CN" w:bidi="ar-SA"/>
              </w:rPr>
              <w:t>组织挥发性有机物</w:t>
            </w:r>
            <w:r>
              <w:rPr>
                <w:rFonts w:hint="eastAsia" w:cs="Times New Roman"/>
                <w:b w:val="0"/>
                <w:bCs/>
                <w:color w:val="auto"/>
                <w:w w:val="100"/>
                <w:kern w:val="0"/>
                <w:sz w:val="22"/>
                <w:szCs w:val="22"/>
                <w:lang w:val="en-US" w:eastAsia="zh-CN" w:bidi="ar-SA"/>
              </w:rPr>
              <w:t>1.818t/a中</w:t>
            </w:r>
            <w:r>
              <w:rPr>
                <w:rFonts w:hint="eastAsia" w:ascii="Times New Roman" w:hAnsi="Times New Roman" w:eastAsia="宋体" w:cs="Times New Roman"/>
                <w:b w:val="0"/>
                <w:bCs/>
                <w:color w:val="auto"/>
                <w:w w:val="100"/>
                <w:kern w:val="0"/>
                <w:sz w:val="22"/>
                <w:szCs w:val="22"/>
                <w:lang w:val="en-US" w:eastAsia="zh-CN" w:bidi="ar-SA"/>
              </w:rPr>
              <w:t>包含</w:t>
            </w:r>
            <w:r>
              <w:rPr>
                <w:rFonts w:hint="eastAsia" w:cs="Times New Roman"/>
                <w:b w:val="0"/>
                <w:bCs/>
                <w:color w:val="auto"/>
                <w:w w:val="100"/>
                <w:kern w:val="0"/>
                <w:sz w:val="22"/>
                <w:szCs w:val="22"/>
                <w:lang w:val="en-US" w:eastAsia="zh-CN" w:bidi="ar-SA"/>
              </w:rPr>
              <w:t>：乙醇0.100t/a、甲苯0.225t/a、二甲苯0.010t/a。</w:t>
            </w:r>
          </w:p>
          <w:p w14:paraId="2C350796">
            <w:pPr>
              <w:pStyle w:val="34"/>
              <w:ind w:firstLine="425"/>
              <w:rPr>
                <w:rFonts w:hint="eastAsia"/>
                <w:color w:val="auto"/>
                <w:lang w:val="en-US" w:eastAsia="zh-CN"/>
              </w:rPr>
            </w:pPr>
          </w:p>
        </w:tc>
      </w:tr>
    </w:tbl>
    <w:p w14:paraId="5CFBD344">
      <w:pPr>
        <w:pStyle w:val="31"/>
        <w:keepNext w:val="0"/>
        <w:keepLines w:val="0"/>
        <w:pageBreakBefore w:val="0"/>
        <w:widowControl/>
        <w:kinsoku/>
        <w:wordWrap/>
        <w:overflowPunct/>
        <w:topLinePunct w:val="0"/>
        <w:autoSpaceDE/>
        <w:autoSpaceDN/>
        <w:bidi w:val="0"/>
        <w:adjustRightInd/>
        <w:snapToGrid/>
        <w:spacing w:before="0" w:beforeAutospacing="0" w:after="0" w:afterAutospacing="0" w:line="500" w:lineRule="exact"/>
        <w:jc w:val="left"/>
        <w:textAlignment w:val="auto"/>
        <w:outlineLvl w:val="9"/>
        <w:rPr>
          <w:rFonts w:hint="default" w:ascii="Times New Roman" w:hAnsi="Times New Roman" w:eastAsia="宋体" w:cs="Times New Roman"/>
          <w:snapToGrid w:val="0"/>
          <w:color w:val="auto"/>
          <w:sz w:val="24"/>
          <w:szCs w:val="24"/>
        </w:rPr>
        <w:sectPr>
          <w:pgSz w:w="16840" w:h="11907" w:orient="landscape"/>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p w14:paraId="40AFCAE3">
      <w:pPr>
        <w:pStyle w:val="31"/>
        <w:keepNext w:val="0"/>
        <w:keepLines w:val="0"/>
        <w:pageBreakBefore w:val="0"/>
        <w:widowControl/>
        <w:kinsoku/>
        <w:wordWrap/>
        <w:overflowPunct/>
        <w:topLinePunct w:val="0"/>
        <w:autoSpaceDE/>
        <w:autoSpaceDN/>
        <w:bidi w:val="0"/>
        <w:adjustRightInd/>
        <w:snapToGrid/>
        <w:spacing w:before="0" w:beforeAutospacing="0" w:after="0" w:afterAutospacing="0" w:line="500" w:lineRule="exact"/>
        <w:jc w:val="center"/>
        <w:textAlignment w:val="auto"/>
        <w:outlineLvl w:val="0"/>
        <w:rPr>
          <w:rFonts w:hint="eastAsia" w:ascii="黑体" w:hAnsi="黑体" w:eastAsia="黑体"/>
          <w:snapToGrid w:val="0"/>
          <w:color w:val="auto"/>
          <w:sz w:val="30"/>
          <w:szCs w:val="30"/>
        </w:rPr>
      </w:pPr>
      <w:bookmarkStart w:id="45" w:name="_Toc3079"/>
      <w:r>
        <w:rPr>
          <w:rFonts w:hint="default" w:ascii="Times New Roman" w:hAnsi="Times New Roman" w:eastAsia="宋体" w:cs="Times New Roman"/>
          <w:b/>
          <w:bCs/>
          <w:snapToGrid w:val="0"/>
          <w:color w:val="auto"/>
          <w:sz w:val="28"/>
          <w:szCs w:val="28"/>
        </w:rPr>
        <w:t>四、主要环境影响和保护措施</w:t>
      </w:r>
      <w:bookmarkEnd w:id="45"/>
    </w:p>
    <w:tbl>
      <w:tblPr>
        <w:tblStyle w:val="43"/>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771"/>
        <w:gridCol w:w="8918"/>
      </w:tblGrid>
      <w:tr w14:paraId="215E6F0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398" w:type="pct"/>
            <w:tcBorders>
              <w:tl2br w:val="nil"/>
              <w:tr2bl w:val="nil"/>
            </w:tcBorders>
            <w:noWrap w:val="0"/>
            <w:tcMar>
              <w:left w:w="28" w:type="dxa"/>
              <w:right w:w="28" w:type="dxa"/>
            </w:tcMar>
            <w:vAlign w:val="center"/>
          </w:tcPr>
          <w:p w14:paraId="467E91B0">
            <w:pPr>
              <w:pStyle w:val="31"/>
              <w:keepNext w:val="0"/>
              <w:keepLines w:val="0"/>
              <w:pageBreakBefore w:val="0"/>
              <w:widowControl w:val="0"/>
              <w:kinsoku/>
              <w:wordWrap/>
              <w:overflowPunct/>
              <w:topLinePunct w:val="0"/>
              <w:bidi w:val="0"/>
              <w:adjustRightInd w:val="0"/>
              <w:snapToGrid w:val="0"/>
              <w:spacing w:before="0" w:beforeAutospacing="0" w:after="0" w:afterAutospacing="0" w:line="500" w:lineRule="exact"/>
              <w:jc w:val="center"/>
              <w:textAlignment w:val="auto"/>
              <w:outlineLvl w:val="9"/>
              <w:rPr>
                <w:rFonts w:hint="default" w:ascii="Times New Roman" w:hAnsi="Times New Roman" w:eastAsia="宋体" w:cs="Times New Roman"/>
                <w:b/>
                <w:bCs/>
                <w:color w:val="auto"/>
                <w:kern w:val="2"/>
                <w:sz w:val="22"/>
                <w:szCs w:val="22"/>
              </w:rPr>
            </w:pPr>
            <w:r>
              <w:rPr>
                <w:rFonts w:hint="default" w:ascii="Times New Roman" w:hAnsi="Times New Roman" w:eastAsia="宋体" w:cs="Times New Roman"/>
                <w:b/>
                <w:bCs/>
                <w:color w:val="auto"/>
                <w:kern w:val="2"/>
                <w:sz w:val="22"/>
                <w:szCs w:val="22"/>
              </w:rPr>
              <w:t>施工期环境保护措施</w:t>
            </w:r>
          </w:p>
        </w:tc>
        <w:tc>
          <w:tcPr>
            <w:tcW w:w="4601" w:type="pct"/>
            <w:tcBorders>
              <w:tl2br w:val="nil"/>
              <w:tr2bl w:val="nil"/>
            </w:tcBorders>
            <w:noWrap w:val="0"/>
            <w:vAlign w:val="center"/>
          </w:tcPr>
          <w:p w14:paraId="1FE73940">
            <w:pPr>
              <w:keepNext w:val="0"/>
              <w:keepLines w:val="0"/>
              <w:pageBreakBefore w:val="0"/>
              <w:widowControl w:val="0"/>
              <w:kinsoku/>
              <w:wordWrap/>
              <w:overflowPunct/>
              <w:topLinePunct w:val="0"/>
              <w:autoSpaceDE/>
              <w:autoSpaceDN/>
              <w:bidi w:val="0"/>
              <w:adjustRightInd/>
              <w:snapToGrid/>
              <w:spacing w:line="500" w:lineRule="exact"/>
              <w:ind w:leftChars="0" w:firstLine="440" w:firstLineChars="200"/>
              <w:jc w:val="left"/>
              <w:textAlignment w:val="auto"/>
              <w:outlineLvl w:val="9"/>
              <w:rPr>
                <w:rFonts w:hint="default" w:ascii="Times New Roman" w:hAnsi="Times New Roman" w:eastAsia="宋体" w:cs="Times New Roman"/>
                <w:bCs/>
                <w:color w:val="auto"/>
                <w:spacing w:val="-10"/>
                <w:sz w:val="22"/>
                <w:szCs w:val="22"/>
              </w:rPr>
            </w:pPr>
            <w:r>
              <w:rPr>
                <w:rFonts w:hint="default" w:ascii="Times New Roman" w:hAnsi="Times New Roman" w:eastAsia="宋体" w:cs="Times New Roman"/>
                <w:color w:val="auto"/>
                <w:w w:val="100"/>
                <w:sz w:val="22"/>
                <w:szCs w:val="22"/>
              </w:rPr>
              <w:t>本</w:t>
            </w:r>
            <w:r>
              <w:rPr>
                <w:rFonts w:hint="default" w:ascii="Times New Roman" w:hAnsi="Times New Roman" w:eastAsia="宋体" w:cs="Times New Roman"/>
                <w:color w:val="auto"/>
                <w:w w:val="100"/>
                <w:sz w:val="22"/>
                <w:szCs w:val="22"/>
                <w:lang w:eastAsia="zh-CN"/>
              </w:rPr>
              <w:t>技改</w:t>
            </w:r>
            <w:r>
              <w:rPr>
                <w:rFonts w:hint="default" w:ascii="Times New Roman" w:hAnsi="Times New Roman" w:eastAsia="宋体" w:cs="Times New Roman"/>
                <w:color w:val="auto"/>
                <w:w w:val="100"/>
                <w:sz w:val="22"/>
                <w:szCs w:val="22"/>
              </w:rPr>
              <w:t>项目</w:t>
            </w:r>
            <w:r>
              <w:rPr>
                <w:rFonts w:hint="default" w:ascii="Times New Roman" w:hAnsi="Times New Roman" w:eastAsia="宋体" w:cs="Times New Roman"/>
                <w:color w:val="auto"/>
                <w:w w:val="100"/>
                <w:sz w:val="22"/>
                <w:szCs w:val="22"/>
                <w:lang w:eastAsia="zh-CN"/>
              </w:rPr>
              <w:t>利用现有</w:t>
            </w:r>
            <w:r>
              <w:rPr>
                <w:rFonts w:hint="default" w:ascii="Times New Roman" w:hAnsi="Times New Roman" w:eastAsia="宋体" w:cs="Times New Roman"/>
                <w:color w:val="auto"/>
                <w:w w:val="100"/>
                <w:sz w:val="22"/>
                <w:szCs w:val="22"/>
              </w:rPr>
              <w:t>厂房从事生产，仅对机械设备进行安装，故本项目施工期对环境的影响很小，本次环评不做分析。</w:t>
            </w:r>
          </w:p>
        </w:tc>
      </w:tr>
      <w:tr w14:paraId="2DBF89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6810" w:hRule="atLeast"/>
          <w:jc w:val="center"/>
        </w:trPr>
        <w:tc>
          <w:tcPr>
            <w:tcW w:w="398" w:type="pct"/>
            <w:tcBorders>
              <w:tl2br w:val="nil"/>
              <w:tr2bl w:val="nil"/>
            </w:tcBorders>
            <w:noWrap w:val="0"/>
            <w:tcMar>
              <w:left w:w="28" w:type="dxa"/>
              <w:right w:w="28" w:type="dxa"/>
            </w:tcMar>
            <w:vAlign w:val="center"/>
          </w:tcPr>
          <w:p w14:paraId="43BA21EB">
            <w:pPr>
              <w:keepNext w:val="0"/>
              <w:keepLines w:val="0"/>
              <w:pageBreakBefore w:val="0"/>
              <w:widowControl w:val="0"/>
              <w:kinsoku/>
              <w:wordWrap/>
              <w:overflowPunct/>
              <w:topLinePunct w:val="0"/>
              <w:bidi w:val="0"/>
              <w:adjustRightInd w:val="0"/>
              <w:snapToGrid w:val="0"/>
              <w:spacing w:line="500" w:lineRule="exact"/>
              <w:jc w:val="left"/>
              <w:textAlignment w:val="auto"/>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运营期环境影</w:t>
            </w:r>
          </w:p>
          <w:p w14:paraId="1842D448">
            <w:pPr>
              <w:keepNext w:val="0"/>
              <w:keepLines w:val="0"/>
              <w:pageBreakBefore w:val="0"/>
              <w:widowControl w:val="0"/>
              <w:kinsoku/>
              <w:wordWrap/>
              <w:overflowPunct/>
              <w:topLinePunct w:val="0"/>
              <w:bidi w:val="0"/>
              <w:adjustRightInd w:val="0"/>
              <w:snapToGrid w:val="0"/>
              <w:spacing w:line="500" w:lineRule="exact"/>
              <w:jc w:val="left"/>
              <w:textAlignment w:val="auto"/>
              <w:outlineLvl w:val="9"/>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响和保护措施</w:t>
            </w:r>
          </w:p>
        </w:tc>
        <w:tc>
          <w:tcPr>
            <w:tcW w:w="4601" w:type="pct"/>
            <w:tcBorders>
              <w:tl2br w:val="nil"/>
              <w:tr2bl w:val="nil"/>
            </w:tcBorders>
            <w:noWrap w:val="0"/>
            <w:vAlign w:val="top"/>
          </w:tcPr>
          <w:p w14:paraId="7F77AE2F">
            <w:pPr>
              <w:keepNext w:val="0"/>
              <w:keepLines w:val="0"/>
              <w:pageBreakBefore w:val="0"/>
              <w:widowControl w:val="0"/>
              <w:kinsoku/>
              <w:wordWrap/>
              <w:overflowPunct/>
              <w:topLinePunct w:val="0"/>
              <w:autoSpaceDE/>
              <w:autoSpaceDN/>
              <w:bidi w:val="0"/>
              <w:adjustRightInd/>
              <w:snapToGrid/>
              <w:spacing w:line="500" w:lineRule="exact"/>
              <w:ind w:leftChars="0" w:firstLine="442" w:firstLineChars="200"/>
              <w:jc w:val="left"/>
              <w:textAlignment w:val="auto"/>
              <w:outlineLvl w:val="9"/>
              <w:rPr>
                <w:rFonts w:hint="default" w:ascii="Times New Roman" w:hAnsi="Times New Roman" w:eastAsia="宋体" w:cs="Times New Roman"/>
                <w:b/>
                <w:color w:val="auto"/>
                <w:w w:val="100"/>
                <w:sz w:val="22"/>
                <w:szCs w:val="22"/>
              </w:rPr>
            </w:pPr>
            <w:r>
              <w:rPr>
                <w:rFonts w:hint="eastAsia" w:cs="Times New Roman"/>
                <w:b/>
                <w:color w:val="auto"/>
                <w:w w:val="100"/>
                <w:sz w:val="22"/>
                <w:szCs w:val="22"/>
                <w:lang w:val="en-US" w:eastAsia="zh-CN"/>
              </w:rPr>
              <w:t>4.1</w:t>
            </w:r>
            <w:r>
              <w:rPr>
                <w:rFonts w:hint="default" w:ascii="Times New Roman" w:hAnsi="Times New Roman" w:eastAsia="宋体" w:cs="Times New Roman"/>
                <w:b/>
                <w:color w:val="auto"/>
                <w:w w:val="100"/>
                <w:sz w:val="22"/>
                <w:szCs w:val="22"/>
              </w:rPr>
              <w:t>废气</w:t>
            </w:r>
          </w:p>
          <w:p w14:paraId="219DC4B6">
            <w:pPr>
              <w:pStyle w:val="17"/>
              <w:keepNext w:val="0"/>
              <w:keepLines w:val="0"/>
              <w:pageBreakBefore w:val="0"/>
              <w:widowControl w:val="0"/>
              <w:tabs>
                <w:tab w:val="left" w:pos="0"/>
              </w:tabs>
              <w:kinsoku/>
              <w:wordWrap/>
              <w:overflowPunct/>
              <w:topLinePunct w:val="0"/>
              <w:autoSpaceDE/>
              <w:autoSpaceDN/>
              <w:bidi w:val="0"/>
              <w:spacing w:before="0" w:after="0" w:line="500" w:lineRule="exact"/>
              <w:ind w:left="0" w:leftChars="0" w:right="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default" w:ascii="Times New Roman" w:hAnsi="Times New Roman" w:eastAsia="宋体" w:cs="Times New Roman"/>
                <w:b/>
                <w:bCs/>
                <w:color w:val="auto"/>
                <w:w w:val="100"/>
                <w:kern w:val="0"/>
                <w:sz w:val="22"/>
                <w:szCs w:val="22"/>
                <w:lang w:val="en-US" w:eastAsia="zh-CN" w:bidi="ar-SA"/>
              </w:rPr>
              <w:t>1</w:t>
            </w:r>
            <w:r>
              <w:rPr>
                <w:rFonts w:hint="eastAsia" w:cs="Times New Roman"/>
                <w:b/>
                <w:bCs/>
                <w:color w:val="auto"/>
                <w:w w:val="100"/>
                <w:kern w:val="0"/>
                <w:sz w:val="22"/>
                <w:szCs w:val="22"/>
                <w:lang w:val="en-US" w:eastAsia="zh-CN" w:bidi="ar-SA"/>
              </w:rPr>
              <w:t>.</w:t>
            </w:r>
            <w:r>
              <w:rPr>
                <w:rFonts w:hint="default" w:ascii="Times New Roman" w:hAnsi="Times New Roman" w:eastAsia="宋体" w:cs="Times New Roman"/>
                <w:b/>
                <w:bCs/>
                <w:color w:val="auto"/>
                <w:w w:val="100"/>
                <w:kern w:val="0"/>
                <w:sz w:val="22"/>
                <w:szCs w:val="22"/>
                <w:lang w:val="en-US" w:eastAsia="zh-CN" w:bidi="ar-SA"/>
              </w:rPr>
              <w:t>废气污染源强</w:t>
            </w:r>
          </w:p>
          <w:p w14:paraId="15FFA2E9">
            <w:pPr>
              <w:pStyle w:val="17"/>
              <w:keepNext w:val="0"/>
              <w:keepLines w:val="0"/>
              <w:pageBreakBefore w:val="0"/>
              <w:widowControl w:val="0"/>
              <w:tabs>
                <w:tab w:val="left" w:pos="0"/>
              </w:tabs>
              <w:kinsoku/>
              <w:wordWrap w:val="0"/>
              <w:overflowPunct/>
              <w:topLinePunct w:val="0"/>
              <w:autoSpaceDE/>
              <w:autoSpaceDN/>
              <w:bidi w:val="0"/>
              <w:adjustRightInd/>
              <w:snapToGrid w:val="0"/>
              <w:spacing w:before="0" w:after="0" w:line="500" w:lineRule="exact"/>
              <w:ind w:left="0" w:leftChars="0" w:right="0" w:firstLine="440" w:firstLineChars="200"/>
              <w:jc w:val="left"/>
              <w:textAlignment w:val="auto"/>
              <w:outlineLvl w:val="9"/>
              <w:rPr>
                <w:rFonts w:hint="default" w:ascii="Times New Roman" w:hAnsi="Times New Roman" w:eastAsia="宋体" w:cs="Times New Roman"/>
                <w:color w:val="auto"/>
                <w:w w:val="100"/>
                <w:kern w:val="0"/>
                <w:sz w:val="22"/>
                <w:szCs w:val="22"/>
                <w:lang w:val="en-US" w:eastAsia="zh-CN" w:bidi="ar-SA"/>
              </w:rPr>
            </w:pPr>
            <w:r>
              <w:rPr>
                <w:rFonts w:hint="default" w:ascii="Times New Roman" w:hAnsi="Times New Roman" w:eastAsia="宋体" w:cs="Times New Roman"/>
                <w:color w:val="auto"/>
                <w:w w:val="100"/>
                <w:kern w:val="0"/>
                <w:sz w:val="22"/>
                <w:szCs w:val="22"/>
                <w:lang w:val="en-US" w:eastAsia="zh-CN" w:bidi="ar-SA"/>
              </w:rPr>
              <w:t>本技改项目生产过程中产生的废气分为有组织排放和无组织排放两部分，其中有组织排放废气包括</w:t>
            </w:r>
            <w:r>
              <w:rPr>
                <w:rFonts w:hint="eastAsia" w:cs="Times New Roman"/>
                <w:color w:val="auto"/>
                <w:w w:val="100"/>
                <w:kern w:val="0"/>
                <w:sz w:val="22"/>
                <w:szCs w:val="22"/>
                <w:lang w:val="en-US" w:eastAsia="zh-CN" w:bidi="ar-SA"/>
              </w:rPr>
              <w:t>配料废气（G1-1、G2-1）、混炼（包含密炼和开炼）</w:t>
            </w:r>
            <w:r>
              <w:rPr>
                <w:rFonts w:hint="default" w:ascii="Times New Roman" w:hAnsi="Times New Roman" w:eastAsia="宋体" w:cs="Times New Roman"/>
                <w:color w:val="auto"/>
                <w:w w:val="100"/>
                <w:kern w:val="0"/>
                <w:sz w:val="22"/>
                <w:szCs w:val="22"/>
                <w:lang w:val="en-US" w:eastAsia="zh-CN" w:bidi="ar-SA"/>
              </w:rPr>
              <w:t>废气（G</w:t>
            </w:r>
            <w:r>
              <w:rPr>
                <w:rFonts w:hint="eastAsia" w:cs="Times New Roman"/>
                <w:color w:val="auto"/>
                <w:w w:val="100"/>
                <w:kern w:val="0"/>
                <w:sz w:val="22"/>
                <w:szCs w:val="22"/>
                <w:lang w:val="en-US" w:eastAsia="zh-CN" w:bidi="ar-SA"/>
              </w:rPr>
              <w:t>1-2、</w:t>
            </w:r>
            <w:r>
              <w:rPr>
                <w:rFonts w:hint="default" w:ascii="Times New Roman" w:hAnsi="Times New Roman" w:eastAsia="宋体" w:cs="Times New Roman"/>
                <w:color w:val="auto"/>
                <w:w w:val="100"/>
                <w:kern w:val="0"/>
                <w:sz w:val="22"/>
                <w:szCs w:val="22"/>
                <w:lang w:val="en-US" w:eastAsia="zh-CN" w:bidi="ar-SA"/>
              </w:rPr>
              <w:t>G</w:t>
            </w:r>
            <w:r>
              <w:rPr>
                <w:rFonts w:hint="eastAsia" w:cs="Times New Roman"/>
                <w:color w:val="auto"/>
                <w:w w:val="100"/>
                <w:kern w:val="0"/>
                <w:sz w:val="22"/>
                <w:szCs w:val="22"/>
                <w:lang w:val="en-US" w:eastAsia="zh-CN" w:bidi="ar-SA"/>
              </w:rPr>
              <w:t>2-2</w:t>
            </w:r>
            <w:r>
              <w:rPr>
                <w:rFonts w:hint="default" w:ascii="Times New Roman" w:hAnsi="Times New Roman" w:eastAsia="宋体" w:cs="Times New Roman"/>
                <w:color w:val="auto"/>
                <w:w w:val="100"/>
                <w:kern w:val="0"/>
                <w:sz w:val="22"/>
                <w:szCs w:val="22"/>
                <w:lang w:val="en-US" w:eastAsia="zh-CN" w:bidi="ar-SA"/>
              </w:rPr>
              <w:t>）、</w:t>
            </w:r>
            <w:r>
              <w:rPr>
                <w:rFonts w:hint="eastAsia" w:cs="Times New Roman"/>
                <w:color w:val="auto"/>
                <w:w w:val="100"/>
                <w:kern w:val="0"/>
                <w:sz w:val="22"/>
                <w:szCs w:val="22"/>
                <w:lang w:val="en-US" w:eastAsia="zh-CN" w:bidi="ar-SA"/>
              </w:rPr>
              <w:t>涂胶废气（</w:t>
            </w:r>
            <w:r>
              <w:rPr>
                <w:rFonts w:hint="default" w:ascii="Times New Roman" w:hAnsi="Times New Roman" w:eastAsia="宋体" w:cs="Times New Roman"/>
                <w:color w:val="auto"/>
                <w:w w:val="100"/>
                <w:kern w:val="0"/>
                <w:sz w:val="22"/>
                <w:szCs w:val="22"/>
                <w:lang w:val="en-US" w:eastAsia="zh-CN" w:bidi="ar-SA"/>
              </w:rPr>
              <w:t>G</w:t>
            </w:r>
            <w:r>
              <w:rPr>
                <w:rFonts w:hint="eastAsia" w:cs="Times New Roman"/>
                <w:color w:val="auto"/>
                <w:w w:val="100"/>
                <w:kern w:val="0"/>
                <w:sz w:val="22"/>
                <w:szCs w:val="22"/>
                <w:lang w:val="en-US" w:eastAsia="zh-CN" w:bidi="ar-SA"/>
              </w:rPr>
              <w:t>1-3）、</w:t>
            </w:r>
            <w:r>
              <w:rPr>
                <w:rFonts w:hint="default" w:ascii="Times New Roman" w:hAnsi="Times New Roman" w:eastAsia="宋体" w:cs="Times New Roman"/>
                <w:color w:val="auto"/>
                <w:w w:val="100"/>
                <w:kern w:val="0"/>
                <w:sz w:val="22"/>
                <w:szCs w:val="22"/>
                <w:lang w:val="en-US" w:eastAsia="zh-CN" w:bidi="ar-SA"/>
              </w:rPr>
              <w:t>轴芯</w:t>
            </w:r>
            <w:r>
              <w:rPr>
                <w:rFonts w:hint="eastAsia" w:ascii="Times New Roman" w:hAnsi="Times New Roman" w:eastAsia="宋体" w:cs="Times New Roman"/>
                <w:color w:val="auto"/>
                <w:w w:val="100"/>
                <w:kern w:val="0"/>
                <w:sz w:val="22"/>
                <w:szCs w:val="22"/>
                <w:lang w:val="en-US" w:eastAsia="zh-CN" w:bidi="ar-SA"/>
              </w:rPr>
              <w:t>清洗</w:t>
            </w:r>
            <w:r>
              <w:rPr>
                <w:rFonts w:hint="eastAsia" w:cs="Times New Roman"/>
                <w:color w:val="auto"/>
                <w:w w:val="100"/>
                <w:kern w:val="0"/>
                <w:sz w:val="22"/>
                <w:szCs w:val="22"/>
                <w:lang w:val="en-US" w:eastAsia="zh-CN" w:bidi="ar-SA"/>
              </w:rPr>
              <w:t>废气（G2-3）、</w:t>
            </w:r>
            <w:r>
              <w:rPr>
                <w:rFonts w:hint="default" w:ascii="Times New Roman" w:hAnsi="Times New Roman" w:eastAsia="宋体" w:cs="Times New Roman"/>
                <w:color w:val="auto"/>
                <w:w w:val="100"/>
                <w:kern w:val="0"/>
                <w:sz w:val="22"/>
                <w:szCs w:val="22"/>
                <w:lang w:val="en-US" w:eastAsia="zh-CN" w:bidi="ar-SA"/>
              </w:rPr>
              <w:t>轴芯涂胶</w:t>
            </w:r>
            <w:r>
              <w:rPr>
                <w:rFonts w:hint="eastAsia" w:cs="Times New Roman"/>
                <w:color w:val="auto"/>
                <w:w w:val="100"/>
                <w:kern w:val="0"/>
                <w:sz w:val="22"/>
                <w:szCs w:val="22"/>
                <w:lang w:val="en-US" w:eastAsia="zh-CN" w:bidi="ar-SA"/>
              </w:rPr>
              <w:t>废气（G2-4）、</w:t>
            </w:r>
            <w:r>
              <w:rPr>
                <w:rFonts w:hint="eastAsia" w:ascii="Times New Roman" w:hAnsi="Times New Roman" w:eastAsia="宋体" w:cs="Times New Roman"/>
                <w:color w:val="auto"/>
                <w:w w:val="100"/>
                <w:kern w:val="0"/>
                <w:sz w:val="22"/>
                <w:szCs w:val="22"/>
                <w:lang w:val="en-US" w:eastAsia="zh-CN" w:bidi="ar-SA"/>
              </w:rPr>
              <w:t>硫化</w:t>
            </w:r>
            <w:r>
              <w:rPr>
                <w:rFonts w:hint="default" w:ascii="Times New Roman" w:hAnsi="Times New Roman" w:eastAsia="宋体" w:cs="Times New Roman"/>
                <w:color w:val="auto"/>
                <w:w w:val="100"/>
                <w:kern w:val="0"/>
                <w:sz w:val="22"/>
                <w:szCs w:val="22"/>
                <w:lang w:val="en-US" w:eastAsia="zh-CN" w:bidi="ar-SA"/>
              </w:rPr>
              <w:t>废气（G</w:t>
            </w:r>
            <w:r>
              <w:rPr>
                <w:rFonts w:hint="eastAsia" w:cs="Times New Roman"/>
                <w:color w:val="auto"/>
                <w:w w:val="100"/>
                <w:kern w:val="0"/>
                <w:sz w:val="22"/>
                <w:szCs w:val="22"/>
                <w:lang w:val="en-US" w:eastAsia="zh-CN" w:bidi="ar-SA"/>
              </w:rPr>
              <w:t>1-4、</w:t>
            </w:r>
            <w:r>
              <w:rPr>
                <w:rFonts w:hint="default" w:ascii="Times New Roman" w:hAnsi="Times New Roman" w:eastAsia="宋体" w:cs="Times New Roman"/>
                <w:color w:val="auto"/>
                <w:w w:val="100"/>
                <w:kern w:val="0"/>
                <w:sz w:val="22"/>
                <w:szCs w:val="22"/>
                <w:lang w:val="en-US" w:eastAsia="zh-CN" w:bidi="ar-SA"/>
              </w:rPr>
              <w:t>G</w:t>
            </w:r>
            <w:r>
              <w:rPr>
                <w:rFonts w:hint="eastAsia" w:cs="Times New Roman"/>
                <w:color w:val="auto"/>
                <w:w w:val="100"/>
                <w:kern w:val="0"/>
                <w:sz w:val="22"/>
                <w:szCs w:val="22"/>
                <w:lang w:val="en-US" w:eastAsia="zh-CN" w:bidi="ar-SA"/>
              </w:rPr>
              <w:t>2-5</w:t>
            </w:r>
            <w:r>
              <w:rPr>
                <w:rFonts w:hint="default" w:ascii="Times New Roman" w:hAnsi="Times New Roman" w:eastAsia="宋体" w:cs="Times New Roman"/>
                <w:color w:val="auto"/>
                <w:w w:val="100"/>
                <w:kern w:val="0"/>
                <w:sz w:val="22"/>
                <w:szCs w:val="22"/>
                <w:lang w:val="en-US" w:eastAsia="zh-CN" w:bidi="ar-SA"/>
              </w:rPr>
              <w:t>）</w:t>
            </w:r>
            <w:r>
              <w:rPr>
                <w:rFonts w:hint="eastAsia" w:cs="Times New Roman"/>
                <w:color w:val="auto"/>
                <w:w w:val="100"/>
                <w:kern w:val="0"/>
                <w:sz w:val="22"/>
                <w:szCs w:val="22"/>
                <w:lang w:val="en-US" w:eastAsia="zh-CN" w:bidi="ar-SA"/>
              </w:rPr>
              <w:t>、磨边废气（</w:t>
            </w:r>
            <w:r>
              <w:rPr>
                <w:rFonts w:hint="default" w:ascii="Times New Roman" w:hAnsi="Times New Roman" w:eastAsia="宋体" w:cs="Times New Roman"/>
                <w:color w:val="auto"/>
                <w:w w:val="100"/>
                <w:kern w:val="0"/>
                <w:sz w:val="22"/>
                <w:szCs w:val="22"/>
                <w:lang w:val="en-US" w:eastAsia="zh-CN" w:bidi="ar-SA"/>
              </w:rPr>
              <w:t>G</w:t>
            </w:r>
            <w:r>
              <w:rPr>
                <w:rFonts w:hint="eastAsia" w:cs="Times New Roman"/>
                <w:color w:val="auto"/>
                <w:w w:val="100"/>
                <w:kern w:val="0"/>
                <w:sz w:val="22"/>
                <w:szCs w:val="22"/>
                <w:lang w:val="en-US" w:eastAsia="zh-CN" w:bidi="ar-SA"/>
              </w:rPr>
              <w:t>1-5）、粗磨和精磨废气（G2-6）、刻字废气（</w:t>
            </w:r>
            <w:r>
              <w:rPr>
                <w:rFonts w:hint="default" w:ascii="Times New Roman" w:hAnsi="Times New Roman" w:eastAsia="宋体" w:cs="Times New Roman"/>
                <w:color w:val="auto"/>
                <w:w w:val="100"/>
                <w:kern w:val="0"/>
                <w:sz w:val="22"/>
                <w:szCs w:val="22"/>
                <w:lang w:val="en-US" w:eastAsia="zh-CN" w:bidi="ar-SA"/>
              </w:rPr>
              <w:t>G</w:t>
            </w:r>
            <w:r>
              <w:rPr>
                <w:rFonts w:hint="eastAsia" w:cs="Times New Roman"/>
                <w:color w:val="auto"/>
                <w:w w:val="100"/>
                <w:kern w:val="0"/>
                <w:sz w:val="22"/>
                <w:szCs w:val="22"/>
                <w:lang w:val="en-US" w:eastAsia="zh-CN" w:bidi="ar-SA"/>
              </w:rPr>
              <w:t>1-6）、喷涂废气（2-7）、加热废气（G2-8）</w:t>
            </w:r>
            <w:r>
              <w:rPr>
                <w:rFonts w:hint="default" w:ascii="Times New Roman" w:hAnsi="Times New Roman" w:eastAsia="宋体" w:cs="Times New Roman"/>
                <w:color w:val="auto"/>
                <w:w w:val="100"/>
                <w:kern w:val="0"/>
                <w:sz w:val="22"/>
                <w:szCs w:val="22"/>
                <w:lang w:val="en-US" w:eastAsia="zh-CN" w:bidi="ar-SA"/>
              </w:rPr>
              <w:t>等。项目各废气净化设施、污染物产排情况及达标分析如下所述：</w:t>
            </w:r>
          </w:p>
          <w:p w14:paraId="0650CA0D">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default" w:ascii="Times New Roman" w:hAnsi="Times New Roman" w:eastAsia="宋体" w:cs="Times New Roman"/>
                <w:b/>
                <w:bCs/>
                <w:color w:val="auto"/>
                <w:w w:val="100"/>
                <w:kern w:val="0"/>
                <w:sz w:val="22"/>
                <w:szCs w:val="22"/>
                <w:lang w:val="en-US" w:eastAsia="zh-CN" w:bidi="ar-SA"/>
              </w:rPr>
              <w:t>⑴</w:t>
            </w:r>
            <w:r>
              <w:rPr>
                <w:rFonts w:hint="eastAsia" w:ascii="Times New Roman" w:hAnsi="Times New Roman" w:cs="Times New Roman"/>
                <w:b/>
                <w:bCs/>
                <w:color w:val="auto"/>
                <w:w w:val="100"/>
                <w:kern w:val="0"/>
                <w:sz w:val="22"/>
                <w:szCs w:val="22"/>
                <w:lang w:val="en-US" w:eastAsia="zh-CN" w:bidi="ar-SA"/>
              </w:rPr>
              <w:t>配料</w:t>
            </w:r>
            <w:r>
              <w:rPr>
                <w:rFonts w:hint="default" w:ascii="Times New Roman" w:hAnsi="Times New Roman" w:eastAsia="宋体" w:cs="Times New Roman"/>
                <w:b/>
                <w:bCs/>
                <w:color w:val="auto"/>
                <w:w w:val="100"/>
                <w:kern w:val="0"/>
                <w:sz w:val="22"/>
                <w:szCs w:val="22"/>
                <w:lang w:val="en-US" w:eastAsia="zh-CN" w:bidi="ar-SA"/>
              </w:rPr>
              <w:t>废气（G1-1、G2-1）、</w:t>
            </w:r>
            <w:r>
              <w:rPr>
                <w:rFonts w:hint="eastAsia" w:ascii="Times New Roman" w:hAnsi="Times New Roman" w:cs="Times New Roman"/>
                <w:b/>
                <w:bCs/>
                <w:color w:val="auto"/>
                <w:w w:val="100"/>
                <w:kern w:val="0"/>
                <w:sz w:val="22"/>
                <w:szCs w:val="22"/>
                <w:lang w:val="en-US" w:eastAsia="zh-CN" w:bidi="ar-SA"/>
              </w:rPr>
              <w:t>混炼</w:t>
            </w:r>
            <w:r>
              <w:rPr>
                <w:rFonts w:hint="eastAsia" w:ascii="Times New Roman" w:hAnsi="Times New Roman" w:eastAsia="宋体" w:cs="Times New Roman"/>
                <w:b/>
                <w:bCs/>
                <w:color w:val="auto"/>
                <w:w w:val="100"/>
                <w:kern w:val="0"/>
                <w:sz w:val="22"/>
                <w:szCs w:val="22"/>
                <w:lang w:val="en-US" w:eastAsia="zh-CN" w:bidi="ar-SA"/>
              </w:rPr>
              <w:t>（包含密炼和开炼）</w:t>
            </w:r>
            <w:r>
              <w:rPr>
                <w:rFonts w:hint="default" w:ascii="Times New Roman" w:hAnsi="Times New Roman" w:eastAsia="宋体" w:cs="Times New Roman"/>
                <w:b/>
                <w:bCs/>
                <w:color w:val="auto"/>
                <w:w w:val="100"/>
                <w:kern w:val="0"/>
                <w:sz w:val="22"/>
                <w:szCs w:val="22"/>
                <w:lang w:val="en-US" w:eastAsia="zh-CN" w:bidi="ar-SA"/>
              </w:rPr>
              <w:t>废气（G1-2、G2-2）、涂胶废气（G1-3）</w:t>
            </w:r>
            <w:r>
              <w:rPr>
                <w:rFonts w:hint="eastAsia" w:ascii="Times New Roman" w:hAnsi="Times New Roman" w:eastAsia="宋体" w:cs="Times New Roman"/>
                <w:b/>
                <w:bCs/>
                <w:color w:val="auto"/>
                <w:w w:val="100"/>
                <w:kern w:val="0"/>
                <w:sz w:val="22"/>
                <w:szCs w:val="22"/>
                <w:lang w:val="en-US" w:eastAsia="zh-CN" w:bidi="ar-SA"/>
              </w:rPr>
              <w:t>、</w:t>
            </w:r>
            <w:r>
              <w:rPr>
                <w:rFonts w:hint="default" w:ascii="Times New Roman" w:hAnsi="Times New Roman" w:eastAsia="宋体" w:cs="Times New Roman"/>
                <w:b/>
                <w:bCs/>
                <w:color w:val="auto"/>
                <w:w w:val="100"/>
                <w:kern w:val="0"/>
                <w:sz w:val="22"/>
                <w:szCs w:val="22"/>
                <w:lang w:val="en-US" w:eastAsia="zh-CN" w:bidi="ar-SA"/>
              </w:rPr>
              <w:t>轴芯</w:t>
            </w:r>
            <w:r>
              <w:rPr>
                <w:rFonts w:hint="eastAsia" w:ascii="Times New Roman" w:hAnsi="Times New Roman" w:eastAsia="宋体" w:cs="Times New Roman"/>
                <w:b/>
                <w:bCs/>
                <w:color w:val="auto"/>
                <w:w w:val="100"/>
                <w:kern w:val="0"/>
                <w:sz w:val="22"/>
                <w:szCs w:val="22"/>
                <w:lang w:val="en-US" w:eastAsia="zh-CN" w:bidi="ar-SA"/>
              </w:rPr>
              <w:t>清洗废气（G2-3）</w:t>
            </w:r>
            <w:r>
              <w:rPr>
                <w:rFonts w:hint="default" w:ascii="Times New Roman" w:hAnsi="Times New Roman" w:eastAsia="宋体" w:cs="Times New Roman"/>
                <w:b/>
                <w:bCs/>
                <w:color w:val="auto"/>
                <w:w w:val="100"/>
                <w:kern w:val="0"/>
                <w:sz w:val="22"/>
                <w:szCs w:val="22"/>
                <w:lang w:val="en-US" w:eastAsia="zh-CN" w:bidi="ar-SA"/>
              </w:rPr>
              <w:t>、轴芯涂胶废气（G2-</w:t>
            </w:r>
            <w:r>
              <w:rPr>
                <w:rFonts w:hint="eastAsia" w:ascii="Times New Roman" w:hAnsi="Times New Roman" w:eastAsia="宋体" w:cs="Times New Roman"/>
                <w:b/>
                <w:bCs/>
                <w:color w:val="auto"/>
                <w:w w:val="100"/>
                <w:kern w:val="0"/>
                <w:sz w:val="22"/>
                <w:szCs w:val="22"/>
                <w:lang w:val="en-US" w:eastAsia="zh-CN" w:bidi="ar-SA"/>
              </w:rPr>
              <w:t>4</w:t>
            </w:r>
            <w:r>
              <w:rPr>
                <w:rFonts w:hint="default" w:ascii="Times New Roman" w:hAnsi="Times New Roman" w:eastAsia="宋体" w:cs="Times New Roman"/>
                <w:b/>
                <w:bCs/>
                <w:color w:val="auto"/>
                <w:w w:val="100"/>
                <w:kern w:val="0"/>
                <w:sz w:val="22"/>
                <w:szCs w:val="22"/>
                <w:lang w:val="en-US" w:eastAsia="zh-CN" w:bidi="ar-SA"/>
              </w:rPr>
              <w:t>）、硫化废气（G1-4、G2-</w:t>
            </w:r>
            <w:r>
              <w:rPr>
                <w:rFonts w:hint="eastAsia" w:ascii="Times New Roman" w:hAnsi="Times New Roman" w:eastAsia="宋体" w:cs="Times New Roman"/>
                <w:b/>
                <w:bCs/>
                <w:color w:val="auto"/>
                <w:w w:val="100"/>
                <w:kern w:val="0"/>
                <w:sz w:val="22"/>
                <w:szCs w:val="22"/>
                <w:lang w:val="en-US" w:eastAsia="zh-CN" w:bidi="ar-SA"/>
              </w:rPr>
              <w:t>5</w:t>
            </w:r>
            <w:r>
              <w:rPr>
                <w:rFonts w:hint="default" w:ascii="Times New Roman" w:hAnsi="Times New Roman" w:eastAsia="宋体" w:cs="Times New Roman"/>
                <w:b/>
                <w:bCs/>
                <w:color w:val="auto"/>
                <w:w w:val="100"/>
                <w:kern w:val="0"/>
                <w:sz w:val="22"/>
                <w:szCs w:val="22"/>
                <w:lang w:val="en-US" w:eastAsia="zh-CN" w:bidi="ar-SA"/>
              </w:rPr>
              <w:t>）</w:t>
            </w:r>
          </w:p>
          <w:p w14:paraId="74523588">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val="0"/>
              <w:snapToGrid/>
              <w:spacing w:line="500" w:lineRule="exact"/>
              <w:ind w:right="0" w:rightChars="0" w:firstLine="440" w:firstLineChars="200"/>
              <w:jc w:val="left"/>
              <w:textAlignment w:val="auto"/>
              <w:outlineLvl w:val="9"/>
              <w:rPr>
                <w:rFonts w:hint="default" w:ascii="Times New Roman" w:hAnsi="Times New Roman" w:eastAsia="宋体" w:cs="Times New Roman"/>
                <w:b w:val="0"/>
                <w:bCs w:val="0"/>
                <w:color w:val="auto"/>
                <w:w w:val="100"/>
                <w:kern w:val="0"/>
                <w:sz w:val="22"/>
                <w:szCs w:val="22"/>
                <w:lang w:val="en-US" w:eastAsia="zh-CN" w:bidi="ar-SA"/>
              </w:rPr>
            </w:pPr>
            <w:r>
              <w:rPr>
                <w:rFonts w:hint="eastAsia" w:ascii="Times New Roman" w:hAnsi="Times New Roman" w:eastAsia="宋体" w:cs="Times New Roman"/>
                <w:b w:val="0"/>
                <w:bCs w:val="0"/>
                <w:color w:val="auto"/>
                <w:w w:val="100"/>
                <w:kern w:val="0"/>
                <w:sz w:val="22"/>
                <w:szCs w:val="22"/>
                <w:lang w:val="en-US" w:eastAsia="zh-CN" w:bidi="ar-SA"/>
              </w:rPr>
              <w:t>技改项</w:t>
            </w:r>
            <w:r>
              <w:rPr>
                <w:rFonts w:hint="eastAsia" w:ascii="Times New Roman" w:hAnsi="Times New Roman" w:cs="Times New Roman"/>
                <w:b w:val="0"/>
                <w:bCs w:val="0"/>
                <w:color w:val="auto"/>
                <w:w w:val="100"/>
                <w:kern w:val="0"/>
                <w:sz w:val="22"/>
                <w:szCs w:val="22"/>
                <w:lang w:val="en-US" w:eastAsia="zh-CN" w:bidi="ar-SA"/>
              </w:rPr>
              <w:t>目高分子纳米增强型橡胶条生产线和半导电胶辊生产线配料及炼胶工序共用。从硫化工序后不共用生产工序。</w:t>
            </w:r>
          </w:p>
          <w:p w14:paraId="394656C6">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default" w:ascii="Times New Roman" w:hAnsi="Times New Roman" w:eastAsia="宋体" w:cs="Times New Roman"/>
                <w:b/>
                <w:bCs/>
                <w:color w:val="auto"/>
                <w:w w:val="100"/>
                <w:kern w:val="0"/>
                <w:sz w:val="22"/>
                <w:szCs w:val="22"/>
                <w:lang w:val="en-US" w:eastAsia="zh-CN" w:bidi="ar-SA"/>
              </w:rPr>
              <w:t>①</w:t>
            </w:r>
            <w:r>
              <w:rPr>
                <w:rFonts w:hint="eastAsia" w:ascii="Times New Roman" w:hAnsi="Times New Roman" w:cs="Times New Roman"/>
                <w:b/>
                <w:bCs/>
                <w:color w:val="auto"/>
                <w:w w:val="100"/>
                <w:kern w:val="0"/>
                <w:sz w:val="22"/>
                <w:szCs w:val="22"/>
                <w:lang w:val="en-US" w:eastAsia="zh-CN" w:bidi="ar-SA"/>
              </w:rPr>
              <w:t>配料</w:t>
            </w:r>
            <w:r>
              <w:rPr>
                <w:rFonts w:hint="default" w:ascii="Times New Roman" w:hAnsi="Times New Roman" w:eastAsia="宋体" w:cs="Times New Roman"/>
                <w:b/>
                <w:bCs/>
                <w:color w:val="auto"/>
                <w:w w:val="100"/>
                <w:kern w:val="0"/>
                <w:sz w:val="22"/>
                <w:szCs w:val="22"/>
                <w:lang w:val="en-US" w:eastAsia="zh-CN" w:bidi="ar-SA"/>
              </w:rPr>
              <w:t>废气（G1-1、G2-1）</w:t>
            </w:r>
          </w:p>
          <w:p w14:paraId="170371CD">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0" w:firstLineChars="200"/>
              <w:jc w:val="left"/>
              <w:textAlignment w:val="auto"/>
              <w:outlineLvl w:val="9"/>
              <w:rPr>
                <w:rFonts w:hint="default" w:ascii="Times New Roman" w:hAnsi="Times New Roman" w:eastAsia="宋体" w:cs="Times New Roman"/>
                <w:b w:val="0"/>
                <w:bCs w:val="0"/>
                <w:color w:val="auto"/>
                <w:w w:val="100"/>
                <w:kern w:val="0"/>
                <w:sz w:val="22"/>
                <w:szCs w:val="22"/>
                <w:lang w:val="en-US" w:eastAsia="zh-CN" w:bidi="ar-SA"/>
              </w:rPr>
            </w:pPr>
            <w:r>
              <w:rPr>
                <w:rFonts w:hint="eastAsia" w:ascii="Times New Roman" w:hAnsi="Times New Roman" w:cs="Times New Roman"/>
                <w:b w:val="0"/>
                <w:bCs w:val="0"/>
                <w:color w:val="auto"/>
                <w:w w:val="100"/>
                <w:kern w:val="0"/>
                <w:sz w:val="22"/>
                <w:szCs w:val="22"/>
                <w:lang w:val="en-US" w:eastAsia="zh-CN" w:bidi="ar-SA"/>
              </w:rPr>
              <w:t>项目使用的原料炭黑、促进剂、硫磺粉、氧化锌、硬脂酸、高岭土等为粉末状原料，在配料过程中会产生粉尘，类比同类型生产项目，配料时产生的粉尘量为0.1kg/t-物料，本项目粉末状原料的使用量为348.5t/a，则粉尘的产生量为0.035t/a。</w:t>
            </w:r>
          </w:p>
          <w:p w14:paraId="510796D5">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eastAsia" w:ascii="Times New Roman" w:hAnsi="Times New Roman" w:eastAsia="宋体" w:cs="Times New Roman"/>
                <w:b/>
                <w:bCs/>
                <w:color w:val="auto"/>
                <w:w w:val="100"/>
                <w:kern w:val="0"/>
                <w:sz w:val="22"/>
                <w:szCs w:val="22"/>
                <w:lang w:val="en-US" w:eastAsia="zh-CN" w:bidi="ar-SA"/>
              </w:rPr>
              <w:t>②</w:t>
            </w:r>
            <w:r>
              <w:rPr>
                <w:rFonts w:hint="eastAsia" w:ascii="Times New Roman" w:hAnsi="Times New Roman" w:cs="Times New Roman"/>
                <w:b/>
                <w:bCs/>
                <w:color w:val="auto"/>
                <w:w w:val="100"/>
                <w:kern w:val="0"/>
                <w:sz w:val="22"/>
                <w:szCs w:val="22"/>
                <w:lang w:val="en-US" w:eastAsia="zh-CN" w:bidi="ar-SA"/>
              </w:rPr>
              <w:t>混炼</w:t>
            </w:r>
            <w:r>
              <w:rPr>
                <w:rFonts w:hint="eastAsia" w:ascii="Times New Roman" w:hAnsi="Times New Roman" w:eastAsia="宋体" w:cs="Times New Roman"/>
                <w:b/>
                <w:bCs/>
                <w:color w:val="auto"/>
                <w:w w:val="100"/>
                <w:kern w:val="0"/>
                <w:sz w:val="22"/>
                <w:szCs w:val="22"/>
                <w:lang w:val="en-US" w:eastAsia="zh-CN" w:bidi="ar-SA"/>
              </w:rPr>
              <w:t>（包含密炼和开炼）</w:t>
            </w:r>
            <w:r>
              <w:rPr>
                <w:rFonts w:hint="default" w:ascii="Times New Roman" w:hAnsi="Times New Roman" w:eastAsia="宋体" w:cs="Times New Roman"/>
                <w:b/>
                <w:bCs/>
                <w:color w:val="auto"/>
                <w:w w:val="100"/>
                <w:kern w:val="0"/>
                <w:sz w:val="22"/>
                <w:szCs w:val="22"/>
                <w:lang w:val="en-US" w:eastAsia="zh-CN" w:bidi="ar-SA"/>
              </w:rPr>
              <w:t>废气（G1-2、G2-2）</w:t>
            </w:r>
          </w:p>
          <w:p w14:paraId="257D03D5">
            <w:pPr>
              <w:keepNext w:val="0"/>
              <w:keepLines w:val="0"/>
              <w:pageBreakBefore w:val="0"/>
              <w:widowControl w:val="0"/>
              <w:suppressLineNumbers w:val="0"/>
              <w:kinsoku/>
              <w:wordWrap/>
              <w:overflowPunct/>
              <w:topLinePunct w:val="0"/>
              <w:autoSpaceDE/>
              <w:autoSpaceDN/>
              <w:bidi w:val="0"/>
              <w:adjustRightInd/>
              <w:snapToGrid/>
              <w:spacing w:line="500" w:lineRule="exact"/>
              <w:ind w:firstLine="440" w:firstLineChars="200"/>
              <w:jc w:val="left"/>
              <w:textAlignment w:val="auto"/>
              <w:rPr>
                <w:rFonts w:hint="eastAsia" w:ascii="Times New Roman" w:hAnsi="Times New Roman" w:eastAsia="宋体" w:cs="Times New Roman"/>
                <w:color w:val="auto"/>
                <w:w w:val="100"/>
                <w:kern w:val="0"/>
                <w:sz w:val="22"/>
                <w:szCs w:val="22"/>
                <w:lang w:val="en-US" w:eastAsia="zh-CN" w:bidi="ar-SA"/>
              </w:rPr>
            </w:pPr>
            <w:r>
              <w:rPr>
                <w:rFonts w:hint="eastAsia" w:cs="Times New Roman"/>
                <w:color w:val="auto"/>
                <w:w w:val="100"/>
                <w:kern w:val="0"/>
                <w:sz w:val="22"/>
                <w:szCs w:val="22"/>
                <w:lang w:val="en-US" w:eastAsia="zh-CN" w:bidi="ar-SA"/>
              </w:rPr>
              <w:t>根据《</w:t>
            </w:r>
            <w:r>
              <w:rPr>
                <w:rFonts w:hint="default" w:ascii="Times New Roman" w:hAnsi="Times New Roman" w:eastAsia="宋体" w:cs="Times New Roman"/>
                <w:color w:val="auto"/>
                <w:w w:val="100"/>
                <w:kern w:val="0"/>
                <w:sz w:val="22"/>
                <w:szCs w:val="22"/>
                <w:lang w:val="en-US" w:eastAsia="zh-CN" w:bidi="ar-SA"/>
              </w:rPr>
              <w:t>排污许可证申请与核发技术规范</w:t>
            </w:r>
            <w:r>
              <w:rPr>
                <w:rFonts w:hint="eastAsia" w:cs="Times New Roman"/>
                <w:color w:val="auto"/>
                <w:w w:val="100"/>
                <w:kern w:val="0"/>
                <w:sz w:val="22"/>
                <w:szCs w:val="22"/>
                <w:lang w:val="en-US" w:eastAsia="zh-CN" w:bidi="ar-SA"/>
              </w:rPr>
              <w:t xml:space="preserve">  </w:t>
            </w:r>
            <w:r>
              <w:rPr>
                <w:rFonts w:hint="default" w:ascii="Times New Roman" w:hAnsi="Times New Roman" w:eastAsia="宋体" w:cs="Times New Roman"/>
                <w:color w:val="auto"/>
                <w:w w:val="100"/>
                <w:kern w:val="0"/>
                <w:sz w:val="22"/>
                <w:szCs w:val="22"/>
                <w:lang w:val="en-US" w:eastAsia="zh-CN" w:bidi="ar-SA"/>
              </w:rPr>
              <w:t>橡胶和塑料制品工业</w:t>
            </w:r>
            <w:r>
              <w:rPr>
                <w:rFonts w:hint="eastAsia" w:cs="Times New Roman"/>
                <w:color w:val="auto"/>
                <w:w w:val="100"/>
                <w:kern w:val="0"/>
                <w:sz w:val="22"/>
                <w:szCs w:val="22"/>
                <w:lang w:val="en-US" w:eastAsia="zh-CN" w:bidi="ar-SA"/>
              </w:rPr>
              <w:t>》（HJ1122-2020）“</w:t>
            </w:r>
            <w:r>
              <w:rPr>
                <w:rFonts w:hint="default" w:ascii="Times New Roman" w:hAnsi="Times New Roman" w:eastAsia="宋体" w:cs="Times New Roman"/>
                <w:color w:val="auto"/>
                <w:w w:val="100"/>
                <w:kern w:val="0"/>
                <w:sz w:val="22"/>
                <w:szCs w:val="22"/>
                <w:lang w:val="en-US" w:eastAsia="zh-CN" w:bidi="ar-SA"/>
              </w:rPr>
              <w:t>附录G</w:t>
            </w:r>
            <w:r>
              <w:rPr>
                <w:rFonts w:hint="eastAsia" w:cs="Times New Roman"/>
                <w:color w:val="auto"/>
                <w:w w:val="100"/>
                <w:kern w:val="0"/>
                <w:sz w:val="22"/>
                <w:szCs w:val="22"/>
                <w:lang w:val="en-US" w:eastAsia="zh-CN" w:bidi="ar-SA"/>
              </w:rPr>
              <w:t xml:space="preserve"> （</w:t>
            </w:r>
            <w:r>
              <w:rPr>
                <w:rFonts w:hint="default" w:ascii="Times New Roman" w:hAnsi="Times New Roman" w:eastAsia="宋体" w:cs="Times New Roman"/>
                <w:color w:val="auto"/>
                <w:w w:val="100"/>
                <w:kern w:val="0"/>
                <w:sz w:val="22"/>
                <w:szCs w:val="22"/>
                <w:lang w:val="en-US" w:eastAsia="zh-CN" w:bidi="ar-SA"/>
              </w:rPr>
              <w:t>资料性附录</w:t>
            </w:r>
            <w:r>
              <w:rPr>
                <w:rFonts w:hint="eastAsia" w:cs="Times New Roman"/>
                <w:color w:val="auto"/>
                <w:w w:val="100"/>
                <w:kern w:val="0"/>
                <w:sz w:val="22"/>
                <w:szCs w:val="22"/>
                <w:lang w:val="en-US" w:eastAsia="zh-CN" w:bidi="ar-SA"/>
              </w:rPr>
              <w:t>）</w:t>
            </w:r>
            <w:r>
              <w:rPr>
                <w:rFonts w:hint="default" w:ascii="Times New Roman" w:hAnsi="Times New Roman" w:eastAsia="宋体" w:cs="Times New Roman"/>
                <w:color w:val="auto"/>
                <w:w w:val="100"/>
                <w:kern w:val="0"/>
                <w:sz w:val="22"/>
                <w:szCs w:val="22"/>
                <w:lang w:val="en-US" w:eastAsia="zh-CN" w:bidi="ar-SA"/>
              </w:rPr>
              <w:t>橡胶和塑料制品工业污染物产污系数表</w:t>
            </w:r>
            <w:r>
              <w:rPr>
                <w:rFonts w:hint="eastAsia" w:cs="Times New Roman"/>
                <w:color w:val="auto"/>
                <w:w w:val="100"/>
                <w:kern w:val="0"/>
                <w:sz w:val="22"/>
                <w:szCs w:val="22"/>
                <w:lang w:val="en-US" w:eastAsia="zh-CN" w:bidi="ar-SA"/>
              </w:rPr>
              <w:t>”“表G.1 橡胶制品工业污染物产污系数表”“橡胶板、管、带”中“混炼”颗粒物的产物系数为10.074千克/吨三胶、非甲烷总烃</w:t>
            </w:r>
            <w:r>
              <w:rPr>
                <w:rFonts w:hint="default" w:ascii="Times New Roman" w:hAnsi="Times New Roman" w:eastAsia="宋体" w:cs="Times New Roman"/>
                <w:color w:val="auto"/>
                <w:w w:val="100"/>
                <w:kern w:val="0"/>
                <w:sz w:val="22"/>
                <w:szCs w:val="22"/>
                <w:lang w:val="en-US" w:eastAsia="zh-CN" w:bidi="ar-SA"/>
              </w:rPr>
              <w:t>的产污系数为</w:t>
            </w:r>
            <w:r>
              <w:rPr>
                <w:rFonts w:hint="eastAsia" w:ascii="Times New Roman" w:hAnsi="Times New Roman" w:eastAsia="宋体" w:cs="Times New Roman"/>
                <w:color w:val="auto"/>
                <w:w w:val="100"/>
                <w:kern w:val="0"/>
                <w:sz w:val="22"/>
                <w:szCs w:val="22"/>
                <w:lang w:val="en-US" w:eastAsia="zh-CN" w:bidi="ar-SA"/>
              </w:rPr>
              <w:t>4.</w:t>
            </w:r>
            <w:r>
              <w:rPr>
                <w:rFonts w:hint="eastAsia" w:cs="Times New Roman"/>
                <w:color w:val="auto"/>
                <w:w w:val="100"/>
                <w:kern w:val="0"/>
                <w:sz w:val="22"/>
                <w:szCs w:val="22"/>
                <w:lang w:val="en-US" w:eastAsia="zh-CN" w:bidi="ar-SA"/>
              </w:rPr>
              <w:t>898</w:t>
            </w:r>
            <w:r>
              <w:rPr>
                <w:rFonts w:hint="eastAsia" w:ascii="Times New Roman" w:hAnsi="Times New Roman" w:eastAsia="宋体" w:cs="Times New Roman"/>
                <w:color w:val="auto"/>
                <w:w w:val="100"/>
                <w:kern w:val="0"/>
                <w:sz w:val="22"/>
                <w:szCs w:val="22"/>
                <w:lang w:val="en-US" w:eastAsia="zh-CN" w:bidi="ar-SA"/>
              </w:rPr>
              <w:t>千克</w:t>
            </w:r>
            <w:r>
              <w:rPr>
                <w:rFonts w:hint="default" w:ascii="Times New Roman" w:hAnsi="Times New Roman" w:eastAsia="宋体" w:cs="Times New Roman"/>
                <w:color w:val="auto"/>
                <w:w w:val="100"/>
                <w:kern w:val="0"/>
                <w:sz w:val="22"/>
                <w:szCs w:val="22"/>
                <w:lang w:val="en-US" w:eastAsia="zh-CN" w:bidi="ar-SA"/>
              </w:rPr>
              <w:t>/</w:t>
            </w:r>
            <w:r>
              <w:rPr>
                <w:rFonts w:hint="eastAsia" w:ascii="Times New Roman" w:hAnsi="Times New Roman" w:eastAsia="宋体" w:cs="Times New Roman"/>
                <w:color w:val="auto"/>
                <w:w w:val="100"/>
                <w:kern w:val="0"/>
                <w:sz w:val="22"/>
                <w:szCs w:val="22"/>
                <w:lang w:val="en-US" w:eastAsia="zh-CN" w:bidi="ar-SA"/>
              </w:rPr>
              <w:t>吨三胶</w:t>
            </w:r>
            <w:r>
              <w:rPr>
                <w:rFonts w:hint="eastAsia" w:cs="Times New Roman"/>
                <w:color w:val="auto"/>
                <w:w w:val="100"/>
                <w:kern w:val="0"/>
                <w:sz w:val="22"/>
                <w:szCs w:val="22"/>
                <w:lang w:val="en-US" w:eastAsia="zh-CN" w:bidi="ar-SA"/>
              </w:rPr>
              <w:t>。</w:t>
            </w:r>
          </w:p>
          <w:p w14:paraId="407EB653">
            <w:pPr>
              <w:keepNext w:val="0"/>
              <w:keepLines w:val="0"/>
              <w:pageBreakBefore w:val="0"/>
              <w:widowControl w:val="0"/>
              <w:suppressLineNumbers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b w:val="0"/>
                <w:bCs w:val="0"/>
                <w:color w:val="auto"/>
                <w:w w:val="100"/>
                <w:kern w:val="0"/>
                <w:sz w:val="22"/>
                <w:szCs w:val="22"/>
                <w:lang w:val="en-US" w:eastAsia="zh-CN" w:bidi="ar-SA"/>
              </w:rPr>
            </w:pPr>
            <w:r>
              <w:rPr>
                <w:rFonts w:hint="default" w:ascii="Times New Roman" w:hAnsi="Times New Roman" w:eastAsia="宋体" w:cs="Times New Roman"/>
                <w:color w:val="auto"/>
                <w:w w:val="100"/>
                <w:kern w:val="0"/>
                <w:sz w:val="22"/>
                <w:szCs w:val="22"/>
                <w:lang w:val="en-US" w:eastAsia="zh-CN" w:bidi="ar-SA"/>
              </w:rPr>
              <w:t>本项目橡胶的年使用量合计为</w:t>
            </w:r>
            <w:r>
              <w:rPr>
                <w:rFonts w:hint="eastAsia" w:cs="Times New Roman"/>
                <w:color w:val="auto"/>
                <w:w w:val="100"/>
                <w:kern w:val="0"/>
                <w:sz w:val="22"/>
                <w:szCs w:val="22"/>
                <w:lang w:val="en-US" w:eastAsia="zh-CN" w:bidi="ar-SA"/>
              </w:rPr>
              <w:t>83</w:t>
            </w:r>
            <w:r>
              <w:rPr>
                <w:rFonts w:hint="default" w:ascii="Times New Roman" w:hAnsi="Times New Roman" w:eastAsia="宋体" w:cs="Times New Roman"/>
                <w:color w:val="auto"/>
                <w:w w:val="100"/>
                <w:kern w:val="0"/>
                <w:sz w:val="22"/>
                <w:szCs w:val="22"/>
                <w:lang w:val="en-US" w:eastAsia="zh-CN" w:bidi="ar-SA"/>
              </w:rPr>
              <w:t>0t/a，则</w:t>
            </w:r>
            <w:r>
              <w:rPr>
                <w:rFonts w:hint="eastAsia" w:cs="Times New Roman"/>
                <w:color w:val="auto"/>
                <w:w w:val="100"/>
                <w:kern w:val="0"/>
                <w:sz w:val="22"/>
                <w:szCs w:val="22"/>
                <w:lang w:val="en-US" w:eastAsia="zh-CN" w:bidi="ar-SA"/>
              </w:rPr>
              <w:t>该</w:t>
            </w:r>
            <w:r>
              <w:rPr>
                <w:rFonts w:hint="default" w:ascii="Times New Roman" w:hAnsi="Times New Roman" w:eastAsia="宋体" w:cs="Times New Roman"/>
                <w:color w:val="auto"/>
                <w:w w:val="100"/>
                <w:kern w:val="0"/>
                <w:sz w:val="22"/>
                <w:szCs w:val="22"/>
                <w:lang w:val="en-US" w:eastAsia="zh-CN" w:bidi="ar-SA"/>
              </w:rPr>
              <w:t>过程中</w:t>
            </w:r>
            <w:r>
              <w:rPr>
                <w:rFonts w:hint="eastAsia" w:cs="Times New Roman"/>
                <w:color w:val="auto"/>
                <w:w w:val="100"/>
                <w:kern w:val="0"/>
                <w:sz w:val="22"/>
                <w:szCs w:val="22"/>
                <w:lang w:val="en-US" w:eastAsia="zh-CN" w:bidi="ar-SA"/>
              </w:rPr>
              <w:t>颗粒物的产生量为8.361t/a，非甲烷总烃</w:t>
            </w:r>
            <w:r>
              <w:rPr>
                <w:rFonts w:hint="default" w:ascii="Times New Roman" w:hAnsi="Times New Roman" w:eastAsia="宋体" w:cs="Times New Roman"/>
                <w:color w:val="auto"/>
                <w:w w:val="100"/>
                <w:kern w:val="0"/>
                <w:sz w:val="22"/>
                <w:szCs w:val="22"/>
                <w:lang w:val="en-US" w:eastAsia="zh-CN" w:bidi="ar-SA"/>
              </w:rPr>
              <w:t>的产生量为</w:t>
            </w:r>
            <w:r>
              <w:rPr>
                <w:rFonts w:hint="eastAsia" w:cs="Times New Roman"/>
                <w:color w:val="auto"/>
                <w:w w:val="100"/>
                <w:kern w:val="0"/>
                <w:sz w:val="22"/>
                <w:szCs w:val="22"/>
                <w:lang w:val="en-US" w:eastAsia="zh-CN" w:bidi="ar-SA"/>
              </w:rPr>
              <w:t>4.065</w:t>
            </w:r>
            <w:r>
              <w:rPr>
                <w:rFonts w:hint="default" w:ascii="Times New Roman" w:hAnsi="Times New Roman" w:eastAsia="宋体" w:cs="Times New Roman"/>
                <w:color w:val="auto"/>
                <w:w w:val="100"/>
                <w:kern w:val="0"/>
                <w:sz w:val="22"/>
                <w:szCs w:val="22"/>
                <w:lang w:val="en-US" w:eastAsia="zh-CN" w:bidi="ar-SA"/>
              </w:rPr>
              <w:t>t/a，</w:t>
            </w:r>
            <w:r>
              <w:rPr>
                <w:rFonts w:hint="default" w:ascii="Times New Roman" w:hAnsi="Times New Roman" w:eastAsia="宋体" w:cs="Times New Roman"/>
                <w:b w:val="0"/>
                <w:bCs/>
                <w:color w:val="auto"/>
                <w:w w:val="100"/>
                <w:sz w:val="22"/>
                <w:szCs w:val="22"/>
                <w:lang w:eastAsia="zh-CN"/>
              </w:rPr>
              <w:t>在</w:t>
            </w:r>
            <w:r>
              <w:rPr>
                <w:rFonts w:hint="eastAsia" w:cs="Times New Roman"/>
                <w:b w:val="0"/>
                <w:bCs/>
                <w:color w:val="auto"/>
                <w:w w:val="100"/>
                <w:sz w:val="22"/>
                <w:szCs w:val="22"/>
                <w:lang w:eastAsia="zh-CN"/>
              </w:rPr>
              <w:t>该</w:t>
            </w:r>
            <w:r>
              <w:rPr>
                <w:rFonts w:hint="default" w:ascii="Times New Roman" w:hAnsi="Times New Roman" w:eastAsia="宋体" w:cs="Times New Roman"/>
                <w:b w:val="0"/>
                <w:bCs/>
                <w:color w:val="auto"/>
                <w:w w:val="100"/>
                <w:sz w:val="22"/>
                <w:szCs w:val="22"/>
                <w:lang w:eastAsia="zh-CN"/>
              </w:rPr>
              <w:t>过程中还需使用乙醇擦拭设备，使用量约</w:t>
            </w:r>
            <w:r>
              <w:rPr>
                <w:rFonts w:hint="default" w:ascii="Times New Roman" w:hAnsi="Times New Roman" w:eastAsia="宋体" w:cs="Times New Roman"/>
                <w:b w:val="0"/>
                <w:bCs/>
                <w:color w:val="auto"/>
                <w:w w:val="100"/>
                <w:sz w:val="22"/>
                <w:szCs w:val="22"/>
                <w:lang w:val="en-US" w:eastAsia="zh-CN"/>
              </w:rPr>
              <w:t>2</w:t>
            </w:r>
            <w:r>
              <w:rPr>
                <w:rFonts w:hint="eastAsia" w:cs="Times New Roman"/>
                <w:b w:val="0"/>
                <w:bCs/>
                <w:color w:val="auto"/>
                <w:w w:val="100"/>
                <w:sz w:val="22"/>
                <w:szCs w:val="22"/>
                <w:lang w:val="en-US" w:eastAsia="zh-CN"/>
              </w:rPr>
              <w:t>.0</w:t>
            </w:r>
            <w:r>
              <w:rPr>
                <w:rFonts w:hint="default" w:ascii="Times New Roman" w:hAnsi="Times New Roman" w:eastAsia="宋体" w:cs="Times New Roman"/>
                <w:b w:val="0"/>
                <w:bCs/>
                <w:color w:val="auto"/>
                <w:w w:val="100"/>
                <w:sz w:val="22"/>
                <w:szCs w:val="22"/>
                <w:lang w:val="en-US" w:eastAsia="zh-CN"/>
              </w:rPr>
              <w:t>t/a，</w:t>
            </w:r>
            <w:r>
              <w:rPr>
                <w:rFonts w:hint="eastAsia" w:cs="Times New Roman"/>
                <w:b w:val="0"/>
                <w:bCs/>
                <w:color w:val="auto"/>
                <w:w w:val="100"/>
                <w:sz w:val="22"/>
                <w:szCs w:val="22"/>
                <w:lang w:val="en-US" w:eastAsia="zh-CN"/>
              </w:rPr>
              <w:t>全部挥发，乙醇废气的产生量为</w:t>
            </w:r>
            <w:r>
              <w:rPr>
                <w:rFonts w:hint="eastAsia" w:cs="Times New Roman"/>
                <w:color w:val="auto"/>
                <w:w w:val="100"/>
                <w:kern w:val="0"/>
                <w:sz w:val="22"/>
                <w:szCs w:val="22"/>
                <w:lang w:val="en-US" w:eastAsia="zh-CN" w:bidi="ar-SA"/>
              </w:rPr>
              <w:t>2.0</w:t>
            </w:r>
            <w:r>
              <w:rPr>
                <w:rFonts w:hint="default" w:ascii="Times New Roman" w:hAnsi="Times New Roman" w:eastAsia="宋体" w:cs="Times New Roman"/>
                <w:color w:val="auto"/>
                <w:w w:val="100"/>
                <w:kern w:val="0"/>
                <w:sz w:val="22"/>
                <w:szCs w:val="22"/>
                <w:lang w:val="en-US" w:eastAsia="zh-CN" w:bidi="ar-SA"/>
              </w:rPr>
              <w:t>t/a</w:t>
            </w:r>
            <w:r>
              <w:rPr>
                <w:rFonts w:hint="eastAsia" w:cs="Times New Roman"/>
                <w:b w:val="0"/>
                <w:bCs/>
                <w:color w:val="auto"/>
                <w:w w:val="100"/>
                <w:sz w:val="22"/>
                <w:szCs w:val="22"/>
                <w:lang w:val="en-US" w:eastAsia="zh-CN"/>
              </w:rPr>
              <w:t>，</w:t>
            </w:r>
            <w:r>
              <w:rPr>
                <w:rFonts w:hint="eastAsia" w:ascii="Times New Roman" w:hAnsi="Times New Roman" w:eastAsia="宋体" w:cs="Times New Roman"/>
                <w:b w:val="0"/>
                <w:bCs/>
                <w:color w:val="auto"/>
                <w:w w:val="100"/>
                <w:sz w:val="22"/>
                <w:szCs w:val="22"/>
                <w:lang w:val="en-US" w:eastAsia="zh-CN"/>
              </w:rPr>
              <w:t>则</w:t>
            </w:r>
            <w:r>
              <w:rPr>
                <w:rFonts w:hint="eastAsia" w:cs="Times New Roman"/>
                <w:b w:val="0"/>
                <w:bCs/>
                <w:color w:val="auto"/>
                <w:w w:val="100"/>
                <w:sz w:val="22"/>
                <w:szCs w:val="22"/>
                <w:lang w:val="en-US" w:eastAsia="zh-CN"/>
              </w:rPr>
              <w:t>该</w:t>
            </w:r>
            <w:r>
              <w:rPr>
                <w:rFonts w:hint="default" w:ascii="Times New Roman" w:hAnsi="Times New Roman" w:eastAsia="宋体" w:cs="Times New Roman"/>
                <w:color w:val="auto"/>
                <w:w w:val="100"/>
                <w:kern w:val="0"/>
                <w:sz w:val="22"/>
                <w:szCs w:val="22"/>
                <w:lang w:val="en-US" w:eastAsia="zh-CN" w:bidi="ar-SA"/>
              </w:rPr>
              <w:t>过程中</w:t>
            </w:r>
            <w:r>
              <w:rPr>
                <w:rFonts w:hint="eastAsia" w:cs="Times New Roman"/>
                <w:color w:val="auto"/>
                <w:w w:val="100"/>
                <w:kern w:val="0"/>
                <w:sz w:val="22"/>
                <w:szCs w:val="22"/>
                <w:lang w:val="en-US" w:eastAsia="zh-CN" w:bidi="ar-SA"/>
              </w:rPr>
              <w:t>挥发性有机物</w:t>
            </w:r>
            <w:r>
              <w:rPr>
                <w:rFonts w:hint="default" w:ascii="Times New Roman" w:hAnsi="Times New Roman" w:eastAsia="宋体" w:cs="Times New Roman"/>
                <w:color w:val="auto"/>
                <w:w w:val="100"/>
                <w:kern w:val="0"/>
                <w:sz w:val="22"/>
                <w:szCs w:val="22"/>
                <w:lang w:val="en-US" w:eastAsia="zh-CN" w:bidi="ar-SA"/>
              </w:rPr>
              <w:t>的产生为</w:t>
            </w:r>
            <w:r>
              <w:rPr>
                <w:rFonts w:hint="eastAsia" w:cs="Times New Roman"/>
                <w:color w:val="auto"/>
                <w:w w:val="100"/>
                <w:kern w:val="0"/>
                <w:sz w:val="22"/>
                <w:szCs w:val="22"/>
                <w:lang w:val="en-US" w:eastAsia="zh-CN" w:bidi="ar-SA"/>
              </w:rPr>
              <w:t>6.065</w:t>
            </w:r>
            <w:r>
              <w:rPr>
                <w:rFonts w:hint="default" w:ascii="Times New Roman" w:hAnsi="Times New Roman" w:eastAsia="宋体" w:cs="Times New Roman"/>
                <w:color w:val="auto"/>
                <w:w w:val="100"/>
                <w:kern w:val="0"/>
                <w:sz w:val="22"/>
                <w:szCs w:val="22"/>
                <w:lang w:val="en-US" w:eastAsia="zh-CN" w:bidi="ar-SA"/>
              </w:rPr>
              <w:t>t/a。</w:t>
            </w:r>
          </w:p>
          <w:p w14:paraId="2E487141">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eastAsia" w:ascii="宋体" w:hAnsi="宋体" w:eastAsia="宋体" w:cs="宋体"/>
                <w:b/>
                <w:bCs/>
                <w:color w:val="auto"/>
                <w:w w:val="100"/>
                <w:kern w:val="0"/>
                <w:sz w:val="22"/>
                <w:szCs w:val="22"/>
                <w:lang w:val="en-US" w:eastAsia="zh-CN" w:bidi="ar-SA"/>
              </w:rPr>
              <w:t>③</w:t>
            </w:r>
            <w:r>
              <w:rPr>
                <w:rFonts w:hint="default" w:ascii="Times New Roman" w:hAnsi="Times New Roman" w:eastAsia="宋体" w:cs="Times New Roman"/>
                <w:b/>
                <w:bCs/>
                <w:color w:val="auto"/>
                <w:w w:val="100"/>
                <w:kern w:val="0"/>
                <w:sz w:val="22"/>
                <w:szCs w:val="22"/>
                <w:lang w:val="en-US" w:eastAsia="zh-CN" w:bidi="ar-SA"/>
              </w:rPr>
              <w:t>硫化废气（G1-4、G2-</w:t>
            </w:r>
            <w:r>
              <w:rPr>
                <w:rFonts w:hint="eastAsia" w:ascii="Times New Roman" w:hAnsi="Times New Roman" w:cs="Times New Roman"/>
                <w:b/>
                <w:bCs/>
                <w:color w:val="auto"/>
                <w:w w:val="100"/>
                <w:kern w:val="0"/>
                <w:sz w:val="22"/>
                <w:szCs w:val="22"/>
                <w:lang w:val="en-US" w:eastAsia="zh-CN" w:bidi="ar-SA"/>
              </w:rPr>
              <w:t>5</w:t>
            </w:r>
            <w:r>
              <w:rPr>
                <w:rFonts w:hint="default" w:ascii="Times New Roman" w:hAnsi="Times New Roman" w:eastAsia="宋体" w:cs="Times New Roman"/>
                <w:b/>
                <w:bCs/>
                <w:color w:val="auto"/>
                <w:w w:val="100"/>
                <w:kern w:val="0"/>
                <w:sz w:val="22"/>
                <w:szCs w:val="22"/>
                <w:lang w:val="en-US" w:eastAsia="zh-CN" w:bidi="ar-SA"/>
              </w:rPr>
              <w:t>）</w:t>
            </w:r>
          </w:p>
          <w:p w14:paraId="4DEF0975">
            <w:pPr>
              <w:keepNext w:val="0"/>
              <w:keepLines w:val="0"/>
              <w:pageBreakBefore w:val="0"/>
              <w:widowControl w:val="0"/>
              <w:suppressLineNumbers w:val="0"/>
              <w:kinsoku/>
              <w:wordWrap/>
              <w:overflowPunct/>
              <w:topLinePunct w:val="0"/>
              <w:autoSpaceDE/>
              <w:autoSpaceDN/>
              <w:bidi w:val="0"/>
              <w:adjustRightInd/>
              <w:snapToGrid/>
              <w:spacing w:line="500" w:lineRule="exact"/>
              <w:ind w:firstLine="440" w:firstLineChars="200"/>
              <w:jc w:val="left"/>
              <w:textAlignment w:val="auto"/>
              <w:rPr>
                <w:rFonts w:hint="eastAsia" w:ascii="Times New Roman" w:hAnsi="Times New Roman" w:eastAsia="宋体" w:cs="Times New Roman"/>
                <w:color w:val="auto"/>
                <w:w w:val="100"/>
                <w:kern w:val="0"/>
                <w:sz w:val="22"/>
                <w:szCs w:val="22"/>
                <w:lang w:val="en-US" w:eastAsia="zh-CN" w:bidi="ar-SA"/>
              </w:rPr>
            </w:pPr>
            <w:r>
              <w:rPr>
                <w:rFonts w:hint="eastAsia" w:cs="Times New Roman"/>
                <w:color w:val="auto"/>
                <w:w w:val="100"/>
                <w:kern w:val="0"/>
                <w:sz w:val="22"/>
                <w:szCs w:val="22"/>
                <w:lang w:val="en-US" w:eastAsia="zh-CN" w:bidi="ar-SA"/>
              </w:rPr>
              <w:t>根据《</w:t>
            </w:r>
            <w:r>
              <w:rPr>
                <w:rFonts w:hint="default" w:ascii="Times New Roman" w:hAnsi="Times New Roman" w:eastAsia="宋体" w:cs="Times New Roman"/>
                <w:color w:val="auto"/>
                <w:w w:val="100"/>
                <w:kern w:val="0"/>
                <w:sz w:val="22"/>
                <w:szCs w:val="22"/>
                <w:lang w:val="en-US" w:eastAsia="zh-CN" w:bidi="ar-SA"/>
              </w:rPr>
              <w:t>排污许可证申请与核发技术规范</w:t>
            </w:r>
            <w:r>
              <w:rPr>
                <w:rFonts w:hint="eastAsia" w:cs="Times New Roman"/>
                <w:color w:val="auto"/>
                <w:w w:val="100"/>
                <w:kern w:val="0"/>
                <w:sz w:val="22"/>
                <w:szCs w:val="22"/>
                <w:lang w:val="en-US" w:eastAsia="zh-CN" w:bidi="ar-SA"/>
              </w:rPr>
              <w:t xml:space="preserve"> </w:t>
            </w:r>
            <w:r>
              <w:rPr>
                <w:rFonts w:hint="default" w:ascii="Times New Roman" w:hAnsi="Times New Roman" w:eastAsia="宋体" w:cs="Times New Roman"/>
                <w:color w:val="auto"/>
                <w:w w:val="100"/>
                <w:kern w:val="0"/>
                <w:sz w:val="22"/>
                <w:szCs w:val="22"/>
                <w:lang w:val="en-US" w:eastAsia="zh-CN" w:bidi="ar-SA"/>
              </w:rPr>
              <w:t>橡胶和塑料制品工业</w:t>
            </w:r>
            <w:r>
              <w:rPr>
                <w:rFonts w:hint="eastAsia" w:cs="Times New Roman"/>
                <w:color w:val="auto"/>
                <w:w w:val="100"/>
                <w:kern w:val="0"/>
                <w:sz w:val="22"/>
                <w:szCs w:val="22"/>
                <w:lang w:val="en-US" w:eastAsia="zh-CN" w:bidi="ar-SA"/>
              </w:rPr>
              <w:t>》（HJ1122-2020）“</w:t>
            </w:r>
            <w:r>
              <w:rPr>
                <w:rFonts w:hint="default" w:ascii="Times New Roman" w:hAnsi="Times New Roman" w:eastAsia="宋体" w:cs="Times New Roman"/>
                <w:color w:val="auto"/>
                <w:w w:val="100"/>
                <w:kern w:val="0"/>
                <w:sz w:val="22"/>
                <w:szCs w:val="22"/>
                <w:lang w:val="en-US" w:eastAsia="zh-CN" w:bidi="ar-SA"/>
              </w:rPr>
              <w:t>附录G</w:t>
            </w:r>
            <w:r>
              <w:rPr>
                <w:rFonts w:hint="eastAsia" w:cs="Times New Roman"/>
                <w:color w:val="auto"/>
                <w:w w:val="100"/>
                <w:kern w:val="0"/>
                <w:sz w:val="22"/>
                <w:szCs w:val="22"/>
                <w:lang w:val="en-US" w:eastAsia="zh-CN" w:bidi="ar-SA"/>
              </w:rPr>
              <w:t xml:space="preserve">  （</w:t>
            </w:r>
            <w:r>
              <w:rPr>
                <w:rFonts w:hint="default" w:ascii="Times New Roman" w:hAnsi="Times New Roman" w:eastAsia="宋体" w:cs="Times New Roman"/>
                <w:color w:val="auto"/>
                <w:w w:val="100"/>
                <w:kern w:val="0"/>
                <w:sz w:val="22"/>
                <w:szCs w:val="22"/>
                <w:lang w:val="en-US" w:eastAsia="zh-CN" w:bidi="ar-SA"/>
              </w:rPr>
              <w:t>资料性附录</w:t>
            </w:r>
            <w:r>
              <w:rPr>
                <w:rFonts w:hint="eastAsia" w:cs="Times New Roman"/>
                <w:color w:val="auto"/>
                <w:w w:val="100"/>
                <w:kern w:val="0"/>
                <w:sz w:val="22"/>
                <w:szCs w:val="22"/>
                <w:lang w:val="en-US" w:eastAsia="zh-CN" w:bidi="ar-SA"/>
              </w:rPr>
              <w:t>）</w:t>
            </w:r>
            <w:r>
              <w:rPr>
                <w:rFonts w:hint="default" w:ascii="Times New Roman" w:hAnsi="Times New Roman" w:eastAsia="宋体" w:cs="Times New Roman"/>
                <w:color w:val="auto"/>
                <w:w w:val="100"/>
                <w:kern w:val="0"/>
                <w:sz w:val="22"/>
                <w:szCs w:val="22"/>
                <w:lang w:val="en-US" w:eastAsia="zh-CN" w:bidi="ar-SA"/>
              </w:rPr>
              <w:t>橡胶和塑料制品工业污染物产污系数表</w:t>
            </w:r>
            <w:r>
              <w:rPr>
                <w:rFonts w:hint="eastAsia" w:cs="Times New Roman"/>
                <w:color w:val="auto"/>
                <w:w w:val="100"/>
                <w:kern w:val="0"/>
                <w:sz w:val="22"/>
                <w:szCs w:val="22"/>
                <w:lang w:val="en-US" w:eastAsia="zh-CN" w:bidi="ar-SA"/>
              </w:rPr>
              <w:t>”“表G.1 橡胶制品工业污染物产污系数表”“橡胶板、管、带”中“硫化”非甲烷总烃</w:t>
            </w:r>
            <w:r>
              <w:rPr>
                <w:rFonts w:hint="default" w:ascii="Times New Roman" w:hAnsi="Times New Roman" w:eastAsia="宋体" w:cs="Times New Roman"/>
                <w:color w:val="auto"/>
                <w:w w:val="100"/>
                <w:kern w:val="0"/>
                <w:sz w:val="22"/>
                <w:szCs w:val="22"/>
                <w:lang w:val="en-US" w:eastAsia="zh-CN" w:bidi="ar-SA"/>
              </w:rPr>
              <w:t>的产污系数为</w:t>
            </w:r>
            <w:r>
              <w:rPr>
                <w:rFonts w:hint="eastAsia" w:ascii="Times New Roman" w:hAnsi="Times New Roman" w:eastAsia="宋体" w:cs="Times New Roman"/>
                <w:color w:val="auto"/>
                <w:w w:val="100"/>
                <w:kern w:val="0"/>
                <w:sz w:val="22"/>
                <w:szCs w:val="22"/>
                <w:lang w:val="en-US" w:eastAsia="zh-CN" w:bidi="ar-SA"/>
              </w:rPr>
              <w:t>4.</w:t>
            </w:r>
            <w:r>
              <w:rPr>
                <w:rFonts w:hint="eastAsia" w:cs="Times New Roman"/>
                <w:color w:val="auto"/>
                <w:w w:val="100"/>
                <w:kern w:val="0"/>
                <w:sz w:val="22"/>
                <w:szCs w:val="22"/>
                <w:lang w:val="en-US" w:eastAsia="zh-CN" w:bidi="ar-SA"/>
              </w:rPr>
              <w:t>898</w:t>
            </w:r>
            <w:r>
              <w:rPr>
                <w:rFonts w:hint="eastAsia" w:ascii="Times New Roman" w:hAnsi="Times New Roman" w:eastAsia="宋体" w:cs="Times New Roman"/>
                <w:color w:val="auto"/>
                <w:w w:val="100"/>
                <w:kern w:val="0"/>
                <w:sz w:val="22"/>
                <w:szCs w:val="22"/>
                <w:lang w:val="en-US" w:eastAsia="zh-CN" w:bidi="ar-SA"/>
              </w:rPr>
              <w:t>千克</w:t>
            </w:r>
            <w:r>
              <w:rPr>
                <w:rFonts w:hint="default" w:ascii="Times New Roman" w:hAnsi="Times New Roman" w:eastAsia="宋体" w:cs="Times New Roman"/>
                <w:color w:val="auto"/>
                <w:w w:val="100"/>
                <w:kern w:val="0"/>
                <w:sz w:val="22"/>
                <w:szCs w:val="22"/>
                <w:lang w:val="en-US" w:eastAsia="zh-CN" w:bidi="ar-SA"/>
              </w:rPr>
              <w:t>/</w:t>
            </w:r>
            <w:r>
              <w:rPr>
                <w:rFonts w:hint="eastAsia" w:ascii="Times New Roman" w:hAnsi="Times New Roman" w:eastAsia="宋体" w:cs="Times New Roman"/>
                <w:color w:val="auto"/>
                <w:w w:val="100"/>
                <w:kern w:val="0"/>
                <w:sz w:val="22"/>
                <w:szCs w:val="22"/>
                <w:lang w:val="en-US" w:eastAsia="zh-CN" w:bidi="ar-SA"/>
              </w:rPr>
              <w:t>吨三胶</w:t>
            </w:r>
            <w:r>
              <w:rPr>
                <w:rFonts w:hint="eastAsia" w:cs="Times New Roman"/>
                <w:color w:val="auto"/>
                <w:w w:val="100"/>
                <w:kern w:val="0"/>
                <w:sz w:val="22"/>
                <w:szCs w:val="22"/>
                <w:lang w:val="en-US" w:eastAsia="zh-CN" w:bidi="ar-SA"/>
              </w:rPr>
              <w:t>。</w:t>
            </w:r>
          </w:p>
          <w:p w14:paraId="37D342C6">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0" w:firstLineChars="200"/>
              <w:jc w:val="left"/>
              <w:textAlignment w:val="auto"/>
              <w:outlineLvl w:val="9"/>
              <w:rPr>
                <w:rFonts w:hint="default" w:ascii="Times New Roman" w:hAnsi="Times New Roman" w:eastAsia="宋体" w:cs="Times New Roman"/>
                <w:b w:val="0"/>
                <w:bCs/>
                <w:color w:val="auto"/>
                <w:w w:val="100"/>
                <w:kern w:val="0"/>
                <w:sz w:val="22"/>
                <w:szCs w:val="22"/>
                <w:lang w:val="en-US" w:eastAsia="zh-CN" w:bidi="ar-SA"/>
              </w:rPr>
            </w:pPr>
            <w:r>
              <w:rPr>
                <w:rFonts w:hint="default" w:ascii="Times New Roman" w:hAnsi="Times New Roman" w:eastAsia="宋体" w:cs="Times New Roman"/>
                <w:b w:val="0"/>
                <w:bCs/>
                <w:color w:val="auto"/>
                <w:w w:val="100"/>
                <w:sz w:val="22"/>
                <w:szCs w:val="22"/>
                <w:lang w:eastAsia="zh-CN"/>
              </w:rPr>
              <w:t>技改</w:t>
            </w:r>
            <w:r>
              <w:rPr>
                <w:rFonts w:hint="default" w:ascii="Times New Roman" w:hAnsi="Times New Roman" w:eastAsia="宋体" w:cs="Times New Roman"/>
                <w:b w:val="0"/>
                <w:bCs/>
                <w:color w:val="auto"/>
                <w:w w:val="100"/>
                <w:sz w:val="22"/>
                <w:szCs w:val="22"/>
              </w:rPr>
              <w:t>项</w:t>
            </w:r>
            <w:r>
              <w:rPr>
                <w:rFonts w:hint="default" w:ascii="Times New Roman" w:hAnsi="Times New Roman" w:eastAsia="宋体" w:cs="Times New Roman"/>
                <w:b w:val="0"/>
                <w:bCs/>
                <w:color w:val="auto"/>
                <w:w w:val="100"/>
                <w:sz w:val="22"/>
                <w:szCs w:val="22"/>
                <w:lang w:eastAsia="zh-CN"/>
              </w:rPr>
              <w:t>目</w:t>
            </w:r>
            <w:r>
              <w:rPr>
                <w:rFonts w:hint="default" w:ascii="Times New Roman" w:hAnsi="Times New Roman" w:eastAsia="宋体" w:cs="Times New Roman"/>
                <w:b w:val="0"/>
                <w:bCs/>
                <w:color w:val="auto"/>
                <w:w w:val="100"/>
                <w:sz w:val="22"/>
                <w:szCs w:val="22"/>
                <w:lang w:val="en-US" w:eastAsia="zh-CN"/>
              </w:rPr>
              <w:t>高分子纳米增强型橡胶条</w:t>
            </w:r>
            <w:r>
              <w:rPr>
                <w:rFonts w:hint="default" w:ascii="Times New Roman" w:hAnsi="Times New Roman" w:eastAsia="宋体" w:cs="Times New Roman"/>
                <w:b w:val="0"/>
                <w:bCs/>
                <w:color w:val="auto"/>
                <w:w w:val="100"/>
                <w:sz w:val="22"/>
                <w:szCs w:val="22"/>
                <w:lang w:eastAsia="zh-CN"/>
              </w:rPr>
              <w:t>生产线橡胶使用量为</w:t>
            </w:r>
            <w:r>
              <w:rPr>
                <w:rFonts w:hint="default" w:ascii="Times New Roman" w:hAnsi="Times New Roman" w:eastAsia="宋体" w:cs="Times New Roman"/>
                <w:b w:val="0"/>
                <w:bCs/>
                <w:color w:val="auto"/>
                <w:w w:val="100"/>
                <w:sz w:val="22"/>
                <w:szCs w:val="22"/>
                <w:lang w:val="en-US" w:eastAsia="zh-CN"/>
              </w:rPr>
              <w:t>350</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kern w:val="0"/>
                <w:sz w:val="22"/>
                <w:szCs w:val="22"/>
                <w:lang w:val="en-US" w:eastAsia="zh-CN" w:bidi="ar-SA"/>
              </w:rPr>
              <w:t>，则</w:t>
            </w:r>
            <w:r>
              <w:rPr>
                <w:rFonts w:hint="eastAsia" w:ascii="Times New Roman" w:cs="Times New Roman"/>
                <w:b w:val="0"/>
                <w:bCs/>
                <w:color w:val="auto"/>
                <w:w w:val="100"/>
                <w:kern w:val="0"/>
                <w:sz w:val="22"/>
                <w:szCs w:val="22"/>
                <w:lang w:val="en-US" w:eastAsia="zh-CN" w:bidi="ar-SA"/>
              </w:rPr>
              <w:t>该</w:t>
            </w:r>
            <w:r>
              <w:rPr>
                <w:rFonts w:hint="default" w:ascii="Times New Roman" w:hAnsi="Times New Roman" w:eastAsia="宋体" w:cs="Times New Roman"/>
                <w:b w:val="0"/>
                <w:bCs/>
                <w:color w:val="auto"/>
                <w:w w:val="100"/>
                <w:kern w:val="0"/>
                <w:sz w:val="22"/>
                <w:szCs w:val="22"/>
                <w:lang w:val="en-US" w:eastAsia="zh-CN" w:bidi="ar-SA"/>
              </w:rPr>
              <w:t>过程中非甲烷总烃的产生量为1.714t/a。</w:t>
            </w:r>
            <w:r>
              <w:rPr>
                <w:rFonts w:hint="default" w:ascii="Times New Roman" w:hAnsi="Times New Roman" w:eastAsia="宋体" w:cs="Times New Roman"/>
                <w:b w:val="0"/>
                <w:bCs/>
                <w:color w:val="auto"/>
                <w:w w:val="100"/>
                <w:sz w:val="22"/>
                <w:szCs w:val="22"/>
                <w:highlight w:val="none"/>
                <w:lang w:eastAsia="zh-CN"/>
              </w:rPr>
              <w:t>每年使用约</w:t>
            </w:r>
            <w:r>
              <w:rPr>
                <w:rFonts w:hint="default" w:ascii="Times New Roman" w:hAnsi="Times New Roman" w:eastAsia="宋体" w:cs="Times New Roman"/>
                <w:b w:val="0"/>
                <w:bCs/>
                <w:color w:val="auto"/>
                <w:w w:val="100"/>
                <w:sz w:val="22"/>
                <w:szCs w:val="22"/>
                <w:highlight w:val="none"/>
                <w:lang w:val="en-US" w:eastAsia="zh-CN"/>
              </w:rPr>
              <w:t>3.5</w:t>
            </w:r>
            <w:r>
              <w:rPr>
                <w:rFonts w:hint="default" w:ascii="Times New Roman" w:hAnsi="Times New Roman" w:eastAsia="宋体" w:cs="Times New Roman"/>
                <w:b w:val="0"/>
                <w:bCs/>
                <w:color w:val="auto"/>
                <w:w w:val="100"/>
                <w:sz w:val="22"/>
                <w:szCs w:val="22"/>
                <w:highlight w:val="none"/>
                <w:lang w:eastAsia="zh-CN"/>
              </w:rPr>
              <w:t>t硫磺，按照使用促进剂和活性剂进行硫化的工艺，其H</w:t>
            </w:r>
            <w:r>
              <w:rPr>
                <w:rFonts w:hint="default" w:ascii="Times New Roman" w:hAnsi="Times New Roman" w:eastAsia="宋体" w:cs="Times New Roman"/>
                <w:b w:val="0"/>
                <w:bCs/>
                <w:color w:val="auto"/>
                <w:w w:val="100"/>
                <w:sz w:val="22"/>
                <w:szCs w:val="22"/>
                <w:highlight w:val="none"/>
                <w:vertAlign w:val="subscript"/>
                <w:lang w:eastAsia="zh-CN"/>
              </w:rPr>
              <w:t>2</w:t>
            </w:r>
            <w:r>
              <w:rPr>
                <w:rFonts w:hint="default" w:ascii="Times New Roman" w:hAnsi="Times New Roman" w:eastAsia="宋体" w:cs="Times New Roman"/>
                <w:b w:val="0"/>
                <w:bCs/>
                <w:color w:val="auto"/>
                <w:w w:val="100"/>
                <w:sz w:val="22"/>
                <w:szCs w:val="22"/>
                <w:highlight w:val="none"/>
                <w:lang w:eastAsia="zh-CN"/>
              </w:rPr>
              <w:t>S形成量一般为硫磺用量的1~5%，本评价报告按平均值</w:t>
            </w:r>
            <w:r>
              <w:rPr>
                <w:rFonts w:hint="default" w:ascii="Times New Roman" w:hAnsi="Times New Roman" w:eastAsia="宋体" w:cs="Times New Roman"/>
                <w:b w:val="0"/>
                <w:bCs/>
                <w:color w:val="auto"/>
                <w:w w:val="100"/>
                <w:sz w:val="22"/>
                <w:szCs w:val="22"/>
                <w:highlight w:val="none"/>
                <w:lang w:val="en-US" w:eastAsia="zh-CN"/>
              </w:rPr>
              <w:t>3</w:t>
            </w:r>
            <w:r>
              <w:rPr>
                <w:rFonts w:hint="default" w:ascii="Times New Roman" w:hAnsi="Times New Roman" w:eastAsia="宋体" w:cs="Times New Roman"/>
                <w:b w:val="0"/>
                <w:bCs/>
                <w:color w:val="auto"/>
                <w:w w:val="100"/>
                <w:sz w:val="22"/>
                <w:szCs w:val="22"/>
                <w:highlight w:val="none"/>
                <w:lang w:eastAsia="zh-CN"/>
              </w:rPr>
              <w:t>%进行分析，硫化阶段H</w:t>
            </w:r>
            <w:r>
              <w:rPr>
                <w:rFonts w:hint="default" w:ascii="Times New Roman" w:hAnsi="Times New Roman" w:eastAsia="宋体" w:cs="Times New Roman"/>
                <w:b w:val="0"/>
                <w:bCs/>
                <w:color w:val="auto"/>
                <w:w w:val="100"/>
                <w:sz w:val="22"/>
                <w:szCs w:val="22"/>
                <w:highlight w:val="none"/>
                <w:vertAlign w:val="subscript"/>
                <w:lang w:eastAsia="zh-CN"/>
              </w:rPr>
              <w:t>2</w:t>
            </w:r>
            <w:r>
              <w:rPr>
                <w:rFonts w:hint="default" w:ascii="Times New Roman" w:hAnsi="Times New Roman" w:eastAsia="宋体" w:cs="Times New Roman"/>
                <w:b w:val="0"/>
                <w:bCs/>
                <w:color w:val="auto"/>
                <w:w w:val="100"/>
                <w:sz w:val="22"/>
                <w:szCs w:val="22"/>
                <w:highlight w:val="none"/>
                <w:lang w:eastAsia="zh-CN"/>
              </w:rPr>
              <w:t>S的产生量约</w:t>
            </w:r>
            <w:r>
              <w:rPr>
                <w:rFonts w:hint="default" w:ascii="Times New Roman" w:hAnsi="Times New Roman" w:eastAsia="宋体" w:cs="Times New Roman"/>
                <w:b w:val="0"/>
                <w:bCs/>
                <w:color w:val="auto"/>
                <w:w w:val="100"/>
                <w:sz w:val="22"/>
                <w:szCs w:val="22"/>
                <w:highlight w:val="none"/>
                <w:lang w:val="en-US" w:eastAsia="zh-CN"/>
              </w:rPr>
              <w:t>0.105t</w:t>
            </w:r>
            <w:r>
              <w:rPr>
                <w:rFonts w:hint="default" w:ascii="Times New Roman" w:hAnsi="Times New Roman" w:eastAsia="宋体" w:cs="Times New Roman"/>
                <w:b w:val="0"/>
                <w:bCs/>
                <w:color w:val="auto"/>
                <w:w w:val="100"/>
                <w:sz w:val="22"/>
                <w:szCs w:val="22"/>
                <w:highlight w:val="none"/>
                <w:lang w:eastAsia="zh-CN"/>
              </w:rPr>
              <w:t>/a。</w:t>
            </w:r>
          </w:p>
          <w:p w14:paraId="110C01E1">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0" w:firstLineChars="200"/>
              <w:jc w:val="left"/>
              <w:textAlignment w:val="auto"/>
              <w:outlineLvl w:val="9"/>
              <w:rPr>
                <w:rFonts w:hint="default" w:ascii="Times New Roman" w:hAnsi="Times New Roman" w:eastAsia="宋体" w:cs="Times New Roman"/>
                <w:b w:val="0"/>
                <w:bCs/>
                <w:color w:val="auto"/>
                <w:w w:val="100"/>
                <w:kern w:val="0"/>
                <w:sz w:val="22"/>
                <w:szCs w:val="22"/>
                <w:lang w:val="en-US" w:eastAsia="zh-CN" w:bidi="ar-SA"/>
              </w:rPr>
            </w:pPr>
            <w:r>
              <w:rPr>
                <w:rFonts w:hint="default" w:ascii="Times New Roman" w:hAnsi="Times New Roman" w:eastAsia="宋体" w:cs="Times New Roman"/>
                <w:b w:val="0"/>
                <w:bCs/>
                <w:color w:val="auto"/>
                <w:w w:val="100"/>
                <w:sz w:val="22"/>
                <w:szCs w:val="22"/>
                <w:lang w:eastAsia="zh-CN"/>
              </w:rPr>
              <w:t>技改</w:t>
            </w:r>
            <w:r>
              <w:rPr>
                <w:rFonts w:hint="default" w:ascii="Times New Roman" w:hAnsi="Times New Roman" w:eastAsia="宋体" w:cs="Times New Roman"/>
                <w:b w:val="0"/>
                <w:bCs/>
                <w:color w:val="auto"/>
                <w:w w:val="100"/>
                <w:sz w:val="22"/>
                <w:szCs w:val="22"/>
              </w:rPr>
              <w:t>项</w:t>
            </w:r>
            <w:r>
              <w:rPr>
                <w:rFonts w:hint="default" w:ascii="Times New Roman" w:hAnsi="Times New Roman" w:eastAsia="宋体" w:cs="Times New Roman"/>
                <w:b w:val="0"/>
                <w:bCs/>
                <w:color w:val="auto"/>
                <w:w w:val="100"/>
                <w:sz w:val="22"/>
                <w:szCs w:val="22"/>
                <w:lang w:eastAsia="zh-CN"/>
              </w:rPr>
              <w:t>目</w:t>
            </w:r>
            <w:r>
              <w:rPr>
                <w:rFonts w:hint="default" w:ascii="Times New Roman" w:hAnsi="Times New Roman" w:eastAsia="宋体" w:cs="Times New Roman"/>
                <w:b w:val="0"/>
                <w:bCs w:val="0"/>
                <w:color w:val="auto"/>
                <w:w w:val="100"/>
                <w:kern w:val="0"/>
                <w:sz w:val="22"/>
                <w:szCs w:val="22"/>
                <w:lang w:val="en-US" w:eastAsia="zh-CN" w:bidi="ar-SA"/>
              </w:rPr>
              <w:t>半导电胶辊生产线</w:t>
            </w:r>
            <w:r>
              <w:rPr>
                <w:rFonts w:hint="default" w:ascii="Times New Roman" w:hAnsi="Times New Roman" w:eastAsia="宋体" w:cs="Times New Roman"/>
                <w:b w:val="0"/>
                <w:bCs/>
                <w:color w:val="auto"/>
                <w:w w:val="100"/>
                <w:sz w:val="22"/>
                <w:szCs w:val="22"/>
                <w:lang w:eastAsia="zh-CN"/>
              </w:rPr>
              <w:t>橡胶使用量为</w:t>
            </w:r>
            <w:r>
              <w:rPr>
                <w:rFonts w:hint="default" w:ascii="Times New Roman" w:hAnsi="Times New Roman" w:eastAsia="宋体" w:cs="Times New Roman"/>
                <w:b w:val="0"/>
                <w:bCs/>
                <w:color w:val="auto"/>
                <w:w w:val="100"/>
                <w:sz w:val="22"/>
                <w:szCs w:val="22"/>
                <w:lang w:val="en-US" w:eastAsia="zh-CN"/>
              </w:rPr>
              <w:t>480</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kern w:val="0"/>
                <w:sz w:val="22"/>
                <w:szCs w:val="22"/>
                <w:lang w:val="en-US" w:eastAsia="zh-CN" w:bidi="ar-SA"/>
              </w:rPr>
              <w:t>，则</w:t>
            </w:r>
            <w:r>
              <w:rPr>
                <w:rFonts w:hint="eastAsia" w:ascii="Times New Roman" w:cs="Times New Roman"/>
                <w:b w:val="0"/>
                <w:bCs/>
                <w:color w:val="auto"/>
                <w:w w:val="100"/>
                <w:kern w:val="0"/>
                <w:sz w:val="22"/>
                <w:szCs w:val="22"/>
                <w:lang w:val="en-US" w:eastAsia="zh-CN" w:bidi="ar-SA"/>
              </w:rPr>
              <w:t>该</w:t>
            </w:r>
            <w:r>
              <w:rPr>
                <w:rFonts w:hint="default" w:ascii="Times New Roman" w:hAnsi="Times New Roman" w:eastAsia="宋体" w:cs="Times New Roman"/>
                <w:b w:val="0"/>
                <w:bCs/>
                <w:color w:val="auto"/>
                <w:w w:val="100"/>
                <w:kern w:val="0"/>
                <w:sz w:val="22"/>
                <w:szCs w:val="22"/>
                <w:lang w:val="en-US" w:eastAsia="zh-CN" w:bidi="ar-SA"/>
              </w:rPr>
              <w:t>过程中非甲烷总烃的产生量为2.351t/a。</w:t>
            </w:r>
            <w:r>
              <w:rPr>
                <w:rFonts w:hint="default" w:ascii="Times New Roman" w:hAnsi="Times New Roman" w:eastAsia="宋体" w:cs="Times New Roman"/>
                <w:b w:val="0"/>
                <w:bCs/>
                <w:color w:val="auto"/>
                <w:w w:val="100"/>
                <w:sz w:val="22"/>
                <w:szCs w:val="22"/>
                <w:highlight w:val="none"/>
                <w:lang w:eastAsia="zh-CN"/>
              </w:rPr>
              <w:t>每年使用约</w:t>
            </w:r>
            <w:r>
              <w:rPr>
                <w:rFonts w:hint="default" w:ascii="Times New Roman" w:hAnsi="Times New Roman" w:eastAsia="宋体" w:cs="Times New Roman"/>
                <w:b w:val="0"/>
                <w:bCs/>
                <w:color w:val="auto"/>
                <w:w w:val="100"/>
                <w:sz w:val="22"/>
                <w:szCs w:val="22"/>
                <w:highlight w:val="none"/>
                <w:lang w:val="en-US" w:eastAsia="zh-CN"/>
              </w:rPr>
              <w:t>3</w:t>
            </w:r>
            <w:r>
              <w:rPr>
                <w:rFonts w:hint="default" w:ascii="Times New Roman" w:hAnsi="Times New Roman" w:eastAsia="宋体" w:cs="Times New Roman"/>
                <w:b w:val="0"/>
                <w:bCs/>
                <w:color w:val="auto"/>
                <w:w w:val="100"/>
                <w:sz w:val="22"/>
                <w:szCs w:val="22"/>
                <w:highlight w:val="none"/>
                <w:lang w:eastAsia="zh-CN"/>
              </w:rPr>
              <w:t>t硫磺，按照使用促进剂和活性剂进行硫化的工艺，其H</w:t>
            </w:r>
            <w:r>
              <w:rPr>
                <w:rFonts w:hint="default" w:ascii="Times New Roman" w:hAnsi="Times New Roman" w:eastAsia="宋体" w:cs="Times New Roman"/>
                <w:b w:val="0"/>
                <w:bCs/>
                <w:color w:val="auto"/>
                <w:w w:val="100"/>
                <w:sz w:val="22"/>
                <w:szCs w:val="22"/>
                <w:highlight w:val="none"/>
                <w:vertAlign w:val="subscript"/>
                <w:lang w:eastAsia="zh-CN"/>
              </w:rPr>
              <w:t>2</w:t>
            </w:r>
            <w:r>
              <w:rPr>
                <w:rFonts w:hint="default" w:ascii="Times New Roman" w:hAnsi="Times New Roman" w:eastAsia="宋体" w:cs="Times New Roman"/>
                <w:b w:val="0"/>
                <w:bCs/>
                <w:color w:val="auto"/>
                <w:w w:val="100"/>
                <w:sz w:val="22"/>
                <w:szCs w:val="22"/>
                <w:highlight w:val="none"/>
                <w:lang w:eastAsia="zh-CN"/>
              </w:rPr>
              <w:t>S形成量一般为硫磺用量的1~5%，本评价报告按平均值</w:t>
            </w:r>
            <w:r>
              <w:rPr>
                <w:rFonts w:hint="default" w:ascii="Times New Roman" w:hAnsi="Times New Roman" w:eastAsia="宋体" w:cs="Times New Roman"/>
                <w:b w:val="0"/>
                <w:bCs/>
                <w:color w:val="auto"/>
                <w:w w:val="100"/>
                <w:sz w:val="22"/>
                <w:szCs w:val="22"/>
                <w:highlight w:val="none"/>
                <w:lang w:val="en-US" w:eastAsia="zh-CN"/>
              </w:rPr>
              <w:t>3</w:t>
            </w:r>
            <w:r>
              <w:rPr>
                <w:rFonts w:hint="default" w:ascii="Times New Roman" w:hAnsi="Times New Roman" w:eastAsia="宋体" w:cs="Times New Roman"/>
                <w:b w:val="0"/>
                <w:bCs/>
                <w:color w:val="auto"/>
                <w:w w:val="100"/>
                <w:sz w:val="22"/>
                <w:szCs w:val="22"/>
                <w:highlight w:val="none"/>
                <w:lang w:eastAsia="zh-CN"/>
              </w:rPr>
              <w:t>%进行分析，硫化阶段H</w:t>
            </w:r>
            <w:r>
              <w:rPr>
                <w:rFonts w:hint="default" w:ascii="Times New Roman" w:hAnsi="Times New Roman" w:eastAsia="宋体" w:cs="Times New Roman"/>
                <w:b w:val="0"/>
                <w:bCs/>
                <w:color w:val="auto"/>
                <w:w w:val="100"/>
                <w:sz w:val="22"/>
                <w:szCs w:val="22"/>
                <w:highlight w:val="none"/>
                <w:vertAlign w:val="subscript"/>
                <w:lang w:eastAsia="zh-CN"/>
              </w:rPr>
              <w:t>2</w:t>
            </w:r>
            <w:r>
              <w:rPr>
                <w:rFonts w:hint="default" w:ascii="Times New Roman" w:hAnsi="Times New Roman" w:eastAsia="宋体" w:cs="Times New Roman"/>
                <w:b w:val="0"/>
                <w:bCs/>
                <w:color w:val="auto"/>
                <w:w w:val="100"/>
                <w:sz w:val="22"/>
                <w:szCs w:val="22"/>
                <w:highlight w:val="none"/>
                <w:lang w:eastAsia="zh-CN"/>
              </w:rPr>
              <w:t>S的产生量约</w:t>
            </w:r>
            <w:r>
              <w:rPr>
                <w:rFonts w:hint="default" w:ascii="Times New Roman" w:hAnsi="Times New Roman" w:eastAsia="宋体" w:cs="Times New Roman"/>
                <w:b w:val="0"/>
                <w:bCs/>
                <w:color w:val="auto"/>
                <w:w w:val="100"/>
                <w:sz w:val="22"/>
                <w:szCs w:val="22"/>
                <w:highlight w:val="none"/>
                <w:lang w:val="en-US" w:eastAsia="zh-CN"/>
              </w:rPr>
              <w:t>0.09t</w:t>
            </w:r>
            <w:r>
              <w:rPr>
                <w:rFonts w:hint="default" w:ascii="Times New Roman" w:hAnsi="Times New Roman" w:eastAsia="宋体" w:cs="Times New Roman"/>
                <w:b w:val="0"/>
                <w:bCs/>
                <w:color w:val="auto"/>
                <w:w w:val="100"/>
                <w:sz w:val="22"/>
                <w:szCs w:val="22"/>
                <w:highlight w:val="none"/>
                <w:lang w:eastAsia="zh-CN"/>
              </w:rPr>
              <w:t>/a。</w:t>
            </w:r>
          </w:p>
          <w:p w14:paraId="2EE14FB3">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color w:val="auto"/>
                <w:w w:val="100"/>
                <w:kern w:val="0"/>
                <w:sz w:val="22"/>
                <w:szCs w:val="22"/>
                <w:lang w:val="en-US" w:eastAsia="zh-CN" w:bidi="ar-SA"/>
              </w:rPr>
            </w:pPr>
            <w:r>
              <w:rPr>
                <w:rFonts w:hint="eastAsia" w:ascii="仿宋" w:hAnsi="仿宋" w:eastAsia="仿宋" w:cs="仿宋"/>
                <w:b/>
                <w:bCs/>
                <w:color w:val="auto"/>
                <w:w w:val="100"/>
                <w:kern w:val="0"/>
                <w:sz w:val="22"/>
                <w:szCs w:val="22"/>
                <w:lang w:val="en-US" w:eastAsia="zh-CN" w:bidi="ar-SA"/>
              </w:rPr>
              <w:t>④</w:t>
            </w:r>
            <w:r>
              <w:rPr>
                <w:rFonts w:hint="default" w:ascii="Times New Roman" w:hAnsi="Times New Roman" w:eastAsia="宋体" w:cs="Times New Roman"/>
                <w:b/>
                <w:bCs/>
                <w:color w:val="auto"/>
                <w:w w:val="100"/>
                <w:kern w:val="0"/>
                <w:sz w:val="22"/>
                <w:szCs w:val="22"/>
                <w:lang w:val="en-US" w:eastAsia="zh-CN" w:bidi="ar-SA"/>
              </w:rPr>
              <w:t>涂胶废气（G1-3）</w:t>
            </w:r>
            <w:r>
              <w:rPr>
                <w:rFonts w:hint="eastAsia" w:ascii="Times New Roman" w:hAnsi="Times New Roman" w:eastAsia="宋体" w:cs="Times New Roman"/>
                <w:b/>
                <w:bCs/>
                <w:color w:val="auto"/>
                <w:w w:val="100"/>
                <w:kern w:val="0"/>
                <w:sz w:val="22"/>
                <w:szCs w:val="22"/>
                <w:lang w:val="en-US" w:eastAsia="zh-CN" w:bidi="ar-SA"/>
              </w:rPr>
              <w:t>、</w:t>
            </w:r>
            <w:r>
              <w:rPr>
                <w:rFonts w:hint="default" w:ascii="Times New Roman" w:hAnsi="Times New Roman" w:eastAsia="宋体" w:cs="Times New Roman"/>
                <w:b/>
                <w:bCs/>
                <w:color w:val="auto"/>
                <w:w w:val="100"/>
                <w:kern w:val="0"/>
                <w:sz w:val="22"/>
                <w:szCs w:val="22"/>
                <w:lang w:val="en-US" w:eastAsia="zh-CN" w:bidi="ar-SA"/>
              </w:rPr>
              <w:t>轴芯</w:t>
            </w:r>
            <w:r>
              <w:rPr>
                <w:rFonts w:hint="eastAsia" w:ascii="Times New Roman" w:hAnsi="Times New Roman" w:eastAsia="宋体" w:cs="Times New Roman"/>
                <w:b/>
                <w:bCs/>
                <w:color w:val="auto"/>
                <w:w w:val="100"/>
                <w:kern w:val="0"/>
                <w:sz w:val="22"/>
                <w:szCs w:val="22"/>
                <w:lang w:val="en-US" w:eastAsia="zh-CN" w:bidi="ar-SA"/>
              </w:rPr>
              <w:t>清洗废气（G2-3）</w:t>
            </w:r>
            <w:r>
              <w:rPr>
                <w:rFonts w:hint="default" w:ascii="Times New Roman" w:hAnsi="Times New Roman" w:eastAsia="宋体" w:cs="Times New Roman"/>
                <w:b/>
                <w:bCs/>
                <w:color w:val="auto"/>
                <w:w w:val="100"/>
                <w:kern w:val="0"/>
                <w:sz w:val="22"/>
                <w:szCs w:val="22"/>
                <w:lang w:val="en-US" w:eastAsia="zh-CN" w:bidi="ar-SA"/>
              </w:rPr>
              <w:t>、轴芯涂胶废气（G2-</w:t>
            </w:r>
            <w:r>
              <w:rPr>
                <w:rFonts w:hint="eastAsia" w:ascii="Times New Roman" w:hAnsi="Times New Roman" w:cs="Times New Roman"/>
                <w:b/>
                <w:bCs/>
                <w:color w:val="auto"/>
                <w:w w:val="100"/>
                <w:kern w:val="0"/>
                <w:sz w:val="22"/>
                <w:szCs w:val="22"/>
                <w:lang w:val="en-US" w:eastAsia="zh-CN" w:bidi="ar-SA"/>
              </w:rPr>
              <w:t>4</w:t>
            </w:r>
            <w:r>
              <w:rPr>
                <w:rFonts w:hint="default" w:ascii="Times New Roman" w:hAnsi="Times New Roman" w:eastAsia="宋体" w:cs="Times New Roman"/>
                <w:b/>
                <w:bCs/>
                <w:color w:val="auto"/>
                <w:w w:val="100"/>
                <w:kern w:val="0"/>
                <w:sz w:val="22"/>
                <w:szCs w:val="22"/>
                <w:lang w:val="en-US" w:eastAsia="zh-CN" w:bidi="ar-SA"/>
              </w:rPr>
              <w:t>）</w:t>
            </w:r>
          </w:p>
          <w:p w14:paraId="01544373">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0" w:firstLineChars="200"/>
              <w:jc w:val="left"/>
              <w:textAlignment w:val="auto"/>
              <w:outlineLvl w:val="9"/>
              <w:rPr>
                <w:rFonts w:hint="eastAsia" w:ascii="Times New Roman" w:hAnsi="Times New Roman" w:eastAsia="宋体" w:cs="Times New Roman"/>
                <w:b w:val="0"/>
                <w:bCs/>
                <w:color w:val="auto"/>
                <w:w w:val="100"/>
                <w:sz w:val="22"/>
                <w:szCs w:val="22"/>
                <w:lang w:eastAsia="zh-CN"/>
              </w:rPr>
            </w:pPr>
            <w:r>
              <w:rPr>
                <w:rFonts w:hint="default" w:ascii="Times New Roman" w:hAnsi="Times New Roman" w:eastAsia="宋体" w:cs="Times New Roman"/>
                <w:b w:val="0"/>
                <w:bCs/>
                <w:color w:val="auto"/>
                <w:w w:val="100"/>
                <w:sz w:val="22"/>
                <w:szCs w:val="22"/>
                <w:lang w:eastAsia="zh-CN"/>
              </w:rPr>
              <w:t>技改</w:t>
            </w:r>
            <w:r>
              <w:rPr>
                <w:rFonts w:hint="default" w:ascii="Times New Roman" w:hAnsi="Times New Roman" w:eastAsia="宋体" w:cs="Times New Roman"/>
                <w:b w:val="0"/>
                <w:bCs/>
                <w:color w:val="auto"/>
                <w:w w:val="100"/>
                <w:sz w:val="22"/>
                <w:szCs w:val="22"/>
              </w:rPr>
              <w:t>项</w:t>
            </w:r>
            <w:r>
              <w:rPr>
                <w:rFonts w:hint="default" w:ascii="Times New Roman" w:hAnsi="Times New Roman" w:eastAsia="宋体" w:cs="Times New Roman"/>
                <w:b w:val="0"/>
                <w:bCs/>
                <w:color w:val="auto"/>
                <w:w w:val="100"/>
                <w:sz w:val="22"/>
                <w:szCs w:val="22"/>
                <w:lang w:eastAsia="zh-CN"/>
              </w:rPr>
              <w:t>目</w:t>
            </w:r>
            <w:r>
              <w:rPr>
                <w:rFonts w:hint="eastAsia" w:ascii="Times New Roman" w:hAnsi="Times New Roman" w:eastAsia="宋体" w:cs="Times New Roman"/>
                <w:b w:val="0"/>
                <w:bCs/>
                <w:color w:val="auto"/>
                <w:w w:val="100"/>
                <w:sz w:val="22"/>
                <w:szCs w:val="22"/>
                <w:lang w:val="en-US" w:eastAsia="zh-CN"/>
              </w:rPr>
              <w:t>高分子纳米增强型橡胶条</w:t>
            </w:r>
            <w:r>
              <w:rPr>
                <w:rFonts w:hint="eastAsia" w:ascii="Times New Roman" w:hAnsi="Times New Roman" w:eastAsia="宋体" w:cs="Times New Roman"/>
                <w:b w:val="0"/>
                <w:bCs/>
                <w:color w:val="auto"/>
                <w:w w:val="100"/>
                <w:sz w:val="22"/>
                <w:szCs w:val="22"/>
                <w:lang w:eastAsia="zh-CN"/>
              </w:rPr>
              <w:t>生产线</w:t>
            </w:r>
            <w:r>
              <w:rPr>
                <w:rFonts w:hint="eastAsia" w:ascii="Times New Roman" w:cs="Times New Roman"/>
                <w:b w:val="0"/>
                <w:bCs/>
                <w:color w:val="auto"/>
                <w:w w:val="100"/>
                <w:sz w:val="22"/>
                <w:szCs w:val="22"/>
                <w:lang w:eastAsia="zh-CN"/>
              </w:rPr>
              <w:t>溶剂甲苯使用量为</w:t>
            </w:r>
            <w:r>
              <w:rPr>
                <w:rFonts w:hint="default" w:ascii="Times New Roman" w:hAnsi="Times New Roman" w:eastAsia="宋体" w:cs="Times New Roman"/>
                <w:b w:val="0"/>
                <w:bCs/>
                <w:color w:val="auto"/>
                <w:w w:val="100"/>
                <w:sz w:val="22"/>
                <w:szCs w:val="22"/>
                <w:lang w:val="en-US" w:eastAsia="zh-CN"/>
              </w:rPr>
              <w:t>5</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val="en-US" w:eastAsia="zh-CN"/>
              </w:rPr>
              <w:t>挥发量</w:t>
            </w:r>
            <w:r>
              <w:rPr>
                <w:rFonts w:hint="eastAsia" w:ascii="Times New Roman" w:cs="Times New Roman"/>
                <w:b w:val="0"/>
                <w:bCs/>
                <w:color w:val="auto"/>
                <w:w w:val="100"/>
                <w:sz w:val="22"/>
                <w:szCs w:val="22"/>
                <w:lang w:val="en-US" w:eastAsia="zh-CN"/>
              </w:rPr>
              <w:t>按照90</w:t>
            </w:r>
            <w:r>
              <w:rPr>
                <w:rFonts w:hint="default" w:ascii="Times New Roman" w:hAnsi="Times New Roman" w:eastAsia="宋体" w:cs="Times New Roman"/>
                <w:b w:val="0"/>
                <w:bCs/>
                <w:color w:val="auto"/>
                <w:w w:val="100"/>
                <w:sz w:val="22"/>
                <w:szCs w:val="22"/>
                <w:lang w:val="en-US" w:eastAsia="zh-CN"/>
              </w:rPr>
              <w:t>%</w:t>
            </w:r>
            <w:r>
              <w:rPr>
                <w:rFonts w:hint="eastAsia" w:ascii="Times New Roman" w:cs="Times New Roman"/>
                <w:b w:val="0"/>
                <w:bCs/>
                <w:color w:val="auto"/>
                <w:w w:val="100"/>
                <w:sz w:val="22"/>
                <w:szCs w:val="22"/>
                <w:lang w:val="en-US" w:eastAsia="zh-CN"/>
              </w:rPr>
              <w:t>计算</w:t>
            </w:r>
            <w:r>
              <w:rPr>
                <w:rFonts w:hint="default" w:ascii="Times New Roman" w:hAnsi="Times New Roman" w:eastAsia="宋体" w:cs="Times New Roman"/>
                <w:b w:val="0"/>
                <w:bCs/>
                <w:color w:val="auto"/>
                <w:w w:val="100"/>
                <w:sz w:val="22"/>
                <w:szCs w:val="22"/>
                <w:lang w:val="en-US" w:eastAsia="zh-CN"/>
              </w:rPr>
              <w:t>，</w:t>
            </w:r>
            <w:r>
              <w:rPr>
                <w:rFonts w:hint="default" w:ascii="Times New Roman" w:hAnsi="Times New Roman" w:eastAsia="宋体" w:cs="Times New Roman"/>
                <w:b w:val="0"/>
                <w:bCs/>
                <w:color w:val="auto"/>
                <w:w w:val="100"/>
                <w:sz w:val="22"/>
                <w:szCs w:val="22"/>
              </w:rPr>
              <w:t>则</w:t>
            </w:r>
            <w:r>
              <w:rPr>
                <w:rFonts w:hint="eastAsia" w:ascii="Times New Roman" w:cs="Times New Roman"/>
                <w:b w:val="0"/>
                <w:bCs/>
                <w:color w:val="auto"/>
                <w:w w:val="100"/>
                <w:sz w:val="22"/>
                <w:szCs w:val="22"/>
                <w:lang w:val="en-US" w:eastAsia="zh-CN"/>
              </w:rPr>
              <w:t>挥发性有机物</w:t>
            </w:r>
            <w:r>
              <w:rPr>
                <w:rFonts w:hint="default" w:ascii="Times New Roman" w:hAnsi="Times New Roman" w:eastAsia="宋体" w:cs="Times New Roman"/>
                <w:b w:val="0"/>
                <w:bCs/>
                <w:color w:val="auto"/>
                <w:w w:val="100"/>
                <w:sz w:val="22"/>
                <w:szCs w:val="22"/>
                <w:lang w:val="en-US" w:eastAsia="zh-CN"/>
              </w:rPr>
              <w:t>产</w:t>
            </w:r>
            <w:r>
              <w:rPr>
                <w:rFonts w:hint="default" w:ascii="Times New Roman" w:hAnsi="Times New Roman" w:eastAsia="宋体" w:cs="Times New Roman"/>
                <w:b w:val="0"/>
                <w:bCs/>
                <w:color w:val="auto"/>
                <w:w w:val="100"/>
                <w:sz w:val="22"/>
                <w:szCs w:val="22"/>
              </w:rPr>
              <w:t>生量约为</w:t>
            </w:r>
            <w:r>
              <w:rPr>
                <w:rFonts w:hint="eastAsia" w:ascii="Times New Roman" w:cs="Times New Roman"/>
                <w:b w:val="0"/>
                <w:bCs/>
                <w:color w:val="auto"/>
                <w:w w:val="100"/>
                <w:sz w:val="22"/>
                <w:szCs w:val="22"/>
                <w:lang w:val="en-US" w:eastAsia="zh-CN"/>
              </w:rPr>
              <w:t>4.5</w:t>
            </w:r>
            <w:r>
              <w:rPr>
                <w:rFonts w:hint="default" w:ascii="Times New Roman" w:hAnsi="Times New Roman" w:eastAsia="宋体" w:cs="Times New Roman"/>
                <w:b w:val="0"/>
                <w:bCs/>
                <w:color w:val="auto"/>
                <w:w w:val="100"/>
                <w:sz w:val="22"/>
                <w:szCs w:val="22"/>
                <w:lang w:val="en-US" w:eastAsia="zh-CN"/>
              </w:rPr>
              <w:t>t/a</w:t>
            </w:r>
            <w:r>
              <w:rPr>
                <w:rFonts w:hint="default" w:ascii="Times New Roman" w:hAnsi="Times New Roman" w:eastAsia="宋体" w:cs="Times New Roman"/>
                <w:b w:val="0"/>
                <w:bCs/>
                <w:color w:val="auto"/>
                <w:w w:val="100"/>
                <w:sz w:val="22"/>
                <w:szCs w:val="22"/>
              </w:rPr>
              <w:t>（</w:t>
            </w:r>
            <w:r>
              <w:rPr>
                <w:rFonts w:hint="default" w:ascii="Times New Roman" w:hAnsi="Times New Roman" w:eastAsia="宋体" w:cs="Times New Roman"/>
                <w:b w:val="0"/>
                <w:bCs/>
                <w:color w:val="auto"/>
                <w:w w:val="100"/>
                <w:sz w:val="22"/>
                <w:szCs w:val="22"/>
                <w:lang w:eastAsia="zh-CN"/>
              </w:rPr>
              <w:t>甲苯</w:t>
            </w:r>
            <w:r>
              <w:rPr>
                <w:rFonts w:hint="eastAsia" w:ascii="Times New Roman" w:cs="Times New Roman"/>
                <w:b w:val="0"/>
                <w:bCs/>
                <w:color w:val="auto"/>
                <w:w w:val="100"/>
                <w:sz w:val="22"/>
                <w:szCs w:val="22"/>
                <w:lang w:val="en-US" w:eastAsia="zh-CN"/>
              </w:rPr>
              <w:t>4.5</w:t>
            </w:r>
            <w:r>
              <w:rPr>
                <w:rFonts w:hint="default" w:ascii="Times New Roman" w:hAnsi="Times New Roman" w:eastAsia="宋体" w:cs="Times New Roman"/>
                <w:b w:val="0"/>
                <w:bCs/>
                <w:color w:val="auto"/>
                <w:w w:val="100"/>
                <w:sz w:val="22"/>
                <w:szCs w:val="22"/>
                <w:lang w:val="en-US" w:eastAsia="zh-CN"/>
              </w:rPr>
              <w:t>t/a</w:t>
            </w:r>
            <w:r>
              <w:rPr>
                <w:rFonts w:hint="default" w:ascii="Times New Roman" w:hAnsi="Times New Roman" w:eastAsia="宋体" w:cs="Times New Roman"/>
                <w:b w:val="0"/>
                <w:bCs/>
                <w:color w:val="auto"/>
                <w:w w:val="100"/>
                <w:sz w:val="22"/>
                <w:szCs w:val="22"/>
              </w:rPr>
              <w:t>）</w:t>
            </w:r>
            <w:r>
              <w:rPr>
                <w:rFonts w:hint="eastAsia" w:ascii="Times New Roman" w:cs="Times New Roman"/>
                <w:b w:val="0"/>
                <w:bCs/>
                <w:color w:val="auto"/>
                <w:w w:val="100"/>
                <w:sz w:val="22"/>
                <w:szCs w:val="22"/>
                <w:lang w:eastAsia="zh-CN"/>
              </w:rPr>
              <w:t>。</w:t>
            </w:r>
          </w:p>
          <w:p w14:paraId="707A96BC">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0" w:firstLineChars="200"/>
              <w:jc w:val="left"/>
              <w:textAlignment w:val="auto"/>
              <w:outlineLvl w:val="9"/>
              <w:rPr>
                <w:rFonts w:hint="eastAsia" w:ascii="Times New Roman" w:cs="Times New Roman"/>
                <w:b w:val="0"/>
                <w:bCs/>
                <w:color w:val="auto"/>
                <w:w w:val="100"/>
                <w:sz w:val="22"/>
                <w:szCs w:val="22"/>
                <w:lang w:val="en-US" w:eastAsia="zh-CN"/>
              </w:rPr>
            </w:pPr>
            <w:r>
              <w:rPr>
                <w:rFonts w:hint="default" w:ascii="Times New Roman" w:hAnsi="Times New Roman" w:eastAsia="宋体" w:cs="Times New Roman"/>
                <w:b w:val="0"/>
                <w:bCs/>
                <w:color w:val="auto"/>
                <w:w w:val="100"/>
                <w:sz w:val="22"/>
                <w:szCs w:val="22"/>
                <w:lang w:eastAsia="zh-CN"/>
              </w:rPr>
              <w:t>技改</w:t>
            </w:r>
            <w:r>
              <w:rPr>
                <w:rFonts w:hint="default" w:ascii="Times New Roman" w:hAnsi="Times New Roman" w:eastAsia="宋体" w:cs="Times New Roman"/>
                <w:b w:val="0"/>
                <w:bCs/>
                <w:color w:val="auto"/>
                <w:w w:val="100"/>
                <w:sz w:val="22"/>
                <w:szCs w:val="22"/>
              </w:rPr>
              <w:t>项</w:t>
            </w:r>
            <w:r>
              <w:rPr>
                <w:rFonts w:hint="default" w:ascii="Times New Roman" w:hAnsi="Times New Roman" w:eastAsia="宋体" w:cs="Times New Roman"/>
                <w:b w:val="0"/>
                <w:bCs/>
                <w:color w:val="auto"/>
                <w:w w:val="100"/>
                <w:sz w:val="22"/>
                <w:szCs w:val="22"/>
                <w:lang w:eastAsia="zh-CN"/>
              </w:rPr>
              <w:t>目</w:t>
            </w:r>
            <w:r>
              <w:rPr>
                <w:rFonts w:hint="default" w:ascii="Times New Roman" w:hAnsi="Times New Roman" w:eastAsia="宋体" w:cs="Times New Roman"/>
                <w:b w:val="0"/>
                <w:bCs w:val="0"/>
                <w:color w:val="auto"/>
                <w:w w:val="100"/>
                <w:kern w:val="0"/>
                <w:sz w:val="22"/>
                <w:szCs w:val="22"/>
                <w:lang w:val="en-US" w:eastAsia="zh-CN" w:bidi="ar-SA"/>
              </w:rPr>
              <w:t>半导电胶辊生</w:t>
            </w:r>
            <w:r>
              <w:rPr>
                <w:rFonts w:hint="default" w:ascii="Times New Roman" w:hAnsi="Times New Roman" w:eastAsia="宋体" w:cs="Times New Roman"/>
                <w:b w:val="0"/>
                <w:bCs/>
                <w:color w:val="auto"/>
                <w:w w:val="100"/>
                <w:sz w:val="22"/>
                <w:szCs w:val="22"/>
                <w:lang w:val="en-US" w:eastAsia="zh-CN"/>
              </w:rPr>
              <w:t>产线轴芯</w:t>
            </w:r>
            <w:r>
              <w:rPr>
                <w:rFonts w:hint="eastAsia" w:ascii="Times New Roman" w:hAnsi="Times New Roman" w:eastAsia="宋体" w:cs="Times New Roman"/>
                <w:b w:val="0"/>
                <w:bCs/>
                <w:color w:val="auto"/>
                <w:w w:val="100"/>
                <w:sz w:val="22"/>
                <w:szCs w:val="22"/>
                <w:lang w:val="en-US" w:eastAsia="zh-CN"/>
              </w:rPr>
              <w:t>清洗工序清洗液美沙克灵的使用量为4</w:t>
            </w:r>
            <w:r>
              <w:rPr>
                <w:rFonts w:hint="default" w:ascii="Times New Roman" w:hAnsi="Times New Roman" w:eastAsia="宋体" w:cs="Times New Roman"/>
                <w:b w:val="0"/>
                <w:bCs/>
                <w:color w:val="auto"/>
                <w:w w:val="100"/>
                <w:sz w:val="22"/>
                <w:szCs w:val="22"/>
                <w:lang w:val="en-US" w:eastAsia="zh-CN"/>
              </w:rPr>
              <w:t>t/a，根据企业提供的资料</w:t>
            </w:r>
            <w:r>
              <w:rPr>
                <w:rFonts w:hint="eastAsia" w:ascii="Times New Roman" w:hAnsi="Times New Roman" w:eastAsia="宋体" w:cs="Times New Roman"/>
                <w:b w:val="0"/>
                <w:bCs/>
                <w:color w:val="auto"/>
                <w:w w:val="100"/>
                <w:sz w:val="22"/>
                <w:szCs w:val="22"/>
                <w:lang w:val="en-US" w:eastAsia="zh-CN"/>
              </w:rPr>
              <w:t>美沙克灵</w:t>
            </w:r>
            <w:r>
              <w:rPr>
                <w:rFonts w:hint="default" w:ascii="Times New Roman" w:hAnsi="Times New Roman" w:eastAsia="宋体" w:cs="Times New Roman"/>
                <w:b w:val="0"/>
                <w:bCs/>
                <w:color w:val="auto"/>
                <w:w w:val="100"/>
                <w:sz w:val="22"/>
                <w:szCs w:val="22"/>
                <w:lang w:val="en-US" w:eastAsia="zh-CN"/>
              </w:rPr>
              <w:t>挥发量约5%，则</w:t>
            </w:r>
            <w:r>
              <w:rPr>
                <w:rFonts w:hint="eastAsia" w:ascii="Times New Roman" w:hAnsi="Times New Roman" w:eastAsia="宋体" w:cs="Times New Roman"/>
                <w:b w:val="0"/>
                <w:bCs/>
                <w:color w:val="auto"/>
                <w:w w:val="100"/>
                <w:sz w:val="22"/>
                <w:szCs w:val="22"/>
                <w:lang w:val="en-US" w:eastAsia="zh-CN"/>
              </w:rPr>
              <w:t>该工序</w:t>
            </w:r>
            <w:r>
              <w:rPr>
                <w:rFonts w:hint="default" w:ascii="Times New Roman" w:hAnsi="Times New Roman" w:eastAsia="宋体" w:cs="Times New Roman"/>
                <w:b w:val="0"/>
                <w:bCs/>
                <w:color w:val="auto"/>
                <w:w w:val="100"/>
                <w:sz w:val="22"/>
                <w:szCs w:val="22"/>
                <w:lang w:val="en-US" w:eastAsia="zh-CN"/>
              </w:rPr>
              <w:t>非甲烷总烃产生量约为</w:t>
            </w:r>
            <w:r>
              <w:rPr>
                <w:rFonts w:hint="eastAsia" w:ascii="Times New Roman" w:hAnsi="Times New Roman" w:eastAsia="宋体" w:cs="Times New Roman"/>
                <w:b w:val="0"/>
                <w:bCs/>
                <w:color w:val="auto"/>
                <w:w w:val="100"/>
                <w:sz w:val="22"/>
                <w:szCs w:val="22"/>
                <w:lang w:val="en-US" w:eastAsia="zh-CN"/>
              </w:rPr>
              <w:t>0.20</w:t>
            </w:r>
            <w:r>
              <w:rPr>
                <w:rFonts w:hint="default" w:ascii="Times New Roman" w:hAnsi="Times New Roman" w:eastAsia="宋体" w:cs="Times New Roman"/>
                <w:b w:val="0"/>
                <w:bCs/>
                <w:color w:val="auto"/>
                <w:w w:val="100"/>
                <w:sz w:val="22"/>
                <w:szCs w:val="22"/>
                <w:lang w:val="en-US" w:eastAsia="zh-CN"/>
              </w:rPr>
              <w:t>t/a</w:t>
            </w:r>
            <w:r>
              <w:rPr>
                <w:rFonts w:hint="eastAsia" w:ascii="Times New Roman" w:hAnsi="Times New Roman" w:eastAsia="宋体" w:cs="Times New Roman"/>
                <w:b w:val="0"/>
                <w:bCs/>
                <w:color w:val="auto"/>
                <w:w w:val="100"/>
                <w:sz w:val="22"/>
                <w:szCs w:val="22"/>
                <w:lang w:val="en-US" w:eastAsia="zh-CN"/>
              </w:rPr>
              <w:t>；</w:t>
            </w:r>
            <w:r>
              <w:rPr>
                <w:rFonts w:hint="default" w:ascii="Times New Roman" w:hAnsi="Times New Roman" w:eastAsia="宋体" w:cs="Times New Roman"/>
                <w:b w:val="0"/>
                <w:bCs/>
                <w:color w:val="auto"/>
                <w:w w:val="100"/>
                <w:sz w:val="22"/>
                <w:szCs w:val="22"/>
                <w:lang w:val="en-US" w:eastAsia="zh-CN"/>
              </w:rPr>
              <w:t>轴芯</w:t>
            </w:r>
            <w:r>
              <w:rPr>
                <w:rFonts w:hint="eastAsia" w:ascii="Times New Roman" w:hAnsi="Times New Roman" w:eastAsia="宋体" w:cs="Times New Roman"/>
                <w:b w:val="0"/>
                <w:bCs/>
                <w:color w:val="auto"/>
                <w:w w:val="100"/>
                <w:sz w:val="22"/>
                <w:szCs w:val="22"/>
                <w:lang w:val="en-US" w:eastAsia="zh-CN"/>
              </w:rPr>
              <w:t>涂胶工序</w:t>
            </w:r>
            <w:r>
              <w:rPr>
                <w:rFonts w:hint="default" w:ascii="Times New Roman" w:hAnsi="Times New Roman" w:eastAsia="宋体" w:cs="Times New Roman"/>
                <w:b w:val="0"/>
                <w:bCs/>
                <w:color w:val="auto"/>
                <w:w w:val="100"/>
                <w:sz w:val="22"/>
                <w:szCs w:val="22"/>
                <w:lang w:eastAsia="zh-CN"/>
              </w:rPr>
              <w:t>涂料</w:t>
            </w:r>
            <w:r>
              <w:rPr>
                <w:rFonts w:hint="default" w:ascii="Times New Roman" w:hAnsi="Times New Roman" w:eastAsia="宋体" w:cs="Times New Roman"/>
                <w:b w:val="0"/>
                <w:bCs/>
                <w:color w:val="auto"/>
                <w:w w:val="100"/>
                <w:sz w:val="22"/>
                <w:szCs w:val="22"/>
              </w:rPr>
              <w:t>使用量</w:t>
            </w:r>
            <w:r>
              <w:rPr>
                <w:rFonts w:hint="default" w:ascii="Times New Roman" w:hAnsi="Times New Roman" w:eastAsia="宋体" w:cs="Times New Roman"/>
                <w:b w:val="0"/>
                <w:bCs/>
                <w:color w:val="auto"/>
                <w:w w:val="100"/>
                <w:sz w:val="22"/>
                <w:szCs w:val="22"/>
                <w:lang w:val="en-US" w:eastAsia="zh-CN"/>
              </w:rPr>
              <w:t>为6.5t/a，二甲苯使用量为</w:t>
            </w:r>
            <w:r>
              <w:rPr>
                <w:rFonts w:hint="eastAsia" w:ascii="Times New Roman" w:hAnsi="Times New Roman" w:eastAsia="宋体" w:cs="Times New Roman"/>
                <w:b w:val="0"/>
                <w:bCs/>
                <w:color w:val="auto"/>
                <w:w w:val="100"/>
                <w:sz w:val="22"/>
                <w:szCs w:val="22"/>
                <w:lang w:val="en-US" w:eastAsia="zh-CN"/>
              </w:rPr>
              <w:t>4</w:t>
            </w:r>
            <w:r>
              <w:rPr>
                <w:rFonts w:hint="default" w:ascii="Times New Roman" w:hAnsi="Times New Roman" w:eastAsia="宋体" w:cs="Times New Roman"/>
                <w:b w:val="0"/>
                <w:bCs/>
                <w:color w:val="auto"/>
                <w:w w:val="100"/>
                <w:sz w:val="22"/>
                <w:szCs w:val="22"/>
                <w:lang w:val="en-US" w:eastAsia="zh-CN"/>
              </w:rPr>
              <w:t>t/a，根据企业提供的资料原料挥发量约5%，</w:t>
            </w:r>
            <w:r>
              <w:rPr>
                <w:rFonts w:hint="default" w:ascii="Times New Roman" w:hAnsi="Times New Roman" w:eastAsia="宋体" w:cs="Times New Roman"/>
                <w:b w:val="0"/>
                <w:bCs/>
                <w:color w:val="auto"/>
                <w:w w:val="100"/>
                <w:sz w:val="22"/>
                <w:szCs w:val="22"/>
              </w:rPr>
              <w:t>则</w:t>
            </w:r>
            <w:r>
              <w:rPr>
                <w:rFonts w:hint="eastAsia" w:ascii="Times New Roman" w:cs="Times New Roman"/>
                <w:b w:val="0"/>
                <w:bCs/>
                <w:color w:val="auto"/>
                <w:w w:val="100"/>
                <w:sz w:val="22"/>
                <w:szCs w:val="22"/>
                <w:lang w:val="en-US" w:eastAsia="zh-CN"/>
              </w:rPr>
              <w:t>挥发性有机物</w:t>
            </w:r>
            <w:r>
              <w:rPr>
                <w:rFonts w:hint="default" w:ascii="Times New Roman" w:hAnsi="Times New Roman" w:eastAsia="宋体" w:cs="Times New Roman"/>
                <w:b w:val="0"/>
                <w:bCs/>
                <w:color w:val="auto"/>
                <w:w w:val="100"/>
                <w:sz w:val="22"/>
                <w:szCs w:val="22"/>
              </w:rPr>
              <w:t>产生量约为</w:t>
            </w:r>
            <w:r>
              <w:rPr>
                <w:rFonts w:hint="eastAsia" w:ascii="Times New Roman" w:cs="Times New Roman"/>
                <w:b w:val="0"/>
                <w:bCs/>
                <w:color w:val="auto"/>
                <w:w w:val="100"/>
                <w:sz w:val="22"/>
                <w:szCs w:val="22"/>
                <w:lang w:val="en-US" w:eastAsia="zh-CN"/>
              </w:rPr>
              <w:t>0.525</w:t>
            </w:r>
            <w:r>
              <w:rPr>
                <w:rFonts w:hint="default" w:ascii="Times New Roman" w:hAnsi="Times New Roman" w:eastAsia="宋体" w:cs="Times New Roman"/>
                <w:b w:val="0"/>
                <w:bCs/>
                <w:color w:val="auto"/>
                <w:w w:val="100"/>
                <w:sz w:val="22"/>
                <w:szCs w:val="22"/>
                <w:lang w:val="en-US" w:eastAsia="zh-CN"/>
              </w:rPr>
              <w:t>t/a</w:t>
            </w:r>
            <w:r>
              <w:rPr>
                <w:rFonts w:hint="default" w:ascii="Times New Roman" w:hAnsi="Times New Roman" w:eastAsia="宋体" w:cs="Times New Roman"/>
                <w:b w:val="0"/>
                <w:bCs/>
                <w:color w:val="auto"/>
                <w:w w:val="100"/>
                <w:sz w:val="22"/>
                <w:szCs w:val="22"/>
              </w:rPr>
              <w:t>（</w:t>
            </w:r>
            <w:r>
              <w:rPr>
                <w:rFonts w:hint="default" w:ascii="Times New Roman" w:hAnsi="Times New Roman" w:eastAsia="宋体" w:cs="Times New Roman"/>
                <w:b w:val="0"/>
                <w:bCs/>
                <w:color w:val="auto"/>
                <w:w w:val="100"/>
                <w:sz w:val="22"/>
                <w:szCs w:val="22"/>
                <w:lang w:eastAsia="zh-CN"/>
              </w:rPr>
              <w:t>二甲苯</w:t>
            </w:r>
            <w:r>
              <w:rPr>
                <w:rFonts w:hint="default" w:ascii="Times New Roman" w:hAnsi="Times New Roman" w:eastAsia="宋体" w:cs="Times New Roman"/>
                <w:b w:val="0"/>
                <w:bCs/>
                <w:color w:val="auto"/>
                <w:w w:val="100"/>
                <w:sz w:val="22"/>
                <w:szCs w:val="22"/>
                <w:lang w:val="en-US" w:eastAsia="zh-CN"/>
              </w:rPr>
              <w:t>0.20t/a</w:t>
            </w:r>
            <w:r>
              <w:rPr>
                <w:rFonts w:hint="default" w:ascii="Times New Roman" w:hAnsi="Times New Roman" w:eastAsia="宋体" w:cs="Times New Roman"/>
                <w:b w:val="0"/>
                <w:bCs/>
                <w:color w:val="auto"/>
                <w:w w:val="100"/>
                <w:sz w:val="22"/>
                <w:szCs w:val="22"/>
              </w:rPr>
              <w:t>）</w:t>
            </w:r>
            <w:r>
              <w:rPr>
                <w:rFonts w:hint="eastAsia" w:ascii="Times New Roman" w:cs="Times New Roman"/>
                <w:b w:val="0"/>
                <w:bCs/>
                <w:color w:val="auto"/>
                <w:w w:val="100"/>
                <w:sz w:val="22"/>
                <w:szCs w:val="22"/>
                <w:lang w:eastAsia="zh-CN"/>
              </w:rPr>
              <w:t>。</w:t>
            </w:r>
          </w:p>
          <w:p w14:paraId="2AA7C9E6">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eastAsia" w:ascii="宋体" w:hAnsi="宋体" w:eastAsia="宋体" w:cs="宋体"/>
                <w:b/>
                <w:bCs/>
                <w:color w:val="auto"/>
                <w:w w:val="100"/>
                <w:kern w:val="0"/>
                <w:sz w:val="22"/>
                <w:szCs w:val="22"/>
                <w:lang w:val="en-US" w:eastAsia="zh-CN" w:bidi="ar-SA"/>
              </w:rPr>
            </w:pPr>
            <w:r>
              <w:rPr>
                <w:rFonts w:hint="eastAsia" w:ascii="宋体" w:hAnsi="宋体" w:eastAsia="宋体" w:cs="宋体"/>
                <w:b/>
                <w:bCs/>
                <w:color w:val="auto"/>
                <w:w w:val="100"/>
                <w:kern w:val="0"/>
                <w:sz w:val="22"/>
                <w:szCs w:val="22"/>
                <w:lang w:val="en-US" w:eastAsia="zh-CN" w:bidi="ar-SA"/>
              </w:rPr>
              <w:t>⑵</w:t>
            </w:r>
            <w:r>
              <w:rPr>
                <w:rFonts w:hint="eastAsia" w:cs="宋体"/>
                <w:b/>
                <w:bCs/>
                <w:color w:val="auto"/>
                <w:w w:val="100"/>
                <w:kern w:val="0"/>
                <w:sz w:val="22"/>
                <w:szCs w:val="22"/>
                <w:lang w:val="en-US" w:eastAsia="zh-CN" w:bidi="ar-SA"/>
              </w:rPr>
              <w:t>磨边粉尘（</w:t>
            </w:r>
            <w:r>
              <w:rPr>
                <w:rFonts w:hint="default" w:ascii="Times New Roman" w:hAnsi="Times New Roman" w:eastAsia="宋体" w:cs="Times New Roman"/>
                <w:b/>
                <w:bCs/>
                <w:color w:val="auto"/>
                <w:w w:val="100"/>
                <w:kern w:val="0"/>
                <w:sz w:val="22"/>
                <w:szCs w:val="22"/>
                <w:lang w:val="en-US" w:eastAsia="zh-CN" w:bidi="ar-SA"/>
              </w:rPr>
              <w:t>G1-</w:t>
            </w:r>
            <w:r>
              <w:rPr>
                <w:rFonts w:hint="eastAsia" w:ascii="Times New Roman" w:hAnsi="Times New Roman" w:cs="Times New Roman"/>
                <w:b/>
                <w:bCs/>
                <w:color w:val="auto"/>
                <w:w w:val="100"/>
                <w:kern w:val="0"/>
                <w:sz w:val="22"/>
                <w:szCs w:val="22"/>
                <w:lang w:val="en-US" w:eastAsia="zh-CN" w:bidi="ar-SA"/>
              </w:rPr>
              <w:t>5</w:t>
            </w:r>
            <w:r>
              <w:rPr>
                <w:rFonts w:hint="eastAsia" w:cs="宋体"/>
                <w:b/>
                <w:bCs/>
                <w:color w:val="auto"/>
                <w:w w:val="100"/>
                <w:kern w:val="0"/>
                <w:sz w:val="22"/>
                <w:szCs w:val="22"/>
                <w:lang w:val="en-US" w:eastAsia="zh-CN" w:bidi="ar-SA"/>
              </w:rPr>
              <w:t>）</w:t>
            </w:r>
          </w:p>
          <w:p w14:paraId="1AB948D9">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0" w:firstLineChars="200"/>
              <w:jc w:val="left"/>
              <w:textAlignment w:val="auto"/>
              <w:outlineLvl w:val="9"/>
              <w:rPr>
                <w:rFonts w:hint="eastAsia" w:ascii="宋体" w:hAnsi="宋体" w:eastAsia="宋体" w:cs="宋体"/>
                <w:b w:val="0"/>
                <w:bCs w:val="0"/>
                <w:color w:val="auto"/>
                <w:w w:val="100"/>
                <w:kern w:val="0"/>
                <w:sz w:val="22"/>
                <w:szCs w:val="22"/>
                <w:lang w:val="en-US" w:eastAsia="zh-CN" w:bidi="ar-SA"/>
              </w:rPr>
            </w:pPr>
            <w:r>
              <w:rPr>
                <w:rFonts w:hint="default" w:ascii="Times New Roman" w:hAnsi="Times New Roman" w:eastAsia="宋体" w:cs="Times New Roman"/>
                <w:b w:val="0"/>
                <w:bCs w:val="0"/>
                <w:color w:val="auto"/>
                <w:w w:val="100"/>
                <w:kern w:val="0"/>
                <w:sz w:val="22"/>
                <w:szCs w:val="22"/>
                <w:lang w:val="en-US" w:eastAsia="zh-CN" w:bidi="ar-SA"/>
              </w:rPr>
              <w:t>根据企业生产经验，橡胶条磨边过程中</w:t>
            </w:r>
            <w:r>
              <w:rPr>
                <w:rFonts w:hint="default" w:ascii="Times New Roman" w:hAnsi="Times New Roman" w:eastAsia="宋体" w:cs="Times New Roman"/>
                <w:b w:val="0"/>
                <w:bCs/>
                <w:color w:val="auto"/>
                <w:w w:val="100"/>
                <w:kern w:val="0"/>
                <w:sz w:val="22"/>
                <w:szCs w:val="22"/>
                <w:lang w:val="en-US" w:eastAsia="zh-CN" w:bidi="ar-SA"/>
              </w:rPr>
              <w:t>磨边粉尘的产生量约占原辅材料的1%，项目使用的原辅材料量约为588.5</w:t>
            </w:r>
            <w:r>
              <w:rPr>
                <w:rFonts w:hint="default" w:ascii="Times New Roman" w:hAnsi="Times New Roman" w:eastAsia="宋体" w:cs="Times New Roman"/>
                <w:b w:val="0"/>
                <w:bCs/>
                <w:color w:val="auto"/>
                <w:w w:val="100"/>
                <w:sz w:val="22"/>
                <w:szCs w:val="22"/>
                <w:lang w:val="en-US" w:eastAsia="zh-CN"/>
              </w:rPr>
              <w:t>t/a，</w:t>
            </w:r>
            <w:r>
              <w:rPr>
                <w:rFonts w:hint="eastAsia" w:ascii="Times New Roman" w:hAnsi="Times New Roman" w:cs="Times New Roman"/>
                <w:b w:val="0"/>
                <w:bCs/>
                <w:color w:val="auto"/>
                <w:w w:val="100"/>
                <w:sz w:val="22"/>
                <w:szCs w:val="22"/>
                <w:lang w:val="en-US" w:eastAsia="zh-CN"/>
              </w:rPr>
              <w:t>则该工序粉尘的产生量约为5.885</w:t>
            </w:r>
            <w:r>
              <w:rPr>
                <w:rFonts w:hint="default" w:ascii="Times New Roman" w:hAnsi="Times New Roman" w:eastAsia="宋体" w:cs="Times New Roman"/>
                <w:b w:val="0"/>
                <w:bCs/>
                <w:color w:val="auto"/>
                <w:w w:val="100"/>
                <w:sz w:val="22"/>
                <w:szCs w:val="22"/>
                <w:lang w:val="en-US" w:eastAsia="zh-CN"/>
              </w:rPr>
              <w:t>t/a，</w:t>
            </w:r>
            <w:r>
              <w:rPr>
                <w:rFonts w:hint="eastAsia" w:ascii="Times New Roman" w:hAnsi="Times New Roman" w:cs="Times New Roman"/>
                <w:b w:val="0"/>
                <w:bCs/>
                <w:color w:val="auto"/>
                <w:w w:val="100"/>
                <w:sz w:val="22"/>
                <w:szCs w:val="22"/>
                <w:lang w:val="en-US" w:eastAsia="zh-CN"/>
              </w:rPr>
              <w:t>经集气系统收集后通过设备安装的袋式除尘器处理后通过DA009排放，废气的收集效率为95%，处理效率为98%，有组织粉尘的产生量约5.591</w:t>
            </w:r>
            <w:r>
              <w:rPr>
                <w:rFonts w:hint="default" w:ascii="Times New Roman" w:hAnsi="Times New Roman" w:eastAsia="宋体" w:cs="Times New Roman"/>
                <w:b w:val="0"/>
                <w:bCs/>
                <w:color w:val="auto"/>
                <w:w w:val="100"/>
                <w:sz w:val="22"/>
                <w:szCs w:val="22"/>
                <w:lang w:val="en-US" w:eastAsia="zh-CN"/>
              </w:rPr>
              <w:t>t/a，</w:t>
            </w:r>
            <w:r>
              <w:rPr>
                <w:rFonts w:hint="eastAsia" w:ascii="Times New Roman" w:hAnsi="Times New Roman" w:cs="Times New Roman"/>
                <w:b w:val="0"/>
                <w:bCs/>
                <w:color w:val="auto"/>
                <w:w w:val="100"/>
                <w:sz w:val="22"/>
                <w:szCs w:val="22"/>
                <w:lang w:val="en-US" w:eastAsia="zh-CN"/>
              </w:rPr>
              <w:t>有组织粉尘的产生量约0.294</w:t>
            </w:r>
            <w:r>
              <w:rPr>
                <w:rFonts w:hint="default" w:ascii="Times New Roman" w:hAnsi="Times New Roman" w:eastAsia="宋体" w:cs="Times New Roman"/>
                <w:b w:val="0"/>
                <w:bCs/>
                <w:color w:val="auto"/>
                <w:w w:val="100"/>
                <w:sz w:val="22"/>
                <w:szCs w:val="22"/>
                <w:lang w:val="en-US" w:eastAsia="zh-CN"/>
              </w:rPr>
              <w:t>t/a</w:t>
            </w:r>
            <w:r>
              <w:rPr>
                <w:rFonts w:hint="eastAsia" w:ascii="Times New Roman" w:hAnsi="Times New Roman" w:cs="Times New Roman"/>
                <w:b w:val="0"/>
                <w:bCs/>
                <w:color w:val="auto"/>
                <w:w w:val="100"/>
                <w:sz w:val="22"/>
                <w:szCs w:val="22"/>
                <w:lang w:val="en-US" w:eastAsia="zh-CN"/>
              </w:rPr>
              <w:t>。</w:t>
            </w:r>
          </w:p>
          <w:p w14:paraId="495741A5">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eastAsia" w:ascii="宋体" w:hAnsi="宋体" w:eastAsia="宋体" w:cs="宋体"/>
                <w:b/>
                <w:bCs/>
                <w:color w:val="auto"/>
                <w:w w:val="100"/>
                <w:kern w:val="0"/>
                <w:sz w:val="22"/>
                <w:szCs w:val="22"/>
                <w:lang w:val="en-US" w:eastAsia="zh-CN" w:bidi="ar-SA"/>
              </w:rPr>
              <w:t>⑶</w:t>
            </w:r>
            <w:r>
              <w:rPr>
                <w:rFonts w:hint="default" w:ascii="Times New Roman" w:hAnsi="Times New Roman" w:eastAsia="宋体" w:cs="Times New Roman"/>
                <w:b/>
                <w:bCs/>
                <w:color w:val="auto"/>
                <w:w w:val="100"/>
                <w:kern w:val="0"/>
                <w:sz w:val="22"/>
                <w:szCs w:val="22"/>
                <w:lang w:val="en-US" w:eastAsia="zh-CN" w:bidi="ar-SA"/>
              </w:rPr>
              <w:t>精磨、细磨粉尘（G</w:t>
            </w:r>
            <w:r>
              <w:rPr>
                <w:rFonts w:hint="eastAsia" w:ascii="Times New Roman" w:hAnsi="Times New Roman" w:cs="Times New Roman"/>
                <w:b/>
                <w:bCs/>
                <w:color w:val="auto"/>
                <w:w w:val="100"/>
                <w:kern w:val="0"/>
                <w:sz w:val="22"/>
                <w:szCs w:val="22"/>
                <w:lang w:val="en-US" w:eastAsia="zh-CN" w:bidi="ar-SA"/>
              </w:rPr>
              <w:t>2-6</w:t>
            </w:r>
            <w:r>
              <w:rPr>
                <w:rFonts w:hint="default" w:ascii="Times New Roman" w:hAnsi="Times New Roman" w:eastAsia="宋体" w:cs="Times New Roman"/>
                <w:b/>
                <w:bCs/>
                <w:color w:val="auto"/>
                <w:w w:val="100"/>
                <w:kern w:val="0"/>
                <w:sz w:val="22"/>
                <w:szCs w:val="22"/>
                <w:lang w:val="en-US" w:eastAsia="zh-CN" w:bidi="ar-SA"/>
              </w:rPr>
              <w:t>）</w:t>
            </w:r>
          </w:p>
          <w:p w14:paraId="465CBC1E">
            <w:pPr>
              <w:keepNext w:val="0"/>
              <w:keepLines w:val="0"/>
              <w:pageBreakBefore w:val="0"/>
              <w:widowControl w:val="0"/>
              <w:kinsoku/>
              <w:wordWrap/>
              <w:overflowPunct/>
              <w:topLinePunct w:val="0"/>
              <w:autoSpaceDE/>
              <w:autoSpaceDN/>
              <w:bidi w:val="0"/>
              <w:adjustRightInd/>
              <w:snapToGrid/>
              <w:spacing w:line="500" w:lineRule="exact"/>
              <w:ind w:left="0" w:leftChars="0" w:right="0" w:firstLine="440" w:firstLineChars="200"/>
              <w:jc w:val="left"/>
              <w:textAlignment w:val="auto"/>
              <w:outlineLvl w:val="9"/>
              <w:rPr>
                <w:rFonts w:hint="default" w:ascii="Times New Roman" w:hAnsi="Times New Roman" w:eastAsia="宋体" w:cs="Times New Roman"/>
                <w:bCs/>
                <w:color w:val="auto"/>
                <w:spacing w:val="-10"/>
                <w:sz w:val="22"/>
                <w:szCs w:val="22"/>
              </w:rPr>
            </w:pPr>
            <w:r>
              <w:rPr>
                <w:rFonts w:hint="eastAsia" w:cs="Times New Roman"/>
                <w:b w:val="0"/>
                <w:bCs/>
                <w:color w:val="auto"/>
                <w:w w:val="100"/>
                <w:kern w:val="2"/>
                <w:sz w:val="22"/>
                <w:szCs w:val="22"/>
                <w:lang w:val="en-US" w:eastAsia="zh-CN" w:bidi="ar-SA"/>
              </w:rPr>
              <w:t>根据2021年8月</w:t>
            </w:r>
            <w:r>
              <w:rPr>
                <w:rFonts w:hint="default" w:ascii="Times New Roman" w:hAnsi="Times New Roman" w:eastAsia="宋体" w:cs="Times New Roman"/>
                <w:b w:val="0"/>
                <w:bCs/>
                <w:color w:val="auto"/>
                <w:w w:val="100"/>
                <w:kern w:val="2"/>
                <w:sz w:val="22"/>
                <w:szCs w:val="22"/>
                <w:lang w:val="en-US" w:eastAsia="zh-CN" w:bidi="ar-SA"/>
              </w:rPr>
              <w:t>《淮安欣展高分子科技有限公司高分子半导电胶辊生产线技改项目竣工环境保护自主验收报告》</w:t>
            </w:r>
            <w:r>
              <w:rPr>
                <w:rFonts w:hint="eastAsia" w:cs="Times New Roman"/>
                <w:b w:val="0"/>
                <w:bCs/>
                <w:color w:val="auto"/>
                <w:w w:val="100"/>
                <w:kern w:val="2"/>
                <w:sz w:val="22"/>
                <w:szCs w:val="22"/>
                <w:lang w:val="en-US" w:eastAsia="zh-CN" w:bidi="ar-SA"/>
              </w:rPr>
              <w:t>中检测数据，DA005和DA008排气筒颗粒物进口平均速率分别为0.359 kg/h和0.358kg/h，本次评价保守取0.360kg/h，年工作时间为4800h，研磨设备上安装粉尘回收利用系统，废气捕集效率为90%，回收效率约为98%，收集的粉尘成分主要是橡胶粉末出售给相关单位回收再利用。车间配置5套布袋除尘器，单套布袋除尘器处理的粉尘量均约为1.728t/a，有组织排放的粉尘量均为0.035t/a，无组织排放的粉尘量均为0.192t/a，处理后的粉尘分别通过15米高排气筒DA004、DA005、DA006、DA007、DA008排放。</w:t>
            </w:r>
          </w:p>
        </w:tc>
      </w:tr>
    </w:tbl>
    <w:p w14:paraId="7646959A">
      <w:pPr>
        <w:adjustRightInd w:val="0"/>
        <w:snapToGrid w:val="0"/>
        <w:spacing w:line="360" w:lineRule="auto"/>
        <w:rPr>
          <w:rFonts w:hint="eastAsia" w:ascii="宋体" w:cs="宋体"/>
          <w:b/>
          <w:color w:val="auto"/>
          <w:kern w:val="0"/>
          <w:sz w:val="28"/>
          <w:szCs w:val="28"/>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4"/>
        <w:tblW w:w="5000" w:type="pct"/>
        <w:tblInd w:w="0"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28" w:type="dxa"/>
          <w:bottom w:w="0" w:type="dxa"/>
          <w:right w:w="28" w:type="dxa"/>
        </w:tblCellMar>
      </w:tblPr>
      <w:tblGrid>
        <w:gridCol w:w="799"/>
        <w:gridCol w:w="20234"/>
      </w:tblGrid>
      <w:tr w14:paraId="38BEF1F9">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trHeight w:val="11570" w:hRule="atLeast"/>
        </w:trPr>
        <w:tc>
          <w:tcPr>
            <w:tcW w:w="190" w:type="pct"/>
            <w:tcBorders>
              <w:right w:val="single" w:color="auto" w:sz="6" w:space="0"/>
            </w:tcBorders>
            <w:vAlign w:val="center"/>
          </w:tcPr>
          <w:p w14:paraId="2BC614F8">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eastAsia" w:ascii="宋体" w:hAnsi="宋体" w:cs="宋体"/>
                <w:b/>
                <w:bCs/>
                <w:color w:val="auto"/>
                <w:sz w:val="22"/>
                <w:szCs w:val="22"/>
              </w:rPr>
            </w:pPr>
            <w:r>
              <w:rPr>
                <w:rFonts w:hint="eastAsia" w:ascii="宋体" w:hAnsi="宋体" w:cs="宋体"/>
                <w:b/>
                <w:bCs/>
                <w:color w:val="auto"/>
                <w:sz w:val="22"/>
                <w:szCs w:val="22"/>
              </w:rPr>
              <w:t>运营期环境影</w:t>
            </w:r>
          </w:p>
          <w:p w14:paraId="4AFB890F">
            <w:pPr>
              <w:keepNext w:val="0"/>
              <w:keepLines w:val="0"/>
              <w:pageBreakBefore w:val="0"/>
              <w:widowControl w:val="0"/>
              <w:kinsoku/>
              <w:wordWrap/>
              <w:overflowPunct/>
              <w:topLinePunct w:val="0"/>
              <w:autoSpaceDE/>
              <w:autoSpaceDN/>
              <w:bidi w:val="0"/>
              <w:spacing w:line="500" w:lineRule="exact"/>
              <w:jc w:val="center"/>
              <w:textAlignment w:val="auto"/>
              <w:rPr>
                <w:rFonts w:hint="default" w:ascii="Times New Roman" w:hAnsi="Times New Roman" w:cs="Times New Roman"/>
                <w:color w:val="auto"/>
                <w:vertAlign w:val="baseline"/>
              </w:rPr>
            </w:pPr>
            <w:r>
              <w:rPr>
                <w:rFonts w:hint="eastAsia" w:ascii="宋体" w:hAnsi="宋体" w:cs="宋体"/>
                <w:b/>
                <w:bCs/>
                <w:color w:val="auto"/>
                <w:sz w:val="22"/>
                <w:szCs w:val="22"/>
              </w:rPr>
              <w:t>响和保护措施</w:t>
            </w:r>
          </w:p>
        </w:tc>
        <w:tc>
          <w:tcPr>
            <w:tcW w:w="4809" w:type="pct"/>
            <w:tcBorders>
              <w:left w:val="single" w:color="auto" w:sz="6" w:space="0"/>
              <w:tl2br w:val="nil"/>
              <w:tr2bl w:val="nil"/>
            </w:tcBorders>
            <w:vAlign w:val="top"/>
          </w:tcPr>
          <w:p w14:paraId="7214E2CD">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eastAsia" w:cs="Times New Roman"/>
                <w:color w:val="auto"/>
                <w:w w:val="100"/>
                <w:kern w:val="0"/>
                <w:sz w:val="22"/>
                <w:szCs w:val="22"/>
                <w:lang w:val="en-US" w:eastAsia="zh-CN" w:bidi="ar-SA"/>
              </w:rPr>
            </w:pPr>
            <w:r>
              <w:rPr>
                <w:rFonts w:hint="default" w:ascii="Times New Roman" w:hAnsi="Times New Roman" w:eastAsia="宋体" w:cs="Times New Roman"/>
                <w:b/>
                <w:bCs/>
                <w:color w:val="auto"/>
                <w:w w:val="100"/>
                <w:kern w:val="0"/>
                <w:sz w:val="22"/>
                <w:szCs w:val="22"/>
                <w:lang w:val="en-US" w:eastAsia="zh-CN" w:bidi="ar-SA"/>
              </w:rPr>
              <w:t>⑷刻字废气（G1-6）</w:t>
            </w:r>
          </w:p>
          <w:p w14:paraId="46C87683">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0" w:firstLineChars="200"/>
              <w:jc w:val="left"/>
              <w:textAlignment w:val="auto"/>
              <w:outlineLvl w:val="9"/>
              <w:rPr>
                <w:rFonts w:hint="eastAsia" w:ascii="仿宋" w:hAnsi="仿宋" w:eastAsia="仿宋" w:cs="仿宋"/>
                <w:b/>
                <w:bCs/>
                <w:color w:val="auto"/>
                <w:w w:val="100"/>
                <w:kern w:val="0"/>
                <w:sz w:val="22"/>
                <w:szCs w:val="22"/>
                <w:lang w:val="en-US" w:eastAsia="zh-CN" w:bidi="ar-SA"/>
              </w:rPr>
            </w:pPr>
            <w:r>
              <w:rPr>
                <w:rFonts w:hint="eastAsia" w:cs="Times New Roman"/>
                <w:color w:val="auto"/>
                <w:w w:val="100"/>
                <w:kern w:val="0"/>
                <w:sz w:val="22"/>
                <w:szCs w:val="22"/>
                <w:lang w:val="en-US" w:eastAsia="zh-CN" w:bidi="ar-SA"/>
              </w:rPr>
              <w:t>使用激光对橡胶条表面进行打码编号</w:t>
            </w:r>
            <w:r>
              <w:rPr>
                <w:rFonts w:hint="eastAsia" w:ascii="Times New Roman" w:hAnsi="Times New Roman" w:cs="Times New Roman"/>
                <w:b w:val="0"/>
                <w:bCs/>
                <w:color w:val="auto"/>
                <w:w w:val="100"/>
                <w:sz w:val="22"/>
                <w:szCs w:val="22"/>
                <w:lang w:val="en-US" w:eastAsia="zh-CN"/>
              </w:rPr>
              <w:t>，该工序产生的废气量非常小，可忽略不计，无组织排放，不做定量评价。</w:t>
            </w:r>
          </w:p>
          <w:p w14:paraId="00CE4E64">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eastAsia" w:ascii="宋体" w:hAnsi="宋体" w:eastAsia="宋体" w:cs="宋体"/>
                <w:b/>
                <w:bCs/>
                <w:color w:val="auto"/>
                <w:w w:val="100"/>
                <w:kern w:val="0"/>
                <w:sz w:val="22"/>
                <w:szCs w:val="22"/>
                <w:lang w:val="en-US" w:eastAsia="zh-CN" w:bidi="ar-SA"/>
              </w:rPr>
            </w:pPr>
            <w:r>
              <w:rPr>
                <w:rFonts w:hint="eastAsia" w:ascii="仿宋" w:hAnsi="仿宋" w:eastAsia="仿宋" w:cs="仿宋"/>
                <w:b/>
                <w:bCs/>
                <w:color w:val="auto"/>
                <w:w w:val="100"/>
                <w:kern w:val="0"/>
                <w:sz w:val="22"/>
                <w:szCs w:val="22"/>
                <w:lang w:val="en-US" w:eastAsia="zh-CN" w:bidi="ar-SA"/>
              </w:rPr>
              <w:t>⑸</w:t>
            </w:r>
            <w:r>
              <w:rPr>
                <w:rFonts w:hint="eastAsia" w:ascii="宋体" w:hAnsi="宋体" w:eastAsia="宋体" w:cs="宋体"/>
                <w:b/>
                <w:bCs/>
                <w:color w:val="auto"/>
                <w:w w:val="100"/>
                <w:kern w:val="0"/>
                <w:sz w:val="22"/>
                <w:szCs w:val="22"/>
                <w:lang w:val="en-US" w:eastAsia="zh-CN" w:bidi="ar-SA"/>
              </w:rPr>
              <w:t>喷涂和加热废气</w:t>
            </w:r>
          </w:p>
          <w:p w14:paraId="45AD1D56">
            <w:pPr>
              <w:pStyle w:val="73"/>
              <w:keepNext w:val="0"/>
              <w:keepLines w:val="0"/>
              <w:pageBreakBefore w:val="0"/>
              <w:widowControl w:val="0"/>
              <w:numPr>
                <w:ilvl w:val="0"/>
                <w:numId w:val="0"/>
              </w:numPr>
              <w:tabs>
                <w:tab w:val="left" w:pos="1344"/>
              </w:tabs>
              <w:kinsoku/>
              <w:wordWrap/>
              <w:overflowPunct/>
              <w:topLinePunct w:val="0"/>
              <w:autoSpaceDE w:val="0"/>
              <w:autoSpaceDN w:val="0"/>
              <w:bidi w:val="0"/>
              <w:adjustRightInd/>
              <w:snapToGrid/>
              <w:spacing w:line="500" w:lineRule="exact"/>
              <w:ind w:leftChars="0" w:right="0" w:rightChars="0" w:firstLine="442" w:firstLineChars="200"/>
              <w:jc w:val="left"/>
              <w:textAlignment w:val="auto"/>
              <w:outlineLvl w:val="9"/>
              <w:rPr>
                <w:rFonts w:hint="default" w:ascii="Times New Roman" w:hAnsi="Times New Roman" w:eastAsia="宋体" w:cs="Times New Roman"/>
                <w:color w:val="auto"/>
                <w:w w:val="100"/>
                <w:kern w:val="0"/>
                <w:sz w:val="22"/>
                <w:szCs w:val="22"/>
                <w:lang w:val="en-US" w:eastAsia="zh-CN" w:bidi="ar-SA"/>
              </w:rPr>
            </w:pPr>
            <w:r>
              <w:rPr>
                <w:rFonts w:hint="eastAsia" w:ascii="宋体" w:hAnsi="宋体" w:eastAsia="宋体" w:cs="宋体"/>
                <w:b/>
                <w:bCs/>
                <w:color w:val="auto"/>
                <w:w w:val="100"/>
                <w:kern w:val="0"/>
                <w:sz w:val="22"/>
                <w:szCs w:val="22"/>
                <w:lang w:val="en-US" w:eastAsia="zh-CN" w:bidi="ar-SA"/>
              </w:rPr>
              <w:t>①</w:t>
            </w:r>
            <w:r>
              <w:rPr>
                <w:rFonts w:hint="default" w:ascii="Times New Roman" w:hAnsi="Times New Roman" w:eastAsia="宋体" w:cs="Times New Roman"/>
                <w:b/>
                <w:bCs/>
                <w:color w:val="auto"/>
                <w:w w:val="100"/>
                <w:kern w:val="0"/>
                <w:sz w:val="22"/>
                <w:szCs w:val="22"/>
                <w:lang w:val="en-US" w:eastAsia="zh-CN" w:bidi="ar-SA"/>
              </w:rPr>
              <w:t>喷涂废气（G</w:t>
            </w:r>
            <w:r>
              <w:rPr>
                <w:rFonts w:hint="eastAsia" w:ascii="Times New Roman" w:hAnsi="Times New Roman" w:cs="Times New Roman"/>
                <w:b/>
                <w:bCs/>
                <w:color w:val="auto"/>
                <w:w w:val="100"/>
                <w:kern w:val="0"/>
                <w:sz w:val="22"/>
                <w:szCs w:val="22"/>
                <w:lang w:val="en-US" w:eastAsia="zh-CN" w:bidi="ar-SA"/>
              </w:rPr>
              <w:t>2-7</w:t>
            </w:r>
            <w:r>
              <w:rPr>
                <w:rFonts w:hint="default" w:ascii="Times New Roman" w:hAnsi="Times New Roman" w:eastAsia="宋体" w:cs="Times New Roman"/>
                <w:b/>
                <w:bCs/>
                <w:color w:val="auto"/>
                <w:w w:val="100"/>
                <w:kern w:val="0"/>
                <w:sz w:val="22"/>
                <w:szCs w:val="22"/>
                <w:lang w:val="en-US" w:eastAsia="zh-CN" w:bidi="ar-SA"/>
              </w:rPr>
              <w:t>）</w:t>
            </w:r>
          </w:p>
          <w:p w14:paraId="21D07AE8">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0"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default" w:ascii="Times New Roman" w:hAnsi="Times New Roman" w:eastAsia="宋体" w:cs="Times New Roman"/>
                <w:b w:val="0"/>
                <w:bCs/>
                <w:color w:val="auto"/>
                <w:w w:val="100"/>
                <w:sz w:val="22"/>
                <w:szCs w:val="22"/>
                <w:lang w:eastAsia="zh-CN"/>
              </w:rPr>
              <w:t>技改</w:t>
            </w:r>
            <w:r>
              <w:rPr>
                <w:rFonts w:hint="default" w:ascii="Times New Roman" w:hAnsi="Times New Roman" w:eastAsia="宋体" w:cs="Times New Roman"/>
                <w:b w:val="0"/>
                <w:bCs/>
                <w:color w:val="auto"/>
                <w:w w:val="100"/>
                <w:sz w:val="22"/>
                <w:szCs w:val="22"/>
              </w:rPr>
              <w:t>项目</w:t>
            </w:r>
            <w:r>
              <w:rPr>
                <w:rFonts w:hint="default" w:ascii="Times New Roman" w:hAnsi="Times New Roman" w:eastAsia="宋体" w:cs="Times New Roman"/>
                <w:b w:val="0"/>
                <w:bCs/>
                <w:color w:val="auto"/>
                <w:w w:val="100"/>
                <w:sz w:val="22"/>
                <w:szCs w:val="22"/>
                <w:lang w:eastAsia="zh-CN"/>
              </w:rPr>
              <w:t>醋酸乙酯</w:t>
            </w:r>
            <w:r>
              <w:rPr>
                <w:rFonts w:hint="default" w:ascii="Times New Roman" w:hAnsi="Times New Roman" w:eastAsia="宋体" w:cs="Times New Roman"/>
                <w:b w:val="0"/>
                <w:bCs/>
                <w:color w:val="auto"/>
                <w:w w:val="100"/>
                <w:sz w:val="22"/>
                <w:szCs w:val="22"/>
              </w:rPr>
              <w:t>使用量为</w:t>
            </w:r>
            <w:r>
              <w:rPr>
                <w:rFonts w:hint="default" w:ascii="Times New Roman" w:hAnsi="Times New Roman" w:eastAsia="宋体" w:cs="Times New Roman"/>
                <w:b w:val="0"/>
                <w:bCs/>
                <w:color w:val="auto"/>
                <w:w w:val="100"/>
                <w:sz w:val="22"/>
                <w:szCs w:val="22"/>
                <w:lang w:val="en-US" w:eastAsia="zh-CN"/>
              </w:rPr>
              <w:t>30</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eastAsia="zh-CN"/>
              </w:rPr>
              <w:t>，废液量约为</w:t>
            </w:r>
            <w:r>
              <w:rPr>
                <w:rFonts w:hint="default" w:ascii="Times New Roman" w:hAnsi="Times New Roman" w:eastAsia="宋体" w:cs="Times New Roman"/>
                <w:b w:val="0"/>
                <w:bCs/>
                <w:color w:val="auto"/>
                <w:w w:val="100"/>
                <w:sz w:val="22"/>
                <w:szCs w:val="22"/>
                <w:lang w:val="en-US" w:eastAsia="zh-CN"/>
              </w:rPr>
              <w:t>10</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eastAsia="zh-CN"/>
              </w:rPr>
              <w:t>，涂</w:t>
            </w:r>
            <w:r>
              <w:rPr>
                <w:rFonts w:hint="eastAsia" w:ascii="Times New Roman" w:hAnsi="Times New Roman" w:eastAsia="宋体" w:cs="Times New Roman"/>
                <w:b w:val="0"/>
                <w:bCs/>
                <w:color w:val="auto"/>
                <w:w w:val="100"/>
                <w:sz w:val="22"/>
                <w:szCs w:val="22"/>
                <w:lang w:val="en-US" w:eastAsia="zh-CN"/>
              </w:rPr>
              <w:t>料</w:t>
            </w:r>
            <w:r>
              <w:rPr>
                <w:rFonts w:hint="default" w:ascii="Times New Roman" w:hAnsi="Times New Roman" w:eastAsia="宋体" w:cs="Times New Roman"/>
                <w:b w:val="0"/>
                <w:bCs/>
                <w:color w:val="auto"/>
                <w:w w:val="100"/>
                <w:sz w:val="22"/>
                <w:szCs w:val="22"/>
                <w:lang w:eastAsia="zh-CN"/>
              </w:rPr>
              <w:t>的使用量为</w:t>
            </w:r>
            <w:r>
              <w:rPr>
                <w:rFonts w:hint="default" w:ascii="Times New Roman" w:hAnsi="Times New Roman" w:eastAsia="宋体" w:cs="Times New Roman"/>
                <w:b w:val="0"/>
                <w:bCs/>
                <w:color w:val="auto"/>
                <w:w w:val="100"/>
                <w:sz w:val="22"/>
                <w:szCs w:val="22"/>
                <w:lang w:val="en-US" w:eastAsia="zh-CN"/>
              </w:rPr>
              <w:t>13.5</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eastAsia="zh-CN"/>
              </w:rPr>
              <w:t>，</w:t>
            </w:r>
            <w:r>
              <w:rPr>
                <w:rFonts w:hint="default" w:ascii="Times New Roman" w:hAnsi="Times New Roman" w:eastAsia="宋体" w:cs="Times New Roman"/>
                <w:b w:val="0"/>
                <w:bCs/>
                <w:color w:val="auto"/>
                <w:w w:val="100"/>
                <w:sz w:val="22"/>
                <w:szCs w:val="22"/>
                <w:lang w:val="en-US" w:eastAsia="zh-CN"/>
              </w:rPr>
              <w:t>根据企业提供的资料醋酸乙酯的挥发量约为90%，涂</w:t>
            </w:r>
            <w:r>
              <w:rPr>
                <w:rFonts w:hint="eastAsia" w:ascii="Times New Roman" w:hAnsi="Times New Roman" w:eastAsia="宋体" w:cs="Times New Roman"/>
                <w:b w:val="0"/>
                <w:bCs/>
                <w:color w:val="auto"/>
                <w:w w:val="100"/>
                <w:sz w:val="22"/>
                <w:szCs w:val="22"/>
                <w:lang w:val="en-US" w:eastAsia="zh-CN"/>
              </w:rPr>
              <w:t>料</w:t>
            </w:r>
            <w:r>
              <w:rPr>
                <w:rFonts w:hint="default" w:ascii="Times New Roman" w:hAnsi="Times New Roman" w:eastAsia="宋体" w:cs="Times New Roman"/>
                <w:b w:val="0"/>
                <w:bCs/>
                <w:color w:val="auto"/>
                <w:w w:val="100"/>
                <w:sz w:val="22"/>
                <w:szCs w:val="22"/>
                <w:lang w:val="en-US" w:eastAsia="zh-CN"/>
              </w:rPr>
              <w:t>的挥发量约为5%，约有50%涂</w:t>
            </w:r>
            <w:r>
              <w:rPr>
                <w:rFonts w:hint="eastAsia" w:ascii="Times New Roman" w:hAnsi="Times New Roman" w:eastAsia="宋体" w:cs="Times New Roman"/>
                <w:b w:val="0"/>
                <w:bCs/>
                <w:color w:val="auto"/>
                <w:w w:val="100"/>
                <w:sz w:val="22"/>
                <w:szCs w:val="22"/>
                <w:lang w:val="en-US" w:eastAsia="zh-CN"/>
              </w:rPr>
              <w:t>料</w:t>
            </w:r>
            <w:r>
              <w:rPr>
                <w:rFonts w:hint="default" w:ascii="Times New Roman" w:hAnsi="Times New Roman" w:eastAsia="宋体" w:cs="Times New Roman"/>
                <w:b w:val="0"/>
                <w:bCs/>
                <w:color w:val="auto"/>
                <w:w w:val="100"/>
                <w:sz w:val="22"/>
                <w:szCs w:val="22"/>
                <w:lang w:val="en-US" w:eastAsia="zh-CN"/>
              </w:rPr>
              <w:t>进入产品，</w:t>
            </w:r>
            <w:r>
              <w:rPr>
                <w:rFonts w:hint="default" w:ascii="Times New Roman" w:hAnsi="Times New Roman" w:eastAsia="宋体" w:cs="Times New Roman"/>
                <w:b w:val="0"/>
                <w:bCs/>
                <w:color w:val="auto"/>
                <w:w w:val="100"/>
                <w:sz w:val="22"/>
                <w:szCs w:val="22"/>
              </w:rPr>
              <w:t>则</w:t>
            </w:r>
            <w:r>
              <w:rPr>
                <w:rFonts w:hint="eastAsia" w:ascii="Times New Roman" w:hAnsi="Times New Roman" w:eastAsia="宋体" w:cs="Times New Roman"/>
                <w:b w:val="0"/>
                <w:bCs/>
                <w:color w:val="auto"/>
                <w:w w:val="100"/>
                <w:sz w:val="22"/>
                <w:szCs w:val="22"/>
                <w:lang w:eastAsia="zh-CN"/>
              </w:rPr>
              <w:t>挥发性有机物</w:t>
            </w:r>
            <w:r>
              <w:rPr>
                <w:rFonts w:hint="default" w:ascii="Times New Roman" w:hAnsi="Times New Roman" w:eastAsia="宋体" w:cs="Times New Roman"/>
                <w:b w:val="0"/>
                <w:bCs/>
                <w:color w:val="auto"/>
                <w:w w:val="100"/>
                <w:sz w:val="22"/>
                <w:szCs w:val="22"/>
              </w:rPr>
              <w:t>产生量约为</w:t>
            </w:r>
            <w:r>
              <w:rPr>
                <w:rFonts w:hint="default" w:ascii="Times New Roman" w:hAnsi="Times New Roman" w:eastAsia="宋体" w:cs="Times New Roman"/>
                <w:b w:val="0"/>
                <w:bCs/>
                <w:color w:val="auto"/>
                <w:w w:val="100"/>
                <w:sz w:val="22"/>
                <w:szCs w:val="22"/>
                <w:lang w:val="en-US" w:eastAsia="zh-CN"/>
              </w:rPr>
              <w:t>18.6</w:t>
            </w:r>
            <w:r>
              <w:rPr>
                <w:rFonts w:hint="eastAsia" w:ascii="Times New Roman" w:hAnsi="Times New Roman" w:eastAsia="宋体" w:cs="Times New Roman"/>
                <w:b w:val="0"/>
                <w:bCs/>
                <w:color w:val="auto"/>
                <w:w w:val="100"/>
                <w:sz w:val="22"/>
                <w:szCs w:val="22"/>
                <w:lang w:val="en-US" w:eastAsia="zh-CN"/>
              </w:rPr>
              <w:t>75</w:t>
            </w:r>
            <w:r>
              <w:rPr>
                <w:rFonts w:hint="default" w:ascii="Times New Roman" w:hAnsi="Times New Roman" w:eastAsia="宋体" w:cs="Times New Roman"/>
                <w:b w:val="0"/>
                <w:bCs/>
                <w:color w:val="auto"/>
                <w:w w:val="100"/>
                <w:sz w:val="22"/>
                <w:szCs w:val="22"/>
                <w:lang w:val="en-US" w:eastAsia="zh-CN"/>
              </w:rPr>
              <w:t>t/a</w:t>
            </w:r>
            <w:r>
              <w:rPr>
                <w:rFonts w:hint="default" w:ascii="Times New Roman" w:hAnsi="Times New Roman" w:eastAsia="宋体" w:cs="Times New Roman"/>
                <w:b w:val="0"/>
                <w:bCs/>
                <w:color w:val="auto"/>
                <w:w w:val="100"/>
                <w:sz w:val="22"/>
                <w:szCs w:val="22"/>
                <w:highlight w:val="none"/>
              </w:rPr>
              <w:t>。</w:t>
            </w:r>
          </w:p>
          <w:p w14:paraId="7BD299D9">
            <w:pPr>
              <w:pStyle w:val="34"/>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ind w:leftChars="0" w:firstLine="442" w:firstLineChars="200"/>
              <w:jc w:val="left"/>
              <w:textAlignment w:val="auto"/>
              <w:outlineLvl w:val="9"/>
              <w:rPr>
                <w:rFonts w:hint="default" w:ascii="Times New Roman" w:hAnsi="Times New Roman" w:eastAsia="宋体" w:cs="Times New Roman"/>
                <w:b/>
                <w:bCs/>
                <w:color w:val="auto"/>
                <w:w w:val="100"/>
                <w:kern w:val="0"/>
                <w:sz w:val="22"/>
                <w:szCs w:val="22"/>
                <w:lang w:val="en-US" w:eastAsia="zh-CN" w:bidi="ar-SA"/>
              </w:rPr>
            </w:pPr>
            <w:r>
              <w:rPr>
                <w:rFonts w:hint="default" w:ascii="Times New Roman" w:hAnsi="Times New Roman" w:eastAsia="宋体" w:cs="Times New Roman"/>
                <w:b/>
                <w:bCs/>
                <w:color w:val="auto"/>
                <w:w w:val="100"/>
                <w:kern w:val="0"/>
                <w:sz w:val="22"/>
                <w:szCs w:val="22"/>
                <w:lang w:val="en-US" w:eastAsia="zh-CN" w:bidi="ar-SA"/>
              </w:rPr>
              <w:t>②加热废气（G</w:t>
            </w:r>
            <w:r>
              <w:rPr>
                <w:rFonts w:hint="eastAsia" w:ascii="Times New Roman" w:cs="Times New Roman"/>
                <w:b/>
                <w:bCs/>
                <w:color w:val="auto"/>
                <w:w w:val="100"/>
                <w:kern w:val="0"/>
                <w:sz w:val="22"/>
                <w:szCs w:val="22"/>
                <w:lang w:val="en-US" w:eastAsia="zh-CN" w:bidi="ar-SA"/>
              </w:rPr>
              <w:t>2-8</w:t>
            </w:r>
            <w:r>
              <w:rPr>
                <w:rFonts w:hint="default" w:ascii="Times New Roman" w:hAnsi="Times New Roman" w:eastAsia="宋体" w:cs="Times New Roman"/>
                <w:b/>
                <w:bCs/>
                <w:color w:val="auto"/>
                <w:w w:val="100"/>
                <w:kern w:val="0"/>
                <w:sz w:val="22"/>
                <w:szCs w:val="22"/>
                <w:lang w:val="en-US" w:eastAsia="zh-CN" w:bidi="ar-SA"/>
              </w:rPr>
              <w:t>）</w:t>
            </w:r>
          </w:p>
          <w:p w14:paraId="424FA79A">
            <w:pPr>
              <w:keepNext w:val="0"/>
              <w:keepLines w:val="0"/>
              <w:pageBreakBefore w:val="0"/>
              <w:widowControl w:val="0"/>
              <w:kinsoku/>
              <w:wordWrap/>
              <w:overflowPunct/>
              <w:topLinePunct w:val="0"/>
              <w:autoSpaceDE/>
              <w:autoSpaceDN/>
              <w:bidi w:val="0"/>
              <w:adjustRightInd/>
              <w:snapToGrid/>
              <w:spacing w:line="500" w:lineRule="exact"/>
              <w:ind w:leftChars="0" w:firstLine="440" w:firstLineChars="200"/>
              <w:jc w:val="left"/>
              <w:textAlignment w:val="auto"/>
              <w:outlineLvl w:val="9"/>
              <w:rPr>
                <w:rFonts w:hint="default" w:ascii="Times New Roman" w:hAnsi="Times New Roman" w:eastAsia="宋体" w:cs="Times New Roman"/>
                <w:b w:val="0"/>
                <w:bCs/>
                <w:color w:val="auto"/>
                <w:w w:val="100"/>
                <w:sz w:val="22"/>
                <w:szCs w:val="22"/>
                <w:highlight w:val="none"/>
              </w:rPr>
            </w:pPr>
            <w:r>
              <w:rPr>
                <w:rFonts w:hint="default" w:ascii="Times New Roman" w:hAnsi="Times New Roman" w:eastAsia="宋体" w:cs="Times New Roman"/>
                <w:b w:val="0"/>
                <w:bCs/>
                <w:color w:val="auto"/>
                <w:w w:val="100"/>
                <w:sz w:val="22"/>
                <w:szCs w:val="22"/>
                <w:lang w:val="en-US" w:eastAsia="zh-CN"/>
              </w:rPr>
              <w:t>根据企业提供的资料显示，项目清洗和喷涂过程中有10%左右的醋酸乙酯进入产品中，进入产品的醋酸乙酯在加热过程中挥发出来，即进入产品的醋酸乙酯约2.0</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eastAsia="zh-CN"/>
              </w:rPr>
              <w:t>，进入产品的涂液经加热约有</w:t>
            </w:r>
            <w:r>
              <w:rPr>
                <w:rFonts w:hint="default" w:ascii="Times New Roman" w:hAnsi="Times New Roman" w:eastAsia="宋体" w:cs="Times New Roman"/>
                <w:b w:val="0"/>
                <w:bCs/>
                <w:color w:val="auto"/>
                <w:w w:val="100"/>
                <w:sz w:val="22"/>
                <w:szCs w:val="22"/>
                <w:lang w:val="en-US" w:eastAsia="zh-CN"/>
              </w:rPr>
              <w:t>5%挥发掉，挥发量约为0.3</w:t>
            </w:r>
            <w:r>
              <w:rPr>
                <w:rFonts w:hint="eastAsia" w:ascii="Times New Roman" w:hAnsi="Times New Roman" w:eastAsia="宋体" w:cs="Times New Roman"/>
                <w:b w:val="0"/>
                <w:bCs/>
                <w:color w:val="auto"/>
                <w:w w:val="100"/>
                <w:sz w:val="22"/>
                <w:szCs w:val="22"/>
                <w:lang w:val="en-US" w:eastAsia="zh-CN"/>
              </w:rPr>
              <w:t>38</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lang w:eastAsia="zh-CN"/>
              </w:rPr>
              <w:t>，</w:t>
            </w:r>
            <w:r>
              <w:rPr>
                <w:rFonts w:hint="eastAsia" w:cs="Times New Roman"/>
                <w:b w:val="0"/>
                <w:bCs/>
                <w:color w:val="auto"/>
                <w:w w:val="100"/>
                <w:sz w:val="22"/>
                <w:szCs w:val="22"/>
                <w:lang w:eastAsia="zh-CN"/>
              </w:rPr>
              <w:t>挥发性有机物</w:t>
            </w:r>
            <w:r>
              <w:rPr>
                <w:rFonts w:hint="default" w:ascii="Times New Roman" w:hAnsi="Times New Roman" w:eastAsia="宋体" w:cs="Times New Roman"/>
                <w:b w:val="0"/>
                <w:bCs/>
                <w:color w:val="auto"/>
                <w:w w:val="100"/>
                <w:sz w:val="22"/>
                <w:szCs w:val="22"/>
                <w:lang w:val="en-US" w:eastAsia="zh-CN"/>
              </w:rPr>
              <w:t>的产生量为2.3</w:t>
            </w:r>
            <w:r>
              <w:rPr>
                <w:rFonts w:hint="eastAsia" w:ascii="Times New Roman" w:hAnsi="Times New Roman" w:eastAsia="宋体" w:cs="Times New Roman"/>
                <w:b w:val="0"/>
                <w:bCs/>
                <w:color w:val="auto"/>
                <w:w w:val="100"/>
                <w:sz w:val="22"/>
                <w:szCs w:val="22"/>
                <w:lang w:val="en-US" w:eastAsia="zh-CN"/>
              </w:rPr>
              <w:t>38</w:t>
            </w:r>
            <w:r>
              <w:rPr>
                <w:rFonts w:hint="default" w:ascii="Times New Roman" w:hAnsi="Times New Roman" w:eastAsia="宋体" w:cs="Times New Roman"/>
                <w:b w:val="0"/>
                <w:bCs/>
                <w:color w:val="auto"/>
                <w:w w:val="100"/>
                <w:sz w:val="22"/>
                <w:szCs w:val="22"/>
              </w:rPr>
              <w:t>t/a</w:t>
            </w:r>
            <w:r>
              <w:rPr>
                <w:rFonts w:hint="default" w:ascii="Times New Roman" w:hAnsi="Times New Roman" w:eastAsia="宋体" w:cs="Times New Roman"/>
                <w:b w:val="0"/>
                <w:bCs/>
                <w:color w:val="auto"/>
                <w:w w:val="100"/>
                <w:sz w:val="22"/>
                <w:szCs w:val="22"/>
                <w:highlight w:val="none"/>
              </w:rPr>
              <w:t>。</w:t>
            </w:r>
          </w:p>
          <w:p w14:paraId="2703E181">
            <w:pPr>
              <w:pStyle w:val="28"/>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eastAsia" w:cs="Times New Roman"/>
                <w:b w:val="0"/>
                <w:bCs/>
                <w:color w:val="auto"/>
                <w:w w:val="100"/>
                <w:sz w:val="22"/>
                <w:szCs w:val="22"/>
                <w:lang w:val="en-US" w:eastAsia="zh-CN"/>
              </w:rPr>
            </w:pPr>
            <w:r>
              <w:rPr>
                <w:rFonts w:hint="eastAsia" w:cs="Times New Roman"/>
                <w:b w:val="0"/>
                <w:bCs/>
                <w:color w:val="auto"/>
                <w:w w:val="100"/>
                <w:sz w:val="22"/>
                <w:szCs w:val="22"/>
                <w:lang w:eastAsia="zh-CN"/>
              </w:rPr>
              <w:t>喷涂和加热过程中产生的挥发性有机物</w:t>
            </w:r>
            <w:r>
              <w:rPr>
                <w:rFonts w:hint="eastAsia" w:cs="Times New Roman"/>
                <w:b w:val="0"/>
                <w:bCs/>
                <w:color w:val="auto"/>
                <w:w w:val="100"/>
                <w:sz w:val="22"/>
                <w:szCs w:val="22"/>
                <w:lang w:val="en-US" w:eastAsia="zh-CN"/>
              </w:rPr>
              <w:t>量为21.013t/a，密闭车间负压收集后采用“水喷淋+活性炭吸附脱附+RCO装置”处理后通过15高排气筒DA003排放，收集效率为95%，则有组织</w:t>
            </w:r>
            <w:r>
              <w:rPr>
                <w:rFonts w:hint="eastAsia" w:cs="Times New Roman"/>
                <w:b w:val="0"/>
                <w:bCs/>
                <w:color w:val="auto"/>
                <w:w w:val="100"/>
                <w:sz w:val="22"/>
                <w:szCs w:val="22"/>
                <w:lang w:eastAsia="zh-CN"/>
              </w:rPr>
              <w:t>挥发性有机物</w:t>
            </w:r>
            <w:r>
              <w:rPr>
                <w:rFonts w:hint="eastAsia" w:cs="Times New Roman"/>
                <w:b w:val="0"/>
                <w:bCs/>
                <w:color w:val="auto"/>
                <w:w w:val="100"/>
                <w:sz w:val="22"/>
                <w:szCs w:val="22"/>
                <w:lang w:val="en-US" w:eastAsia="zh-CN"/>
              </w:rPr>
              <w:t>产生量为19.962t/a，根据2021年8月《淮安欣展高分子科技有限公司高分子半导电胶辊生产线技改项目竣工环境保护自主验收报告》中检测数据可知RCO装置的处理效率为92.2%，本项目保守取92%，则</w:t>
            </w:r>
            <w:r>
              <w:rPr>
                <w:rFonts w:hint="eastAsia" w:cs="Times New Roman"/>
                <w:b w:val="0"/>
                <w:bCs/>
                <w:color w:val="auto"/>
                <w:w w:val="100"/>
                <w:sz w:val="22"/>
                <w:szCs w:val="22"/>
                <w:lang w:eastAsia="zh-CN"/>
              </w:rPr>
              <w:t>挥发性有机物</w:t>
            </w:r>
            <w:r>
              <w:rPr>
                <w:rFonts w:hint="eastAsia" w:cs="Times New Roman"/>
                <w:b w:val="0"/>
                <w:bCs/>
                <w:color w:val="auto"/>
                <w:w w:val="100"/>
                <w:sz w:val="22"/>
                <w:szCs w:val="22"/>
                <w:lang w:val="en-US" w:eastAsia="zh-CN"/>
              </w:rPr>
              <w:t>有组织排放量为0.998t/a，无组织排放量为1.051t/a。</w:t>
            </w:r>
          </w:p>
          <w:p w14:paraId="105465F9">
            <w:pPr>
              <w:pStyle w:val="28"/>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eastAsia" w:ascii="Times New Roman" w:cs="Times New Roman"/>
                <w:b w:val="0"/>
                <w:bCs w:val="0"/>
                <w:color w:val="auto"/>
                <w:sz w:val="22"/>
                <w:szCs w:val="22"/>
                <w:lang w:val="en-US" w:eastAsia="zh-CN"/>
              </w:rPr>
            </w:pPr>
            <w:r>
              <w:rPr>
                <w:rFonts w:hint="eastAsia" w:cs="Times New Roman"/>
                <w:b w:val="0"/>
                <w:bCs/>
                <w:color w:val="auto"/>
                <w:w w:val="100"/>
                <w:sz w:val="22"/>
                <w:szCs w:val="22"/>
                <w:lang w:val="en-US" w:eastAsia="zh-CN"/>
              </w:rPr>
              <w:t>本项目废气排放情况详见表4.1-1、表4.1-2。</w:t>
            </w:r>
          </w:p>
          <w:p w14:paraId="1BE3ADF7">
            <w:pPr>
              <w:widowControl/>
              <w:spacing w:line="500" w:lineRule="exact"/>
              <w:jc w:val="center"/>
              <w:rPr>
                <w:rFonts w:hint="default" w:ascii="Times New Roman" w:hAnsi="Times New Roman" w:eastAsia="宋体" w:cs="Times New Roman"/>
                <w:color w:val="auto"/>
                <w:sz w:val="22"/>
                <w:szCs w:val="22"/>
              </w:rPr>
            </w:pPr>
            <w:r>
              <w:rPr>
                <w:rFonts w:hint="eastAsia" w:ascii="Times New Roman" w:cs="Times New Roman"/>
                <w:b/>
                <w:bCs/>
                <w:color w:val="auto"/>
                <w:sz w:val="22"/>
                <w:szCs w:val="22"/>
                <w:lang w:val="en-US" w:eastAsia="zh-CN"/>
              </w:rPr>
              <w:t>表4</w:t>
            </w:r>
            <w:r>
              <w:rPr>
                <w:rFonts w:hint="eastAsia" w:cs="Times New Roman"/>
                <w:b/>
                <w:bCs/>
                <w:color w:val="auto"/>
                <w:sz w:val="22"/>
                <w:szCs w:val="22"/>
                <w:lang w:val="en-US" w:eastAsia="zh-CN"/>
              </w:rPr>
              <w:t>.1</w:t>
            </w:r>
            <w:r>
              <w:rPr>
                <w:rFonts w:hint="eastAsia" w:ascii="Times New Roman" w:cs="Times New Roman"/>
                <w:b/>
                <w:bCs/>
                <w:color w:val="auto"/>
                <w:sz w:val="22"/>
                <w:szCs w:val="22"/>
                <w:lang w:val="en-US" w:eastAsia="zh-CN"/>
              </w:rPr>
              <w:t>-</w:t>
            </w:r>
            <w:r>
              <w:rPr>
                <w:rFonts w:hint="eastAsia" w:cs="Times New Roman"/>
                <w:b/>
                <w:bCs/>
                <w:color w:val="auto"/>
                <w:sz w:val="22"/>
                <w:szCs w:val="22"/>
                <w:lang w:val="en-US" w:eastAsia="zh-CN"/>
              </w:rPr>
              <w:t>1</w:t>
            </w:r>
            <w:r>
              <w:rPr>
                <w:rFonts w:hint="eastAsia" w:ascii="Times New Roman"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rPr>
              <w:t>本项目废气污染物排放源表</w:t>
            </w:r>
          </w:p>
          <w:tbl>
            <w:tblPr>
              <w:tblStyle w:val="44"/>
              <w:tblpPr w:leftFromText="180" w:rightFromText="180" w:vertAnchor="text" w:tblpXSpec="center" w:tblpY="1"/>
              <w:tblOverlap w:val="never"/>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1422"/>
              <w:gridCol w:w="1236"/>
              <w:gridCol w:w="1389"/>
              <w:gridCol w:w="925"/>
              <w:gridCol w:w="1078"/>
              <w:gridCol w:w="646"/>
              <w:gridCol w:w="925"/>
              <w:gridCol w:w="646"/>
              <w:gridCol w:w="779"/>
              <w:gridCol w:w="909"/>
              <w:gridCol w:w="1345"/>
              <w:gridCol w:w="743"/>
              <w:gridCol w:w="985"/>
              <w:gridCol w:w="965"/>
              <w:gridCol w:w="949"/>
              <w:gridCol w:w="808"/>
              <w:gridCol w:w="844"/>
              <w:gridCol w:w="2088"/>
              <w:gridCol w:w="813"/>
              <w:gridCol w:w="675"/>
            </w:tblGrid>
            <w:tr w14:paraId="03C4AA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restart"/>
                  <w:tcBorders>
                    <w:tl2br w:val="nil"/>
                    <w:tr2bl w:val="nil"/>
                  </w:tcBorders>
                  <w:vAlign w:val="center"/>
                </w:tcPr>
                <w:p w14:paraId="501F4C5A">
                  <w:pPr>
                    <w:keepNext w:val="0"/>
                    <w:keepLines w:val="0"/>
                    <w:pageBreakBefore w:val="0"/>
                    <w:widowControl w:val="0"/>
                    <w:kinsoku/>
                    <w:wordWrap/>
                    <w:overflowPunct/>
                    <w:topLinePunct w:val="0"/>
                    <w:autoSpaceDE/>
                    <w:autoSpaceDN/>
                    <w:bidi w:val="0"/>
                    <w:spacing w:line="360" w:lineRule="exact"/>
                    <w:jc w:val="center"/>
                    <w:rPr>
                      <w:rFonts w:hint="eastAsia" w:ascii="Times New Roman" w:hAnsi="Times New Roman" w:eastAsia="宋体" w:cs="Times New Roman"/>
                      <w:b/>
                      <w:bCs/>
                      <w:color w:val="auto"/>
                      <w:sz w:val="21"/>
                      <w:szCs w:val="21"/>
                      <w:lang w:eastAsia="zh-CN"/>
                    </w:rPr>
                  </w:pPr>
                  <w:r>
                    <w:rPr>
                      <w:rFonts w:hint="eastAsia" w:cs="Times New Roman"/>
                      <w:b/>
                      <w:bCs/>
                      <w:color w:val="auto"/>
                      <w:sz w:val="21"/>
                      <w:szCs w:val="21"/>
                      <w:lang w:eastAsia="zh-CN"/>
                    </w:rPr>
                    <w:t>生产线</w:t>
                  </w:r>
                </w:p>
              </w:tc>
              <w:tc>
                <w:tcPr>
                  <w:tcW w:w="306" w:type="pct"/>
                  <w:vMerge w:val="restart"/>
                  <w:tcBorders>
                    <w:tl2br w:val="nil"/>
                    <w:tr2bl w:val="nil"/>
                  </w:tcBorders>
                  <w:vAlign w:val="center"/>
                </w:tcPr>
                <w:p w14:paraId="23A631F3">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产排污环节</w:t>
                  </w:r>
                </w:p>
              </w:tc>
              <w:tc>
                <w:tcPr>
                  <w:tcW w:w="344" w:type="pct"/>
                  <w:vMerge w:val="restart"/>
                  <w:tcBorders>
                    <w:tl2br w:val="nil"/>
                    <w:tr2bl w:val="nil"/>
                  </w:tcBorders>
                  <w:vAlign w:val="center"/>
                </w:tcPr>
                <w:p w14:paraId="61B92E6D">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污染物种类</w:t>
                  </w:r>
                </w:p>
              </w:tc>
              <w:tc>
                <w:tcPr>
                  <w:tcW w:w="229" w:type="pct"/>
                  <w:vMerge w:val="restart"/>
                  <w:tcBorders>
                    <w:tl2br w:val="nil"/>
                    <w:tr2bl w:val="nil"/>
                  </w:tcBorders>
                  <w:vAlign w:val="center"/>
                </w:tcPr>
                <w:p w14:paraId="32ACDC7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污染物产生量t/a</w:t>
                  </w:r>
                </w:p>
              </w:tc>
              <w:tc>
                <w:tcPr>
                  <w:tcW w:w="267" w:type="pct"/>
                  <w:vMerge w:val="restart"/>
                  <w:tcBorders>
                    <w:tl2br w:val="nil"/>
                    <w:tr2bl w:val="nil"/>
                  </w:tcBorders>
                  <w:vAlign w:val="center"/>
                </w:tcPr>
                <w:p w14:paraId="7C7F1C57">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收集措施</w:t>
                  </w:r>
                </w:p>
              </w:tc>
              <w:tc>
                <w:tcPr>
                  <w:tcW w:w="160" w:type="pct"/>
                  <w:vMerge w:val="restart"/>
                  <w:tcBorders>
                    <w:tl2br w:val="nil"/>
                    <w:tr2bl w:val="nil"/>
                  </w:tcBorders>
                  <w:vAlign w:val="center"/>
                </w:tcPr>
                <w:p w14:paraId="4ABDAD6E">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收集效率%</w:t>
                  </w:r>
                </w:p>
              </w:tc>
              <w:tc>
                <w:tcPr>
                  <w:tcW w:w="582" w:type="pct"/>
                  <w:gridSpan w:val="3"/>
                  <w:tcBorders>
                    <w:tl2br w:val="nil"/>
                    <w:tr2bl w:val="nil"/>
                  </w:tcBorders>
                  <w:vAlign w:val="center"/>
                </w:tcPr>
                <w:p w14:paraId="654CB923">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有组织产生情况</w:t>
                  </w:r>
                </w:p>
              </w:tc>
              <w:tc>
                <w:tcPr>
                  <w:tcW w:w="225" w:type="pct"/>
                  <w:vMerge w:val="restart"/>
                  <w:tcBorders>
                    <w:tl2br w:val="nil"/>
                    <w:tr2bl w:val="nil"/>
                  </w:tcBorders>
                  <w:vAlign w:val="center"/>
                </w:tcPr>
                <w:p w14:paraId="74F3767E">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w:t>
                  </w:r>
                </w:p>
                <w:p w14:paraId="18D8FE56">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形式</w:t>
                  </w:r>
                </w:p>
              </w:tc>
              <w:tc>
                <w:tcPr>
                  <w:tcW w:w="1000" w:type="pct"/>
                  <w:gridSpan w:val="4"/>
                  <w:tcBorders>
                    <w:tl2br w:val="nil"/>
                    <w:tr2bl w:val="nil"/>
                  </w:tcBorders>
                  <w:vAlign w:val="center"/>
                </w:tcPr>
                <w:p w14:paraId="47A5E7E8">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治理设施</w:t>
                  </w:r>
                </w:p>
              </w:tc>
              <w:tc>
                <w:tcPr>
                  <w:tcW w:w="644" w:type="pct"/>
                  <w:gridSpan w:val="3"/>
                  <w:tcBorders>
                    <w:tl2br w:val="nil"/>
                    <w:tr2bl w:val="nil"/>
                  </w:tcBorders>
                  <w:vAlign w:val="center"/>
                </w:tcPr>
                <w:p w14:paraId="1A127C48">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有组织排放情况</w:t>
                  </w:r>
                </w:p>
              </w:tc>
              <w:tc>
                <w:tcPr>
                  <w:tcW w:w="517" w:type="pct"/>
                  <w:vMerge w:val="restart"/>
                  <w:tcBorders>
                    <w:tl2br w:val="nil"/>
                    <w:tr2bl w:val="nil"/>
                  </w:tcBorders>
                  <w:vAlign w:val="center"/>
                </w:tcPr>
                <w:p w14:paraId="1D62D5A3">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排放口基本情况</w:t>
                  </w:r>
                </w:p>
              </w:tc>
              <w:tc>
                <w:tcPr>
                  <w:tcW w:w="368" w:type="pct"/>
                  <w:gridSpan w:val="2"/>
                  <w:tcBorders>
                    <w:tl2br w:val="nil"/>
                    <w:tr2bl w:val="nil"/>
                  </w:tcBorders>
                  <w:vAlign w:val="center"/>
                </w:tcPr>
                <w:p w14:paraId="06503FD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排放标准</w:t>
                  </w:r>
                </w:p>
              </w:tc>
            </w:tr>
            <w:tr w14:paraId="5201FF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408FA4C0">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1DA52281">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vMerge w:val="continue"/>
                  <w:tcBorders>
                    <w:tl2br w:val="nil"/>
                    <w:tr2bl w:val="nil"/>
                  </w:tcBorders>
                  <w:vAlign w:val="center"/>
                </w:tcPr>
                <w:p w14:paraId="14092E55">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229" w:type="pct"/>
                  <w:vMerge w:val="continue"/>
                  <w:tcBorders>
                    <w:tl2br w:val="nil"/>
                    <w:tr2bl w:val="nil"/>
                  </w:tcBorders>
                  <w:vAlign w:val="center"/>
                </w:tcPr>
                <w:p w14:paraId="1FAD5035">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267" w:type="pct"/>
                  <w:vMerge w:val="continue"/>
                  <w:tcBorders>
                    <w:tl2br w:val="nil"/>
                    <w:tr2bl w:val="nil"/>
                  </w:tcBorders>
                  <w:vAlign w:val="center"/>
                </w:tcPr>
                <w:p w14:paraId="11661D6C">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160" w:type="pct"/>
                  <w:vMerge w:val="continue"/>
                  <w:tcBorders>
                    <w:tl2br w:val="nil"/>
                    <w:tr2bl w:val="nil"/>
                  </w:tcBorders>
                  <w:vAlign w:val="center"/>
                </w:tcPr>
                <w:p w14:paraId="310E8F0E">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229" w:type="pct"/>
                  <w:tcBorders>
                    <w:tl2br w:val="nil"/>
                    <w:tr2bl w:val="nil"/>
                  </w:tcBorders>
                  <w:vAlign w:val="center"/>
                </w:tcPr>
                <w:p w14:paraId="5CBF96B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kern w:val="0"/>
                      <w:sz w:val="21"/>
                      <w:szCs w:val="21"/>
                    </w:rPr>
                    <w:t>浓度mg/m</w:t>
                  </w:r>
                  <w:r>
                    <w:rPr>
                      <w:rFonts w:hint="default" w:ascii="Times New Roman" w:hAnsi="Times New Roman" w:eastAsia="宋体" w:cs="Times New Roman"/>
                      <w:b/>
                      <w:bCs/>
                      <w:color w:val="auto"/>
                      <w:kern w:val="0"/>
                      <w:sz w:val="21"/>
                      <w:szCs w:val="21"/>
                      <w:vertAlign w:val="superscript"/>
                    </w:rPr>
                    <w:t>3</w:t>
                  </w:r>
                </w:p>
              </w:tc>
              <w:tc>
                <w:tcPr>
                  <w:tcW w:w="160" w:type="pct"/>
                  <w:tcBorders>
                    <w:tl2br w:val="nil"/>
                    <w:tr2bl w:val="nil"/>
                  </w:tcBorders>
                  <w:vAlign w:val="center"/>
                </w:tcPr>
                <w:p w14:paraId="4AB7686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sz w:val="21"/>
                      <w:szCs w:val="21"/>
                    </w:rPr>
                    <w:t>速率kg/h</w:t>
                  </w:r>
                </w:p>
              </w:tc>
              <w:tc>
                <w:tcPr>
                  <w:tcW w:w="193" w:type="pct"/>
                  <w:tcBorders>
                    <w:tl2br w:val="nil"/>
                    <w:tr2bl w:val="nil"/>
                  </w:tcBorders>
                  <w:vAlign w:val="center"/>
                </w:tcPr>
                <w:p w14:paraId="4DF8C0B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产生量t/a</w:t>
                  </w:r>
                </w:p>
              </w:tc>
              <w:tc>
                <w:tcPr>
                  <w:tcW w:w="225" w:type="pct"/>
                  <w:vMerge w:val="continue"/>
                  <w:tcBorders>
                    <w:tl2br w:val="nil"/>
                    <w:tr2bl w:val="nil"/>
                  </w:tcBorders>
                  <w:vAlign w:val="center"/>
                </w:tcPr>
                <w:p w14:paraId="4FF695B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333" w:type="pct"/>
                  <w:tcBorders>
                    <w:tl2br w:val="nil"/>
                    <w:tr2bl w:val="nil"/>
                  </w:tcBorders>
                  <w:vAlign w:val="center"/>
                </w:tcPr>
                <w:p w14:paraId="7A7EDCB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84" w:type="pct"/>
                  <w:tcBorders>
                    <w:tl2br w:val="nil"/>
                    <w:tr2bl w:val="nil"/>
                  </w:tcBorders>
                  <w:vAlign w:val="center"/>
                </w:tcPr>
                <w:p w14:paraId="7822C96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b/>
                      <w:bCs/>
                      <w:color w:val="auto"/>
                      <w:kern w:val="0"/>
                      <w:sz w:val="21"/>
                      <w:szCs w:val="21"/>
                      <w:lang w:eastAsia="zh-CN"/>
                    </w:rPr>
                  </w:pPr>
                  <w:r>
                    <w:rPr>
                      <w:rFonts w:hint="default" w:ascii="Times New Roman" w:hAnsi="Times New Roman" w:eastAsia="宋体" w:cs="Times New Roman"/>
                      <w:b/>
                      <w:bCs/>
                      <w:color w:val="auto"/>
                      <w:kern w:val="0"/>
                      <w:sz w:val="21"/>
                      <w:szCs w:val="21"/>
                      <w:lang w:eastAsia="zh-CN"/>
                    </w:rPr>
                    <w:t>风量m</w:t>
                  </w:r>
                  <w:r>
                    <w:rPr>
                      <w:rFonts w:hint="default" w:ascii="Times New Roman" w:hAnsi="Times New Roman" w:eastAsia="宋体" w:cs="Times New Roman"/>
                      <w:b/>
                      <w:bCs/>
                      <w:color w:val="auto"/>
                      <w:kern w:val="0"/>
                      <w:sz w:val="21"/>
                      <w:szCs w:val="21"/>
                      <w:vertAlign w:val="superscript"/>
                      <w:lang w:eastAsia="zh-CN"/>
                    </w:rPr>
                    <w:t>3</w:t>
                  </w:r>
                  <w:r>
                    <w:rPr>
                      <w:rFonts w:hint="default" w:ascii="Times New Roman" w:hAnsi="Times New Roman" w:eastAsia="宋体" w:cs="Times New Roman"/>
                      <w:b/>
                      <w:bCs/>
                      <w:color w:val="auto"/>
                      <w:kern w:val="0"/>
                      <w:sz w:val="21"/>
                      <w:szCs w:val="21"/>
                      <w:lang w:eastAsia="zh-CN"/>
                    </w:rPr>
                    <w:t>/h</w:t>
                  </w:r>
                </w:p>
              </w:tc>
              <w:tc>
                <w:tcPr>
                  <w:tcW w:w="244" w:type="pct"/>
                  <w:tcBorders>
                    <w:tl2br w:val="nil"/>
                    <w:tr2bl w:val="nil"/>
                  </w:tcBorders>
                  <w:vAlign w:val="center"/>
                </w:tcPr>
                <w:p w14:paraId="01C2FD9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治理工艺去除率%</w:t>
                  </w:r>
                </w:p>
              </w:tc>
              <w:tc>
                <w:tcPr>
                  <w:tcW w:w="239" w:type="pct"/>
                  <w:tcBorders>
                    <w:tl2br w:val="nil"/>
                    <w:tr2bl w:val="nil"/>
                  </w:tcBorders>
                  <w:vAlign w:val="center"/>
                </w:tcPr>
                <w:p w14:paraId="51751A5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是否为可行技术</w:t>
                  </w:r>
                </w:p>
              </w:tc>
              <w:tc>
                <w:tcPr>
                  <w:tcW w:w="235" w:type="pct"/>
                  <w:tcBorders>
                    <w:tl2br w:val="nil"/>
                    <w:tr2bl w:val="nil"/>
                  </w:tcBorders>
                  <w:vAlign w:val="center"/>
                </w:tcPr>
                <w:p w14:paraId="3E12DC7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kern w:val="0"/>
                      <w:sz w:val="21"/>
                      <w:szCs w:val="21"/>
                    </w:rPr>
                    <w:t>浓度mg/m</w:t>
                  </w:r>
                  <w:r>
                    <w:rPr>
                      <w:rFonts w:hint="default" w:ascii="Times New Roman" w:hAnsi="Times New Roman" w:eastAsia="宋体" w:cs="Times New Roman"/>
                      <w:b/>
                      <w:bCs/>
                      <w:color w:val="auto"/>
                      <w:kern w:val="0"/>
                      <w:sz w:val="21"/>
                      <w:szCs w:val="21"/>
                      <w:vertAlign w:val="superscript"/>
                    </w:rPr>
                    <w:t>3</w:t>
                  </w:r>
                </w:p>
              </w:tc>
              <w:tc>
                <w:tcPr>
                  <w:tcW w:w="200" w:type="pct"/>
                  <w:tcBorders>
                    <w:tl2br w:val="nil"/>
                    <w:tr2bl w:val="nil"/>
                  </w:tcBorders>
                  <w:vAlign w:val="center"/>
                </w:tcPr>
                <w:p w14:paraId="3609F1C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sz w:val="21"/>
                      <w:szCs w:val="21"/>
                    </w:rPr>
                    <w:t>速率kg/h</w:t>
                  </w:r>
                </w:p>
              </w:tc>
              <w:tc>
                <w:tcPr>
                  <w:tcW w:w="209" w:type="pct"/>
                  <w:tcBorders>
                    <w:tl2br w:val="nil"/>
                    <w:tr2bl w:val="nil"/>
                  </w:tcBorders>
                  <w:vAlign w:val="center"/>
                </w:tcPr>
                <w:p w14:paraId="701B8719">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eastAsia="zh-CN"/>
                    </w:rPr>
                    <w:t>排放</w:t>
                  </w:r>
                  <w:r>
                    <w:rPr>
                      <w:rFonts w:hint="default" w:ascii="Times New Roman" w:hAnsi="Times New Roman" w:eastAsia="宋体" w:cs="Times New Roman"/>
                      <w:b/>
                      <w:bCs/>
                      <w:color w:val="auto"/>
                      <w:sz w:val="21"/>
                      <w:szCs w:val="21"/>
                    </w:rPr>
                    <w:t>量t/a</w:t>
                  </w:r>
                </w:p>
              </w:tc>
              <w:tc>
                <w:tcPr>
                  <w:tcW w:w="517" w:type="pct"/>
                  <w:vMerge w:val="continue"/>
                  <w:tcBorders>
                    <w:tl2br w:val="nil"/>
                    <w:tr2bl w:val="nil"/>
                  </w:tcBorders>
                  <w:vAlign w:val="center"/>
                </w:tcPr>
                <w:p w14:paraId="43D2503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vAlign w:val="center"/>
                </w:tcPr>
                <w:p w14:paraId="6881B44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kern w:val="0"/>
                      <w:sz w:val="21"/>
                      <w:szCs w:val="21"/>
                    </w:rPr>
                    <w:t>浓度mg/m</w:t>
                  </w:r>
                  <w:r>
                    <w:rPr>
                      <w:rFonts w:hint="default" w:ascii="Times New Roman" w:hAnsi="Times New Roman" w:eastAsia="宋体" w:cs="Times New Roman"/>
                      <w:b/>
                      <w:bCs/>
                      <w:color w:val="auto"/>
                      <w:kern w:val="0"/>
                      <w:sz w:val="21"/>
                      <w:szCs w:val="21"/>
                      <w:vertAlign w:val="superscript"/>
                    </w:rPr>
                    <w:t>3</w:t>
                  </w:r>
                </w:p>
              </w:tc>
              <w:tc>
                <w:tcPr>
                  <w:tcW w:w="167" w:type="pct"/>
                  <w:tcBorders>
                    <w:tl2br w:val="nil"/>
                    <w:tr2bl w:val="nil"/>
                  </w:tcBorders>
                  <w:vAlign w:val="center"/>
                </w:tcPr>
                <w:p w14:paraId="6FA7B07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bCs/>
                      <w:color w:val="auto"/>
                      <w:sz w:val="21"/>
                      <w:szCs w:val="21"/>
                    </w:rPr>
                    <w:t>速率kg/h</w:t>
                  </w:r>
                </w:p>
              </w:tc>
            </w:tr>
            <w:tr w14:paraId="4E63EA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restart"/>
                  <w:tcBorders>
                    <w:tl2br w:val="nil"/>
                    <w:tr2bl w:val="nil"/>
                  </w:tcBorders>
                  <w:vAlign w:val="center"/>
                </w:tcPr>
                <w:p w14:paraId="23FAE76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橡胶条生产线和导电胶辊生产线共用工序</w:t>
                  </w:r>
                </w:p>
              </w:tc>
              <w:tc>
                <w:tcPr>
                  <w:tcW w:w="306" w:type="pct"/>
                  <w:vMerge w:val="restart"/>
                  <w:tcBorders>
                    <w:tl2br w:val="nil"/>
                    <w:tr2bl w:val="nil"/>
                  </w:tcBorders>
                  <w:vAlign w:val="center"/>
                </w:tcPr>
                <w:p w14:paraId="161C728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配</w:t>
                  </w:r>
                  <w:r>
                    <w:rPr>
                      <w:rFonts w:hint="default" w:ascii="Times New Roman" w:hAnsi="Times New Roman" w:eastAsia="宋体" w:cs="Times New Roman"/>
                      <w:color w:val="auto"/>
                      <w:w w:val="100"/>
                      <w:kern w:val="2"/>
                      <w:sz w:val="21"/>
                      <w:szCs w:val="21"/>
                      <w:lang w:val="en-US" w:eastAsia="zh-CN" w:bidi="ar-SA"/>
                    </w:rPr>
                    <w:t>料、混炼</w:t>
                  </w:r>
                </w:p>
              </w:tc>
              <w:tc>
                <w:tcPr>
                  <w:tcW w:w="344" w:type="pct"/>
                  <w:tcBorders>
                    <w:tl2br w:val="nil"/>
                    <w:tr2bl w:val="nil"/>
                  </w:tcBorders>
                  <w:shd w:val="clear" w:color="auto" w:fill="auto"/>
                  <w:vAlign w:val="center"/>
                </w:tcPr>
                <w:p w14:paraId="3188052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挥发性有机物</w:t>
                  </w:r>
                </w:p>
              </w:tc>
              <w:tc>
                <w:tcPr>
                  <w:tcW w:w="229" w:type="pct"/>
                  <w:tcBorders>
                    <w:tl2br w:val="nil"/>
                    <w:tr2bl w:val="nil"/>
                  </w:tcBorders>
                  <w:shd w:val="clear" w:color="auto" w:fill="auto"/>
                  <w:vAlign w:val="center"/>
                </w:tcPr>
                <w:p w14:paraId="3D9AC7FE">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6.065</w:t>
                  </w:r>
                </w:p>
              </w:tc>
              <w:tc>
                <w:tcPr>
                  <w:tcW w:w="267" w:type="pct"/>
                  <w:tcBorders>
                    <w:tl2br w:val="nil"/>
                    <w:tr2bl w:val="nil"/>
                  </w:tcBorders>
                  <w:shd w:val="clear" w:color="auto" w:fill="auto"/>
                  <w:vAlign w:val="center"/>
                </w:tcPr>
                <w:p w14:paraId="0D63DA08">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密闭车间</w:t>
                  </w:r>
                </w:p>
              </w:tc>
              <w:tc>
                <w:tcPr>
                  <w:tcW w:w="160" w:type="pct"/>
                  <w:tcBorders>
                    <w:tl2br w:val="nil"/>
                    <w:tr2bl w:val="nil"/>
                  </w:tcBorders>
                  <w:shd w:val="clear" w:color="auto" w:fill="auto"/>
                  <w:vAlign w:val="center"/>
                </w:tcPr>
                <w:p w14:paraId="5AFA9D1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shd w:val="clear" w:color="auto" w:fill="auto"/>
                  <w:vAlign w:val="center"/>
                </w:tcPr>
                <w:p w14:paraId="27EB33DC">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80.024</w:t>
                  </w:r>
                </w:p>
              </w:tc>
              <w:tc>
                <w:tcPr>
                  <w:tcW w:w="160" w:type="pct"/>
                  <w:tcBorders>
                    <w:tl2br w:val="nil"/>
                    <w:tr2bl w:val="nil"/>
                  </w:tcBorders>
                  <w:shd w:val="clear" w:color="auto" w:fill="auto"/>
                  <w:vAlign w:val="center"/>
                </w:tcPr>
                <w:p w14:paraId="3132B56D">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0.800</w:t>
                  </w:r>
                </w:p>
              </w:tc>
              <w:tc>
                <w:tcPr>
                  <w:tcW w:w="193" w:type="pct"/>
                  <w:tcBorders>
                    <w:tl2br w:val="nil"/>
                    <w:tr2bl w:val="nil"/>
                  </w:tcBorders>
                  <w:shd w:val="clear" w:color="auto" w:fill="auto"/>
                  <w:vAlign w:val="center"/>
                </w:tcPr>
                <w:p w14:paraId="07461148">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5.762</w:t>
                  </w:r>
                </w:p>
              </w:tc>
              <w:tc>
                <w:tcPr>
                  <w:tcW w:w="225" w:type="pct"/>
                  <w:tcBorders>
                    <w:tl2br w:val="nil"/>
                    <w:tr2bl w:val="nil"/>
                  </w:tcBorders>
                  <w:shd w:val="clear" w:color="auto" w:fill="auto"/>
                  <w:vAlign w:val="center"/>
                </w:tcPr>
                <w:p w14:paraId="08A1F66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有组织</w:t>
                  </w:r>
                </w:p>
              </w:tc>
              <w:tc>
                <w:tcPr>
                  <w:tcW w:w="333" w:type="pct"/>
                  <w:vMerge w:val="restart"/>
                  <w:tcBorders>
                    <w:tl2br w:val="nil"/>
                    <w:tr2bl w:val="nil"/>
                  </w:tcBorders>
                  <w:vAlign w:val="center"/>
                </w:tcPr>
                <w:p w14:paraId="09D1EE8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eastAsia="zh-CN"/>
                    </w:rPr>
                    <w:t>布袋除尘器</w:t>
                  </w:r>
                  <w:r>
                    <w:rPr>
                      <w:rFonts w:hint="default" w:ascii="Times New Roman" w:hAnsi="Times New Roman" w:eastAsia="宋体" w:cs="Times New Roman"/>
                      <w:color w:val="auto"/>
                      <w:kern w:val="0"/>
                      <w:sz w:val="21"/>
                      <w:szCs w:val="21"/>
                      <w:lang w:val="en-US" w:eastAsia="zh-CN"/>
                    </w:rPr>
                    <w:t>+二级活性炭吸附装置</w:t>
                  </w:r>
                </w:p>
              </w:tc>
              <w:tc>
                <w:tcPr>
                  <w:tcW w:w="184" w:type="pct"/>
                  <w:vMerge w:val="restart"/>
                  <w:tcBorders>
                    <w:tl2br w:val="nil"/>
                    <w:tr2bl w:val="nil"/>
                  </w:tcBorders>
                  <w:vAlign w:val="center"/>
                </w:tcPr>
                <w:p w14:paraId="706EFCF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shd w:val="clear" w:color="auto" w:fill="auto"/>
                  <w:vAlign w:val="center"/>
                </w:tcPr>
                <w:p w14:paraId="3EB5F3B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shd w:val="clear" w:color="auto" w:fill="auto"/>
                  <w:vAlign w:val="center"/>
                </w:tcPr>
                <w:p w14:paraId="4FB3B6A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4C9C9BBC">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7.202</w:t>
                  </w:r>
                </w:p>
              </w:tc>
              <w:tc>
                <w:tcPr>
                  <w:tcW w:w="200" w:type="pct"/>
                  <w:tcBorders>
                    <w:tl2br w:val="nil"/>
                    <w:tr2bl w:val="nil"/>
                  </w:tcBorders>
                  <w:vAlign w:val="center"/>
                </w:tcPr>
                <w:p w14:paraId="1E5A75CE">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0.072</w:t>
                  </w:r>
                </w:p>
              </w:tc>
              <w:tc>
                <w:tcPr>
                  <w:tcW w:w="209" w:type="pct"/>
                  <w:tcBorders>
                    <w:tl2br w:val="nil"/>
                    <w:tr2bl w:val="nil"/>
                  </w:tcBorders>
                  <w:vAlign w:val="center"/>
                </w:tcPr>
                <w:p w14:paraId="1E39D13E">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0.519</w:t>
                  </w:r>
                </w:p>
              </w:tc>
              <w:tc>
                <w:tcPr>
                  <w:tcW w:w="517" w:type="pct"/>
                  <w:vMerge w:val="restart"/>
                  <w:tcBorders>
                    <w:tl2br w:val="nil"/>
                    <w:tr2bl w:val="nil"/>
                  </w:tcBorders>
                  <w:vAlign w:val="center"/>
                </w:tcPr>
                <w:p w14:paraId="53531A5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DA001，高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72</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251FA5A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10</w:t>
                  </w:r>
                </w:p>
              </w:tc>
              <w:tc>
                <w:tcPr>
                  <w:tcW w:w="167" w:type="pct"/>
                  <w:tcBorders>
                    <w:tl2br w:val="nil"/>
                    <w:tr2bl w:val="nil"/>
                  </w:tcBorders>
                  <w:vAlign w:val="center"/>
                </w:tcPr>
                <w:p w14:paraId="7AFEF27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r>
            <w:tr w14:paraId="0DE6DE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1A77FC9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p>
              </w:tc>
              <w:tc>
                <w:tcPr>
                  <w:tcW w:w="306" w:type="pct"/>
                  <w:vMerge w:val="continue"/>
                  <w:tcBorders>
                    <w:tl2br w:val="nil"/>
                    <w:tr2bl w:val="nil"/>
                  </w:tcBorders>
                  <w:shd w:val="clear" w:color="auto" w:fill="auto"/>
                  <w:vAlign w:val="center"/>
                </w:tcPr>
                <w:p w14:paraId="650D889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p>
              </w:tc>
              <w:tc>
                <w:tcPr>
                  <w:tcW w:w="344" w:type="pct"/>
                  <w:tcBorders>
                    <w:tl2br w:val="nil"/>
                    <w:tr2bl w:val="nil"/>
                  </w:tcBorders>
                  <w:shd w:val="clear" w:color="auto" w:fill="auto"/>
                  <w:vAlign w:val="center"/>
                </w:tcPr>
                <w:p w14:paraId="1E51DB5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eastAsia="zh-CN"/>
                    </w:rPr>
                    <w:t>乙醇</w:t>
                  </w:r>
                </w:p>
              </w:tc>
              <w:tc>
                <w:tcPr>
                  <w:tcW w:w="229" w:type="pct"/>
                  <w:tcBorders>
                    <w:tl2br w:val="nil"/>
                    <w:tr2bl w:val="nil"/>
                  </w:tcBorders>
                  <w:shd w:val="clear" w:color="auto" w:fill="auto"/>
                  <w:vAlign w:val="center"/>
                </w:tcPr>
                <w:p w14:paraId="61FB7B7F">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2.0</w:t>
                  </w:r>
                </w:p>
              </w:tc>
              <w:tc>
                <w:tcPr>
                  <w:tcW w:w="267" w:type="pct"/>
                  <w:tcBorders>
                    <w:tl2br w:val="nil"/>
                    <w:tr2bl w:val="nil"/>
                  </w:tcBorders>
                  <w:shd w:val="clear" w:color="auto" w:fill="auto"/>
                  <w:vAlign w:val="center"/>
                </w:tcPr>
                <w:p w14:paraId="56529BEC">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密闭车间</w:t>
                  </w:r>
                </w:p>
              </w:tc>
              <w:tc>
                <w:tcPr>
                  <w:tcW w:w="160" w:type="pct"/>
                  <w:tcBorders>
                    <w:tl2br w:val="nil"/>
                    <w:tr2bl w:val="nil"/>
                  </w:tcBorders>
                  <w:shd w:val="clear" w:color="auto" w:fill="auto"/>
                  <w:vAlign w:val="center"/>
                </w:tcPr>
                <w:p w14:paraId="02A2ED44">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149772C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26.389</w:t>
                  </w:r>
                </w:p>
              </w:tc>
              <w:tc>
                <w:tcPr>
                  <w:tcW w:w="160" w:type="pct"/>
                  <w:tcBorders>
                    <w:tl2br w:val="nil"/>
                    <w:tr2bl w:val="nil"/>
                  </w:tcBorders>
                  <w:vAlign w:val="center"/>
                </w:tcPr>
                <w:p w14:paraId="694BF0C4">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0.264</w:t>
                  </w:r>
                </w:p>
              </w:tc>
              <w:tc>
                <w:tcPr>
                  <w:tcW w:w="193" w:type="pct"/>
                  <w:tcBorders>
                    <w:tl2br w:val="nil"/>
                    <w:tr2bl w:val="nil"/>
                  </w:tcBorders>
                  <w:vAlign w:val="center"/>
                </w:tcPr>
                <w:p w14:paraId="6A61E13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1.900</w:t>
                  </w:r>
                </w:p>
              </w:tc>
              <w:tc>
                <w:tcPr>
                  <w:tcW w:w="225" w:type="pct"/>
                  <w:tcBorders>
                    <w:tl2br w:val="nil"/>
                    <w:tr2bl w:val="nil"/>
                  </w:tcBorders>
                  <w:vAlign w:val="center"/>
                </w:tcPr>
                <w:p w14:paraId="719E5FB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074887E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184" w:type="pct"/>
                  <w:vMerge w:val="continue"/>
                  <w:tcBorders>
                    <w:tl2br w:val="nil"/>
                    <w:tr2bl w:val="nil"/>
                  </w:tcBorders>
                  <w:vAlign w:val="center"/>
                </w:tcPr>
                <w:p w14:paraId="1B0162B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44" w:type="pct"/>
                  <w:tcBorders>
                    <w:tl2br w:val="nil"/>
                    <w:tr2bl w:val="nil"/>
                  </w:tcBorders>
                  <w:shd w:val="clear" w:color="auto" w:fill="auto"/>
                  <w:vAlign w:val="center"/>
                </w:tcPr>
                <w:p w14:paraId="60FA1E4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shd w:val="clear" w:color="auto" w:fill="auto"/>
                  <w:vAlign w:val="center"/>
                </w:tcPr>
                <w:p w14:paraId="0E739E2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04F3681A">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2.375</w:t>
                  </w:r>
                </w:p>
              </w:tc>
              <w:tc>
                <w:tcPr>
                  <w:tcW w:w="200" w:type="pct"/>
                  <w:tcBorders>
                    <w:tl2br w:val="nil"/>
                    <w:tr2bl w:val="nil"/>
                  </w:tcBorders>
                  <w:vAlign w:val="center"/>
                </w:tcPr>
                <w:p w14:paraId="5C2502AB">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0.024</w:t>
                  </w:r>
                </w:p>
              </w:tc>
              <w:tc>
                <w:tcPr>
                  <w:tcW w:w="209" w:type="pct"/>
                  <w:tcBorders>
                    <w:tl2br w:val="nil"/>
                    <w:tr2bl w:val="nil"/>
                  </w:tcBorders>
                  <w:vAlign w:val="center"/>
                </w:tcPr>
                <w:p w14:paraId="663D555C">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0.171</w:t>
                  </w:r>
                </w:p>
              </w:tc>
              <w:tc>
                <w:tcPr>
                  <w:tcW w:w="517" w:type="pct"/>
                  <w:vMerge w:val="continue"/>
                  <w:tcBorders>
                    <w:tl2br w:val="nil"/>
                    <w:tr2bl w:val="nil"/>
                  </w:tcBorders>
                  <w:vAlign w:val="center"/>
                </w:tcPr>
                <w:p w14:paraId="733A362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shd w:val="clear" w:color="auto" w:fill="auto"/>
                  <w:vAlign w:val="center"/>
                </w:tcPr>
                <w:p w14:paraId="5FE4CF6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10</w:t>
                  </w:r>
                </w:p>
              </w:tc>
              <w:tc>
                <w:tcPr>
                  <w:tcW w:w="167" w:type="pct"/>
                  <w:tcBorders>
                    <w:tl2br w:val="nil"/>
                    <w:tr2bl w:val="nil"/>
                  </w:tcBorders>
                  <w:shd w:val="clear" w:color="auto" w:fill="auto"/>
                  <w:vAlign w:val="center"/>
                </w:tcPr>
                <w:p w14:paraId="03A5548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3599E8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77FF7A0F">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p>
              </w:tc>
              <w:tc>
                <w:tcPr>
                  <w:tcW w:w="306" w:type="pct"/>
                  <w:vMerge w:val="continue"/>
                  <w:tcBorders>
                    <w:tl2br w:val="nil"/>
                    <w:tr2bl w:val="nil"/>
                  </w:tcBorders>
                  <w:shd w:val="clear" w:color="auto" w:fill="auto"/>
                  <w:vAlign w:val="center"/>
                </w:tcPr>
                <w:p w14:paraId="629BCE9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p>
              </w:tc>
              <w:tc>
                <w:tcPr>
                  <w:tcW w:w="344" w:type="pct"/>
                  <w:tcBorders>
                    <w:tl2br w:val="nil"/>
                    <w:tr2bl w:val="nil"/>
                  </w:tcBorders>
                  <w:shd w:val="clear" w:color="auto" w:fill="auto"/>
                  <w:vAlign w:val="center"/>
                </w:tcPr>
                <w:p w14:paraId="5848D0B7">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229" w:type="pct"/>
                  <w:tcBorders>
                    <w:tl2br w:val="nil"/>
                    <w:tr2bl w:val="nil"/>
                  </w:tcBorders>
                  <w:shd w:val="clear" w:color="auto" w:fill="auto"/>
                  <w:vAlign w:val="center"/>
                </w:tcPr>
                <w:p w14:paraId="5EF25E5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8.396</w:t>
                  </w:r>
                </w:p>
              </w:tc>
              <w:tc>
                <w:tcPr>
                  <w:tcW w:w="267" w:type="pct"/>
                  <w:tcBorders>
                    <w:tl2br w:val="nil"/>
                    <w:tr2bl w:val="nil"/>
                  </w:tcBorders>
                  <w:vAlign w:val="center"/>
                </w:tcPr>
                <w:p w14:paraId="3051DABF">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密闭车间</w:t>
                  </w:r>
                </w:p>
              </w:tc>
              <w:tc>
                <w:tcPr>
                  <w:tcW w:w="160" w:type="pct"/>
                  <w:tcBorders>
                    <w:tl2br w:val="nil"/>
                    <w:tr2bl w:val="nil"/>
                  </w:tcBorders>
                  <w:shd w:val="clear" w:color="auto" w:fill="auto"/>
                  <w:vAlign w:val="center"/>
                </w:tcPr>
                <w:p w14:paraId="0B626F2C">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3BA235A4">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166.171</w:t>
                  </w:r>
                </w:p>
              </w:tc>
              <w:tc>
                <w:tcPr>
                  <w:tcW w:w="160" w:type="pct"/>
                  <w:tcBorders>
                    <w:tl2br w:val="nil"/>
                    <w:tr2bl w:val="nil"/>
                  </w:tcBorders>
                  <w:vAlign w:val="center"/>
                </w:tcPr>
                <w:p w14:paraId="79DC8A02">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1.662</w:t>
                  </w:r>
                </w:p>
              </w:tc>
              <w:tc>
                <w:tcPr>
                  <w:tcW w:w="193" w:type="pct"/>
                  <w:tcBorders>
                    <w:tl2br w:val="nil"/>
                    <w:tr2bl w:val="nil"/>
                  </w:tcBorders>
                  <w:vAlign w:val="center"/>
                </w:tcPr>
                <w:p w14:paraId="13056E24">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7.976</w:t>
                  </w:r>
                </w:p>
              </w:tc>
              <w:tc>
                <w:tcPr>
                  <w:tcW w:w="225" w:type="pct"/>
                  <w:tcBorders>
                    <w:tl2br w:val="nil"/>
                    <w:tr2bl w:val="nil"/>
                  </w:tcBorders>
                  <w:vAlign w:val="center"/>
                </w:tcPr>
                <w:p w14:paraId="4917202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69A979C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184" w:type="pct"/>
                  <w:vMerge w:val="continue"/>
                  <w:tcBorders>
                    <w:tl2br w:val="nil"/>
                    <w:tr2bl w:val="nil"/>
                  </w:tcBorders>
                  <w:vAlign w:val="center"/>
                </w:tcPr>
                <w:p w14:paraId="1CECEE0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44" w:type="pct"/>
                  <w:tcBorders>
                    <w:tl2br w:val="nil"/>
                    <w:tr2bl w:val="nil"/>
                  </w:tcBorders>
                  <w:vAlign w:val="center"/>
                </w:tcPr>
                <w:p w14:paraId="26647A3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95</w:t>
                  </w:r>
                </w:p>
              </w:tc>
              <w:tc>
                <w:tcPr>
                  <w:tcW w:w="239" w:type="pct"/>
                  <w:tcBorders>
                    <w:tl2br w:val="nil"/>
                    <w:tr2bl w:val="nil"/>
                  </w:tcBorders>
                  <w:vAlign w:val="center"/>
                </w:tcPr>
                <w:p w14:paraId="61E1E01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381CDD6E">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8.309</w:t>
                  </w:r>
                </w:p>
              </w:tc>
              <w:tc>
                <w:tcPr>
                  <w:tcW w:w="200" w:type="pct"/>
                  <w:tcBorders>
                    <w:tl2br w:val="nil"/>
                    <w:tr2bl w:val="nil"/>
                  </w:tcBorders>
                  <w:vAlign w:val="center"/>
                </w:tcPr>
                <w:p w14:paraId="1AC1511A">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0.083</w:t>
                  </w:r>
                </w:p>
              </w:tc>
              <w:tc>
                <w:tcPr>
                  <w:tcW w:w="209" w:type="pct"/>
                  <w:tcBorders>
                    <w:tl2br w:val="nil"/>
                    <w:tr2bl w:val="nil"/>
                  </w:tcBorders>
                  <w:vAlign w:val="center"/>
                </w:tcPr>
                <w:p w14:paraId="20F694C3">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0.399</w:t>
                  </w:r>
                </w:p>
              </w:tc>
              <w:tc>
                <w:tcPr>
                  <w:tcW w:w="517" w:type="pct"/>
                  <w:vMerge w:val="continue"/>
                  <w:tcBorders>
                    <w:tl2br w:val="nil"/>
                    <w:tr2bl w:val="nil"/>
                  </w:tcBorders>
                  <w:vAlign w:val="center"/>
                </w:tcPr>
                <w:p w14:paraId="1319ADD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vAlign w:val="center"/>
                </w:tcPr>
                <w:p w14:paraId="7016D86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12</w:t>
                  </w:r>
                </w:p>
              </w:tc>
              <w:tc>
                <w:tcPr>
                  <w:tcW w:w="167" w:type="pct"/>
                  <w:tcBorders>
                    <w:tl2br w:val="nil"/>
                    <w:tr2bl w:val="nil"/>
                  </w:tcBorders>
                  <w:vAlign w:val="center"/>
                </w:tcPr>
                <w:p w14:paraId="10F4000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r>
            <w:tr w14:paraId="3C403E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restart"/>
                  <w:tcBorders>
                    <w:tl2br w:val="nil"/>
                    <w:tr2bl w:val="nil"/>
                  </w:tcBorders>
                  <w:shd w:val="clear" w:color="auto" w:fill="auto"/>
                  <w:vAlign w:val="center"/>
                </w:tcPr>
                <w:p w14:paraId="5D18DC1D">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导电胶辊生产线</w:t>
                  </w:r>
                </w:p>
              </w:tc>
              <w:tc>
                <w:tcPr>
                  <w:tcW w:w="306" w:type="pct"/>
                  <w:vMerge w:val="restart"/>
                  <w:tcBorders>
                    <w:tl2br w:val="nil"/>
                    <w:tr2bl w:val="nil"/>
                  </w:tcBorders>
                  <w:shd w:val="clear" w:color="auto" w:fill="auto"/>
                  <w:vAlign w:val="center"/>
                </w:tcPr>
                <w:p w14:paraId="3C1E635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轴芯清洗、轴芯涂胶和硫化</w:t>
                  </w:r>
                </w:p>
              </w:tc>
              <w:tc>
                <w:tcPr>
                  <w:tcW w:w="344" w:type="pct"/>
                  <w:tcBorders>
                    <w:tl2br w:val="nil"/>
                    <w:tr2bl w:val="nil"/>
                  </w:tcBorders>
                  <w:shd w:val="clear" w:color="auto" w:fill="auto"/>
                  <w:vAlign w:val="center"/>
                </w:tcPr>
                <w:p w14:paraId="47CD96E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挥发性有机物</w:t>
                  </w:r>
                </w:p>
              </w:tc>
              <w:tc>
                <w:tcPr>
                  <w:tcW w:w="229" w:type="pct"/>
                  <w:tcBorders>
                    <w:tl2br w:val="nil"/>
                    <w:tr2bl w:val="nil"/>
                  </w:tcBorders>
                  <w:shd w:val="clear" w:color="auto" w:fill="auto"/>
                  <w:vAlign w:val="center"/>
                </w:tcPr>
                <w:p w14:paraId="1A66142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3.076</w:t>
                  </w:r>
                </w:p>
              </w:tc>
              <w:tc>
                <w:tcPr>
                  <w:tcW w:w="267" w:type="pct"/>
                  <w:vMerge w:val="restart"/>
                  <w:tcBorders>
                    <w:tl2br w:val="nil"/>
                    <w:tr2bl w:val="nil"/>
                  </w:tcBorders>
                  <w:vAlign w:val="center"/>
                </w:tcPr>
                <w:p w14:paraId="16F53EFF">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eastAsia="zh-CN"/>
                    </w:rPr>
                    <w:t>密闭车间</w:t>
                  </w:r>
                  <w:r>
                    <w:rPr>
                      <w:rFonts w:hint="default" w:ascii="Times New Roman" w:hAnsi="Times New Roman" w:eastAsia="宋体" w:cs="Times New Roman"/>
                      <w:color w:val="auto"/>
                      <w:sz w:val="21"/>
                      <w:szCs w:val="21"/>
                      <w:lang w:val="en-US" w:eastAsia="zh-CN"/>
                    </w:rPr>
                    <w:t>/密闭管道</w:t>
                  </w:r>
                </w:p>
              </w:tc>
              <w:tc>
                <w:tcPr>
                  <w:tcW w:w="160" w:type="pct"/>
                  <w:tcBorders>
                    <w:tl2br w:val="nil"/>
                    <w:tr2bl w:val="nil"/>
                  </w:tcBorders>
                  <w:shd w:val="clear" w:color="auto" w:fill="auto"/>
                  <w:vAlign w:val="center"/>
                </w:tcPr>
                <w:p w14:paraId="115C1E1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1C3D5AF1">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30.440</w:t>
                  </w:r>
                </w:p>
              </w:tc>
              <w:tc>
                <w:tcPr>
                  <w:tcW w:w="160" w:type="pct"/>
                  <w:tcBorders>
                    <w:tl2br w:val="nil"/>
                    <w:tr2bl w:val="nil"/>
                  </w:tcBorders>
                  <w:vAlign w:val="center"/>
                </w:tcPr>
                <w:p w14:paraId="4DE4FE35">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0.609</w:t>
                  </w:r>
                </w:p>
              </w:tc>
              <w:tc>
                <w:tcPr>
                  <w:tcW w:w="193" w:type="pct"/>
                  <w:tcBorders>
                    <w:tl2br w:val="nil"/>
                    <w:tr2bl w:val="nil"/>
                  </w:tcBorders>
                  <w:vAlign w:val="center"/>
                </w:tcPr>
                <w:p w14:paraId="454A6FE6">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2.922</w:t>
                  </w:r>
                </w:p>
              </w:tc>
              <w:tc>
                <w:tcPr>
                  <w:tcW w:w="225" w:type="pct"/>
                  <w:tcBorders>
                    <w:tl2br w:val="nil"/>
                    <w:tr2bl w:val="nil"/>
                  </w:tcBorders>
                  <w:vAlign w:val="center"/>
                </w:tcPr>
                <w:p w14:paraId="3B71379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vMerge w:val="restart"/>
                  <w:tcBorders>
                    <w:tl2br w:val="nil"/>
                    <w:tr2bl w:val="nil"/>
                  </w:tcBorders>
                  <w:vAlign w:val="center"/>
                </w:tcPr>
                <w:p w14:paraId="7CA85F1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eastAsia="zh-CN"/>
                    </w:rPr>
                    <w:t>水喷淋</w:t>
                  </w:r>
                  <w:r>
                    <w:rPr>
                      <w:rFonts w:hint="default" w:ascii="Times New Roman" w:hAnsi="Times New Roman" w:eastAsia="宋体" w:cs="Times New Roman"/>
                      <w:color w:val="auto"/>
                      <w:kern w:val="0"/>
                      <w:sz w:val="21"/>
                      <w:szCs w:val="21"/>
                      <w:lang w:val="en-US" w:eastAsia="zh-CN"/>
                    </w:rPr>
                    <w:t>+二级活性炭吸附装置</w:t>
                  </w:r>
                </w:p>
              </w:tc>
              <w:tc>
                <w:tcPr>
                  <w:tcW w:w="184" w:type="pct"/>
                  <w:vMerge w:val="restart"/>
                  <w:tcBorders>
                    <w:tl2br w:val="nil"/>
                    <w:tr2bl w:val="nil"/>
                  </w:tcBorders>
                  <w:vAlign w:val="center"/>
                </w:tcPr>
                <w:p w14:paraId="6EB9CBA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20000</w:t>
                  </w:r>
                </w:p>
              </w:tc>
              <w:tc>
                <w:tcPr>
                  <w:tcW w:w="244" w:type="pct"/>
                  <w:tcBorders>
                    <w:tl2br w:val="nil"/>
                    <w:tr2bl w:val="nil"/>
                  </w:tcBorders>
                  <w:vAlign w:val="center"/>
                </w:tcPr>
                <w:p w14:paraId="4ACC2BC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vAlign w:val="center"/>
                </w:tcPr>
                <w:p w14:paraId="75B2F7F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6EDED980">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2.740</w:t>
                  </w:r>
                </w:p>
              </w:tc>
              <w:tc>
                <w:tcPr>
                  <w:tcW w:w="200" w:type="pct"/>
                  <w:tcBorders>
                    <w:tl2br w:val="nil"/>
                    <w:tr2bl w:val="nil"/>
                  </w:tcBorders>
                  <w:vAlign w:val="center"/>
                </w:tcPr>
                <w:p w14:paraId="5C87560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0.055</w:t>
                  </w:r>
                </w:p>
              </w:tc>
              <w:tc>
                <w:tcPr>
                  <w:tcW w:w="209" w:type="pct"/>
                  <w:tcBorders>
                    <w:tl2br w:val="nil"/>
                    <w:tr2bl w:val="nil"/>
                  </w:tcBorders>
                  <w:vAlign w:val="center"/>
                </w:tcPr>
                <w:p w14:paraId="56D732CB">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0.263</w:t>
                  </w:r>
                </w:p>
              </w:tc>
              <w:tc>
                <w:tcPr>
                  <w:tcW w:w="517" w:type="pct"/>
                  <w:vMerge w:val="restart"/>
                  <w:tcBorders>
                    <w:tl2br w:val="nil"/>
                    <w:tr2bl w:val="nil"/>
                  </w:tcBorders>
                  <w:vAlign w:val="center"/>
                </w:tcPr>
                <w:p w14:paraId="0C98546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38D4DCC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10</w:t>
                  </w:r>
                </w:p>
              </w:tc>
              <w:tc>
                <w:tcPr>
                  <w:tcW w:w="167" w:type="pct"/>
                  <w:tcBorders>
                    <w:tl2br w:val="nil"/>
                    <w:tr2bl w:val="nil"/>
                  </w:tcBorders>
                  <w:vAlign w:val="center"/>
                </w:tcPr>
                <w:p w14:paraId="54985C0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w:t>
                  </w:r>
                </w:p>
              </w:tc>
            </w:tr>
            <w:tr w14:paraId="7FF5DD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5C43C378">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58D391AC">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6CFF4CF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229" w:type="pct"/>
                  <w:tcBorders>
                    <w:tl2br w:val="nil"/>
                    <w:tr2bl w:val="nil"/>
                  </w:tcBorders>
                  <w:shd w:val="clear" w:color="auto" w:fill="auto"/>
                  <w:vAlign w:val="center"/>
                </w:tcPr>
                <w:p w14:paraId="50DCDFA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0.200</w:t>
                  </w:r>
                </w:p>
              </w:tc>
              <w:tc>
                <w:tcPr>
                  <w:tcW w:w="267" w:type="pct"/>
                  <w:vMerge w:val="continue"/>
                  <w:tcBorders>
                    <w:tl2br w:val="nil"/>
                    <w:tr2bl w:val="nil"/>
                  </w:tcBorders>
                  <w:vAlign w:val="center"/>
                </w:tcPr>
                <w:p w14:paraId="25E5C2DD">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160" w:type="pct"/>
                  <w:tcBorders>
                    <w:tl2br w:val="nil"/>
                    <w:tr2bl w:val="nil"/>
                  </w:tcBorders>
                  <w:shd w:val="clear" w:color="auto" w:fill="auto"/>
                  <w:vAlign w:val="center"/>
                </w:tcPr>
                <w:p w14:paraId="3BCD6613">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3FCA9180">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1.979</w:t>
                  </w:r>
                </w:p>
              </w:tc>
              <w:tc>
                <w:tcPr>
                  <w:tcW w:w="160" w:type="pct"/>
                  <w:tcBorders>
                    <w:tl2br w:val="nil"/>
                    <w:tr2bl w:val="nil"/>
                  </w:tcBorders>
                  <w:vAlign w:val="center"/>
                </w:tcPr>
                <w:p w14:paraId="7EB56143">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0.040</w:t>
                  </w:r>
                </w:p>
              </w:tc>
              <w:tc>
                <w:tcPr>
                  <w:tcW w:w="193" w:type="pct"/>
                  <w:tcBorders>
                    <w:tl2br w:val="nil"/>
                    <w:tr2bl w:val="nil"/>
                  </w:tcBorders>
                  <w:vAlign w:val="center"/>
                </w:tcPr>
                <w:p w14:paraId="38F67708">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0.190</w:t>
                  </w:r>
                </w:p>
              </w:tc>
              <w:tc>
                <w:tcPr>
                  <w:tcW w:w="225" w:type="pct"/>
                  <w:tcBorders>
                    <w:tl2br w:val="nil"/>
                    <w:tr2bl w:val="nil"/>
                  </w:tcBorders>
                  <w:vAlign w:val="center"/>
                </w:tcPr>
                <w:p w14:paraId="05C5BD0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686B78A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184" w:type="pct"/>
                  <w:vMerge w:val="continue"/>
                  <w:tcBorders>
                    <w:tl2br w:val="nil"/>
                    <w:tr2bl w:val="nil"/>
                  </w:tcBorders>
                  <w:vAlign w:val="center"/>
                </w:tcPr>
                <w:p w14:paraId="05E2B9A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44" w:type="pct"/>
                  <w:tcBorders>
                    <w:tl2br w:val="nil"/>
                    <w:tr2bl w:val="nil"/>
                  </w:tcBorders>
                  <w:vAlign w:val="center"/>
                </w:tcPr>
                <w:p w14:paraId="786ED05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vAlign w:val="center"/>
                </w:tcPr>
                <w:p w14:paraId="1F35268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4C0321E6">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0.178</w:t>
                  </w:r>
                </w:p>
              </w:tc>
              <w:tc>
                <w:tcPr>
                  <w:tcW w:w="200" w:type="pct"/>
                  <w:tcBorders>
                    <w:tl2br w:val="nil"/>
                    <w:tr2bl w:val="nil"/>
                  </w:tcBorders>
                  <w:vAlign w:val="center"/>
                </w:tcPr>
                <w:p w14:paraId="1C96D46F">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0.004</w:t>
                  </w:r>
                </w:p>
              </w:tc>
              <w:tc>
                <w:tcPr>
                  <w:tcW w:w="209" w:type="pct"/>
                  <w:tcBorders>
                    <w:tl2br w:val="nil"/>
                    <w:tr2bl w:val="nil"/>
                  </w:tcBorders>
                  <w:vAlign w:val="center"/>
                </w:tcPr>
                <w:p w14:paraId="0D77DF3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0.017</w:t>
                  </w:r>
                </w:p>
              </w:tc>
              <w:tc>
                <w:tcPr>
                  <w:tcW w:w="517" w:type="pct"/>
                  <w:vMerge w:val="continue"/>
                  <w:tcBorders>
                    <w:tl2br w:val="nil"/>
                    <w:tr2bl w:val="nil"/>
                  </w:tcBorders>
                  <w:vAlign w:val="center"/>
                </w:tcPr>
                <w:p w14:paraId="67BF146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vAlign w:val="center"/>
                </w:tcPr>
                <w:p w14:paraId="79F9284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15</w:t>
                  </w:r>
                </w:p>
              </w:tc>
              <w:tc>
                <w:tcPr>
                  <w:tcW w:w="167" w:type="pct"/>
                  <w:tcBorders>
                    <w:tl2br w:val="nil"/>
                    <w:tr2bl w:val="nil"/>
                  </w:tcBorders>
                  <w:vAlign w:val="center"/>
                </w:tcPr>
                <w:p w14:paraId="0AD67EC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w:t>
                  </w:r>
                </w:p>
              </w:tc>
            </w:tr>
            <w:tr w14:paraId="76DD09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67EAF240">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1A5A23F1">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0543684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229" w:type="pct"/>
                  <w:tcBorders>
                    <w:tl2br w:val="nil"/>
                    <w:tr2bl w:val="nil"/>
                  </w:tcBorders>
                  <w:shd w:val="clear" w:color="auto" w:fill="auto"/>
                  <w:vAlign w:val="center"/>
                </w:tcPr>
                <w:p w14:paraId="2B7072A5">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kern w:val="2"/>
                      <w:sz w:val="21"/>
                      <w:szCs w:val="21"/>
                      <w:highlight w:val="none"/>
                      <w:lang w:val="en-US" w:eastAsia="zh-CN" w:bidi="ar-SA"/>
                    </w:rPr>
                    <w:t>0.09</w:t>
                  </w:r>
                </w:p>
              </w:tc>
              <w:tc>
                <w:tcPr>
                  <w:tcW w:w="267" w:type="pct"/>
                  <w:vMerge w:val="continue"/>
                  <w:tcBorders>
                    <w:tl2br w:val="nil"/>
                    <w:tr2bl w:val="nil"/>
                  </w:tcBorders>
                  <w:vAlign w:val="center"/>
                </w:tcPr>
                <w:p w14:paraId="42CE80F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160" w:type="pct"/>
                  <w:tcBorders>
                    <w:tl2br w:val="nil"/>
                    <w:tr2bl w:val="nil"/>
                  </w:tcBorders>
                  <w:shd w:val="clear" w:color="auto" w:fill="auto"/>
                  <w:vAlign w:val="center"/>
                </w:tcPr>
                <w:p w14:paraId="794462DD">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203B3F06">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0.891</w:t>
                  </w:r>
                </w:p>
              </w:tc>
              <w:tc>
                <w:tcPr>
                  <w:tcW w:w="160" w:type="pct"/>
                  <w:tcBorders>
                    <w:tl2br w:val="nil"/>
                    <w:tr2bl w:val="nil"/>
                  </w:tcBorders>
                  <w:vAlign w:val="center"/>
                </w:tcPr>
                <w:p w14:paraId="5E64FBE5">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0.018</w:t>
                  </w:r>
                </w:p>
              </w:tc>
              <w:tc>
                <w:tcPr>
                  <w:tcW w:w="193" w:type="pct"/>
                  <w:tcBorders>
                    <w:tl2br w:val="nil"/>
                    <w:tr2bl w:val="nil"/>
                  </w:tcBorders>
                  <w:vAlign w:val="center"/>
                </w:tcPr>
                <w:p w14:paraId="5E709332">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0.086</w:t>
                  </w:r>
                </w:p>
              </w:tc>
              <w:tc>
                <w:tcPr>
                  <w:tcW w:w="225" w:type="pct"/>
                  <w:tcBorders>
                    <w:tl2br w:val="nil"/>
                    <w:tr2bl w:val="nil"/>
                  </w:tcBorders>
                  <w:vAlign w:val="center"/>
                </w:tcPr>
                <w:p w14:paraId="35A82FB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541C92E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184" w:type="pct"/>
                  <w:vMerge w:val="continue"/>
                  <w:tcBorders>
                    <w:tl2br w:val="nil"/>
                    <w:tr2bl w:val="nil"/>
                  </w:tcBorders>
                  <w:vAlign w:val="center"/>
                </w:tcPr>
                <w:p w14:paraId="308932C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44" w:type="pct"/>
                  <w:tcBorders>
                    <w:tl2br w:val="nil"/>
                    <w:tr2bl w:val="nil"/>
                  </w:tcBorders>
                  <w:vAlign w:val="center"/>
                </w:tcPr>
                <w:p w14:paraId="1969F3F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vAlign w:val="center"/>
                </w:tcPr>
                <w:p w14:paraId="2A23745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4CCFA3D6">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0.080</w:t>
                  </w:r>
                </w:p>
              </w:tc>
              <w:tc>
                <w:tcPr>
                  <w:tcW w:w="200" w:type="pct"/>
                  <w:tcBorders>
                    <w:tl2br w:val="nil"/>
                    <w:tr2bl w:val="nil"/>
                  </w:tcBorders>
                  <w:vAlign w:val="center"/>
                </w:tcPr>
                <w:p w14:paraId="08F14227">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0.002</w:t>
                  </w:r>
                </w:p>
              </w:tc>
              <w:tc>
                <w:tcPr>
                  <w:tcW w:w="209" w:type="pct"/>
                  <w:tcBorders>
                    <w:tl2br w:val="nil"/>
                    <w:tr2bl w:val="nil"/>
                  </w:tcBorders>
                  <w:vAlign w:val="center"/>
                </w:tcPr>
                <w:p w14:paraId="7FBC73AE">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0.008</w:t>
                  </w:r>
                </w:p>
              </w:tc>
              <w:tc>
                <w:tcPr>
                  <w:tcW w:w="517" w:type="pct"/>
                  <w:vMerge w:val="continue"/>
                  <w:tcBorders>
                    <w:tl2br w:val="nil"/>
                    <w:tr2bl w:val="nil"/>
                  </w:tcBorders>
                  <w:vAlign w:val="center"/>
                </w:tcPr>
                <w:p w14:paraId="777840D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vAlign w:val="center"/>
                </w:tcPr>
                <w:p w14:paraId="08B07F1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67" w:type="pct"/>
                  <w:tcBorders>
                    <w:tl2br w:val="nil"/>
                    <w:tr2bl w:val="nil"/>
                  </w:tcBorders>
                  <w:vAlign w:val="center"/>
                </w:tcPr>
                <w:p w14:paraId="42AE7C2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0.33</w:t>
                  </w:r>
                </w:p>
              </w:tc>
            </w:tr>
            <w:tr w14:paraId="645727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70DE4BFD">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06" w:type="pct"/>
                  <w:tcBorders>
                    <w:tl2br w:val="nil"/>
                    <w:tr2bl w:val="nil"/>
                  </w:tcBorders>
                  <w:shd w:val="clear" w:color="auto" w:fill="auto"/>
                  <w:vAlign w:val="center"/>
                </w:tcPr>
                <w:p w14:paraId="6467233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喷涂、加热</w:t>
                  </w:r>
                </w:p>
              </w:tc>
              <w:tc>
                <w:tcPr>
                  <w:tcW w:w="344" w:type="pct"/>
                  <w:tcBorders>
                    <w:tl2br w:val="nil"/>
                    <w:tr2bl w:val="nil"/>
                  </w:tcBorders>
                  <w:shd w:val="clear" w:color="auto" w:fill="auto"/>
                  <w:vAlign w:val="center"/>
                </w:tcPr>
                <w:p w14:paraId="74EF02A7">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挥发性有机物</w:t>
                  </w:r>
                </w:p>
              </w:tc>
              <w:tc>
                <w:tcPr>
                  <w:tcW w:w="229" w:type="pct"/>
                  <w:tcBorders>
                    <w:tl2br w:val="nil"/>
                    <w:tr2bl w:val="nil"/>
                  </w:tcBorders>
                  <w:shd w:val="clear" w:color="auto" w:fill="auto"/>
                  <w:vAlign w:val="center"/>
                </w:tcPr>
                <w:p w14:paraId="734D156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21.013</w:t>
                  </w:r>
                </w:p>
              </w:tc>
              <w:tc>
                <w:tcPr>
                  <w:tcW w:w="267" w:type="pct"/>
                  <w:tcBorders>
                    <w:tl2br w:val="nil"/>
                    <w:tr2bl w:val="nil"/>
                  </w:tcBorders>
                  <w:shd w:val="clear" w:color="auto" w:fill="auto"/>
                  <w:vAlign w:val="center"/>
                </w:tcPr>
                <w:p w14:paraId="5804195B">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密闭车间</w:t>
                  </w:r>
                </w:p>
              </w:tc>
              <w:tc>
                <w:tcPr>
                  <w:tcW w:w="160" w:type="pct"/>
                  <w:tcBorders>
                    <w:tl2br w:val="nil"/>
                    <w:tr2bl w:val="nil"/>
                  </w:tcBorders>
                  <w:shd w:val="clear" w:color="auto" w:fill="auto"/>
                  <w:vAlign w:val="center"/>
                </w:tcPr>
                <w:p w14:paraId="265988CD">
                  <w:pPr>
                    <w:pStyle w:val="69"/>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shd w:val="clear" w:color="auto" w:fill="auto"/>
                  <w:vAlign w:val="center"/>
                </w:tcPr>
                <w:p w14:paraId="12C53F14">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415.882</w:t>
                  </w:r>
                </w:p>
              </w:tc>
              <w:tc>
                <w:tcPr>
                  <w:tcW w:w="160" w:type="pct"/>
                  <w:tcBorders>
                    <w:tl2br w:val="nil"/>
                    <w:tr2bl w:val="nil"/>
                  </w:tcBorders>
                  <w:shd w:val="clear" w:color="auto" w:fill="auto"/>
                  <w:vAlign w:val="center"/>
                </w:tcPr>
                <w:p w14:paraId="67A1354C">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4.159</w:t>
                  </w:r>
                </w:p>
              </w:tc>
              <w:tc>
                <w:tcPr>
                  <w:tcW w:w="193" w:type="pct"/>
                  <w:tcBorders>
                    <w:tl2br w:val="nil"/>
                    <w:tr2bl w:val="nil"/>
                  </w:tcBorders>
                  <w:shd w:val="clear" w:color="auto" w:fill="auto"/>
                  <w:vAlign w:val="center"/>
                </w:tcPr>
                <w:p w14:paraId="4D50806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19.962</w:t>
                  </w:r>
                </w:p>
              </w:tc>
              <w:tc>
                <w:tcPr>
                  <w:tcW w:w="225" w:type="pct"/>
                  <w:tcBorders>
                    <w:tl2br w:val="nil"/>
                    <w:tr2bl w:val="nil"/>
                  </w:tcBorders>
                  <w:shd w:val="clear" w:color="auto" w:fill="auto"/>
                  <w:vAlign w:val="center"/>
                </w:tcPr>
                <w:p w14:paraId="40B0E43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shd w:val="clear" w:color="auto" w:fill="auto"/>
                  <w:vAlign w:val="center"/>
                </w:tcPr>
                <w:p w14:paraId="7530535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水喷淋</w:t>
                  </w:r>
                  <w:r>
                    <w:rPr>
                      <w:rFonts w:hint="default" w:ascii="Times New Roman" w:hAnsi="Times New Roman" w:eastAsia="宋体" w:cs="Times New Roman"/>
                      <w:color w:val="auto"/>
                      <w:kern w:val="0"/>
                      <w:sz w:val="21"/>
                      <w:szCs w:val="21"/>
                      <w:lang w:val="en-US" w:eastAsia="zh-CN"/>
                    </w:rPr>
                    <w:t>+活性炭吸附脱附+RCO装置</w:t>
                  </w:r>
                </w:p>
              </w:tc>
              <w:tc>
                <w:tcPr>
                  <w:tcW w:w="184" w:type="pct"/>
                  <w:tcBorders>
                    <w:tl2br w:val="nil"/>
                    <w:tr2bl w:val="nil"/>
                  </w:tcBorders>
                  <w:shd w:val="clear" w:color="auto" w:fill="auto"/>
                  <w:vAlign w:val="center"/>
                </w:tcPr>
                <w:p w14:paraId="7DA8F08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shd w:val="clear" w:color="auto" w:fill="auto"/>
                  <w:vAlign w:val="center"/>
                </w:tcPr>
                <w:p w14:paraId="3AD0992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92</w:t>
                  </w:r>
                </w:p>
              </w:tc>
              <w:tc>
                <w:tcPr>
                  <w:tcW w:w="239" w:type="pct"/>
                  <w:tcBorders>
                    <w:tl2br w:val="nil"/>
                    <w:tr2bl w:val="nil"/>
                  </w:tcBorders>
                  <w:shd w:val="clear" w:color="auto" w:fill="auto"/>
                  <w:vAlign w:val="center"/>
                </w:tcPr>
                <w:p w14:paraId="3B2B219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shd w:val="clear" w:color="auto" w:fill="auto"/>
                  <w:vAlign w:val="center"/>
                </w:tcPr>
                <w:p w14:paraId="78220702">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33.270</w:t>
                  </w:r>
                </w:p>
              </w:tc>
              <w:tc>
                <w:tcPr>
                  <w:tcW w:w="200" w:type="pct"/>
                  <w:tcBorders>
                    <w:tl2br w:val="nil"/>
                    <w:tr2bl w:val="nil"/>
                  </w:tcBorders>
                  <w:shd w:val="clear" w:color="auto" w:fill="auto"/>
                  <w:vAlign w:val="center"/>
                </w:tcPr>
                <w:p w14:paraId="310136F9">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0.333</w:t>
                  </w:r>
                </w:p>
              </w:tc>
              <w:tc>
                <w:tcPr>
                  <w:tcW w:w="209" w:type="pct"/>
                  <w:tcBorders>
                    <w:tl2br w:val="nil"/>
                    <w:tr2bl w:val="nil"/>
                  </w:tcBorders>
                  <w:shd w:val="clear" w:color="auto" w:fill="auto"/>
                  <w:vAlign w:val="center"/>
                </w:tcPr>
                <w:p w14:paraId="733F0FF0">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1.597</w:t>
                  </w:r>
                </w:p>
              </w:tc>
              <w:tc>
                <w:tcPr>
                  <w:tcW w:w="517" w:type="pct"/>
                  <w:tcBorders>
                    <w:tl2br w:val="nil"/>
                    <w:tr2bl w:val="nil"/>
                  </w:tcBorders>
                  <w:shd w:val="clear" w:color="auto" w:fill="auto"/>
                  <w:vAlign w:val="center"/>
                </w:tcPr>
                <w:p w14:paraId="78747B0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shd w:val="clear" w:color="auto" w:fill="auto"/>
                  <w:vAlign w:val="center"/>
                </w:tcPr>
                <w:p w14:paraId="5D3333C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100</w:t>
                  </w:r>
                </w:p>
              </w:tc>
              <w:tc>
                <w:tcPr>
                  <w:tcW w:w="167" w:type="pct"/>
                  <w:tcBorders>
                    <w:tl2br w:val="nil"/>
                    <w:tr2bl w:val="nil"/>
                  </w:tcBorders>
                  <w:shd w:val="clear" w:color="auto" w:fill="auto"/>
                  <w:vAlign w:val="center"/>
                </w:tcPr>
                <w:p w14:paraId="4D210D3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740248D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6B93D856">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p>
              </w:tc>
              <w:tc>
                <w:tcPr>
                  <w:tcW w:w="306" w:type="pct"/>
                  <w:vMerge w:val="restart"/>
                  <w:tcBorders>
                    <w:tl2br w:val="nil"/>
                    <w:tr2bl w:val="nil"/>
                  </w:tcBorders>
                  <w:shd w:val="clear" w:color="auto" w:fill="auto"/>
                  <w:vAlign w:val="center"/>
                </w:tcPr>
                <w:p w14:paraId="7E898F5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精磨、细磨</w:t>
                  </w:r>
                </w:p>
              </w:tc>
              <w:tc>
                <w:tcPr>
                  <w:tcW w:w="344" w:type="pct"/>
                  <w:tcBorders>
                    <w:tl2br w:val="nil"/>
                    <w:tr2bl w:val="nil"/>
                  </w:tcBorders>
                  <w:shd w:val="clear" w:color="auto" w:fill="auto"/>
                  <w:vAlign w:val="center"/>
                </w:tcPr>
                <w:p w14:paraId="5A88193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3A3F479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kern w:val="0"/>
                      <w:sz w:val="21"/>
                      <w:szCs w:val="21"/>
                      <w:lang w:val="en-US" w:eastAsia="zh-CN" w:bidi="ar-SA"/>
                    </w:rPr>
                    <w:t>1.728</w:t>
                  </w:r>
                </w:p>
              </w:tc>
              <w:tc>
                <w:tcPr>
                  <w:tcW w:w="267" w:type="pct"/>
                  <w:tcBorders>
                    <w:tl2br w:val="nil"/>
                    <w:tr2bl w:val="nil"/>
                  </w:tcBorders>
                  <w:vAlign w:val="center"/>
                </w:tcPr>
                <w:p w14:paraId="27DE9E3B">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密闭管道</w:t>
                  </w:r>
                </w:p>
              </w:tc>
              <w:tc>
                <w:tcPr>
                  <w:tcW w:w="160" w:type="pct"/>
                  <w:tcBorders>
                    <w:tl2br w:val="nil"/>
                    <w:tr2bl w:val="nil"/>
                  </w:tcBorders>
                  <w:shd w:val="clear" w:color="auto" w:fill="auto"/>
                  <w:vAlign w:val="center"/>
                </w:tcPr>
                <w:p w14:paraId="4DDD1808">
                  <w:pPr>
                    <w:pStyle w:val="69"/>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90</w:t>
                  </w:r>
                </w:p>
              </w:tc>
              <w:tc>
                <w:tcPr>
                  <w:tcW w:w="229" w:type="pct"/>
                  <w:tcBorders>
                    <w:tl2br w:val="nil"/>
                    <w:tr2bl w:val="nil"/>
                  </w:tcBorders>
                  <w:vAlign w:val="center"/>
                </w:tcPr>
                <w:p w14:paraId="1A7F7C2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160" w:type="pct"/>
                  <w:tcBorders>
                    <w:tl2br w:val="nil"/>
                    <w:tr2bl w:val="nil"/>
                  </w:tcBorders>
                  <w:vAlign w:val="center"/>
                </w:tcPr>
                <w:p w14:paraId="1AE2D960">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193" w:type="pct"/>
                  <w:tcBorders>
                    <w:tl2br w:val="nil"/>
                    <w:tr2bl w:val="nil"/>
                  </w:tcBorders>
                  <w:vAlign w:val="center"/>
                </w:tcPr>
                <w:p w14:paraId="3FC91089">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1.555</w:t>
                  </w:r>
                </w:p>
              </w:tc>
              <w:tc>
                <w:tcPr>
                  <w:tcW w:w="225" w:type="pct"/>
                  <w:tcBorders>
                    <w:tl2br w:val="nil"/>
                    <w:tr2bl w:val="nil"/>
                  </w:tcBorders>
                  <w:vAlign w:val="center"/>
                </w:tcPr>
                <w:p w14:paraId="2F9818A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7A52B2F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布袋除尘器</w:t>
                  </w:r>
                </w:p>
              </w:tc>
              <w:tc>
                <w:tcPr>
                  <w:tcW w:w="184" w:type="pct"/>
                  <w:tcBorders>
                    <w:tl2br w:val="nil"/>
                    <w:tr2bl w:val="nil"/>
                  </w:tcBorders>
                  <w:vAlign w:val="center"/>
                </w:tcPr>
                <w:p w14:paraId="2B6B658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vAlign w:val="center"/>
                </w:tcPr>
                <w:p w14:paraId="7FE643D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vAlign w:val="center"/>
                </w:tcPr>
                <w:p w14:paraId="1DA2644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10650D7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200" w:type="pct"/>
                  <w:tcBorders>
                    <w:tl2br w:val="nil"/>
                    <w:tr2bl w:val="nil"/>
                  </w:tcBorders>
                  <w:vAlign w:val="center"/>
                </w:tcPr>
                <w:p w14:paraId="3934B607">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09" w:type="pct"/>
                  <w:tcBorders>
                    <w:tl2br w:val="nil"/>
                    <w:tr2bl w:val="nil"/>
                  </w:tcBorders>
                  <w:vAlign w:val="center"/>
                </w:tcPr>
                <w:p w14:paraId="350A45E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517" w:type="pct"/>
                  <w:tcBorders>
                    <w:tl2br w:val="nil"/>
                    <w:tr2bl w:val="nil"/>
                  </w:tcBorders>
                  <w:vAlign w:val="center"/>
                </w:tcPr>
                <w:p w14:paraId="5AD498B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57FB5A7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vAlign w:val="center"/>
                </w:tcPr>
                <w:p w14:paraId="2C2D6BA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w:t>
                  </w:r>
                </w:p>
              </w:tc>
            </w:tr>
            <w:tr w14:paraId="7F9D09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2E67D4E6">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52810AF1">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6676C58A">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396F664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b w:val="0"/>
                      <w:bCs w:val="0"/>
                      <w:color w:val="auto"/>
                      <w:kern w:val="0"/>
                      <w:sz w:val="21"/>
                      <w:szCs w:val="21"/>
                      <w:lang w:val="en-US" w:eastAsia="zh-CN" w:bidi="ar-SA"/>
                    </w:rPr>
                    <w:t>1.728</w:t>
                  </w:r>
                </w:p>
              </w:tc>
              <w:tc>
                <w:tcPr>
                  <w:tcW w:w="267" w:type="pct"/>
                  <w:tcBorders>
                    <w:tl2br w:val="nil"/>
                    <w:tr2bl w:val="nil"/>
                  </w:tcBorders>
                  <w:vAlign w:val="center"/>
                </w:tcPr>
                <w:p w14:paraId="0BECB4C6">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p>
              </w:tc>
              <w:tc>
                <w:tcPr>
                  <w:tcW w:w="160" w:type="pct"/>
                  <w:tcBorders>
                    <w:tl2br w:val="nil"/>
                    <w:tr2bl w:val="nil"/>
                  </w:tcBorders>
                  <w:shd w:val="clear" w:color="auto" w:fill="auto"/>
                  <w:vAlign w:val="center"/>
                </w:tcPr>
                <w:p w14:paraId="3415208E">
                  <w:pPr>
                    <w:pStyle w:val="69"/>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90</w:t>
                  </w:r>
                </w:p>
              </w:tc>
              <w:tc>
                <w:tcPr>
                  <w:tcW w:w="229" w:type="pct"/>
                  <w:tcBorders>
                    <w:tl2br w:val="nil"/>
                    <w:tr2bl w:val="nil"/>
                  </w:tcBorders>
                  <w:vAlign w:val="center"/>
                </w:tcPr>
                <w:p w14:paraId="0ADD160E">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160" w:type="pct"/>
                  <w:tcBorders>
                    <w:tl2br w:val="nil"/>
                    <w:tr2bl w:val="nil"/>
                  </w:tcBorders>
                  <w:vAlign w:val="center"/>
                </w:tcPr>
                <w:p w14:paraId="25B812C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193" w:type="pct"/>
                  <w:tcBorders>
                    <w:tl2br w:val="nil"/>
                    <w:tr2bl w:val="nil"/>
                  </w:tcBorders>
                  <w:vAlign w:val="center"/>
                </w:tcPr>
                <w:p w14:paraId="408AFE77">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1.555</w:t>
                  </w:r>
                </w:p>
              </w:tc>
              <w:tc>
                <w:tcPr>
                  <w:tcW w:w="225" w:type="pct"/>
                  <w:tcBorders>
                    <w:tl2br w:val="nil"/>
                    <w:tr2bl w:val="nil"/>
                  </w:tcBorders>
                  <w:vAlign w:val="center"/>
                </w:tcPr>
                <w:p w14:paraId="182E692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2A27E5F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布袋除尘器</w:t>
                  </w:r>
                </w:p>
              </w:tc>
              <w:tc>
                <w:tcPr>
                  <w:tcW w:w="184" w:type="pct"/>
                  <w:tcBorders>
                    <w:tl2br w:val="nil"/>
                    <w:tr2bl w:val="nil"/>
                  </w:tcBorders>
                  <w:vAlign w:val="center"/>
                </w:tcPr>
                <w:p w14:paraId="1D8FA16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vAlign w:val="center"/>
                </w:tcPr>
                <w:p w14:paraId="263CDD1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vAlign w:val="center"/>
                </w:tcPr>
                <w:p w14:paraId="75EA2B3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7A070D0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200" w:type="pct"/>
                  <w:tcBorders>
                    <w:tl2br w:val="nil"/>
                    <w:tr2bl w:val="nil"/>
                  </w:tcBorders>
                  <w:vAlign w:val="center"/>
                </w:tcPr>
                <w:p w14:paraId="760F4BC7">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09" w:type="pct"/>
                  <w:tcBorders>
                    <w:tl2br w:val="nil"/>
                    <w:tr2bl w:val="nil"/>
                  </w:tcBorders>
                  <w:vAlign w:val="center"/>
                </w:tcPr>
                <w:p w14:paraId="62AA8F7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517" w:type="pct"/>
                  <w:tcBorders>
                    <w:tl2br w:val="nil"/>
                    <w:tr2bl w:val="nil"/>
                  </w:tcBorders>
                  <w:vAlign w:val="center"/>
                </w:tcPr>
                <w:p w14:paraId="02DD35A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089887B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vAlign w:val="center"/>
                </w:tcPr>
                <w:p w14:paraId="2284380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w:t>
                  </w:r>
                </w:p>
              </w:tc>
            </w:tr>
            <w:tr w14:paraId="2E6AA5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0036E2B7">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1E183276">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39ABC29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01001B8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b w:val="0"/>
                      <w:bCs w:val="0"/>
                      <w:color w:val="auto"/>
                      <w:kern w:val="0"/>
                      <w:sz w:val="21"/>
                      <w:szCs w:val="21"/>
                      <w:lang w:val="en-US" w:eastAsia="zh-CN" w:bidi="ar-SA"/>
                    </w:rPr>
                    <w:t>1.728</w:t>
                  </w:r>
                </w:p>
              </w:tc>
              <w:tc>
                <w:tcPr>
                  <w:tcW w:w="267" w:type="pct"/>
                  <w:tcBorders>
                    <w:tl2br w:val="nil"/>
                    <w:tr2bl w:val="nil"/>
                  </w:tcBorders>
                  <w:vAlign w:val="center"/>
                </w:tcPr>
                <w:p w14:paraId="5BB2DE4D">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p>
              </w:tc>
              <w:tc>
                <w:tcPr>
                  <w:tcW w:w="160" w:type="pct"/>
                  <w:tcBorders>
                    <w:tl2br w:val="nil"/>
                    <w:tr2bl w:val="nil"/>
                  </w:tcBorders>
                  <w:shd w:val="clear" w:color="auto" w:fill="auto"/>
                  <w:vAlign w:val="center"/>
                </w:tcPr>
                <w:p w14:paraId="6D1AB26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90</w:t>
                  </w:r>
                </w:p>
              </w:tc>
              <w:tc>
                <w:tcPr>
                  <w:tcW w:w="229" w:type="pct"/>
                  <w:tcBorders>
                    <w:tl2br w:val="nil"/>
                    <w:tr2bl w:val="nil"/>
                  </w:tcBorders>
                  <w:vAlign w:val="center"/>
                </w:tcPr>
                <w:p w14:paraId="7F9D7369">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160" w:type="pct"/>
                  <w:tcBorders>
                    <w:tl2br w:val="nil"/>
                    <w:tr2bl w:val="nil"/>
                  </w:tcBorders>
                  <w:vAlign w:val="center"/>
                </w:tcPr>
                <w:p w14:paraId="34715E2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193" w:type="pct"/>
                  <w:tcBorders>
                    <w:tl2br w:val="nil"/>
                    <w:tr2bl w:val="nil"/>
                  </w:tcBorders>
                  <w:vAlign w:val="center"/>
                </w:tcPr>
                <w:p w14:paraId="7DE246B4">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1.555</w:t>
                  </w:r>
                </w:p>
              </w:tc>
              <w:tc>
                <w:tcPr>
                  <w:tcW w:w="225" w:type="pct"/>
                  <w:tcBorders>
                    <w:tl2br w:val="nil"/>
                    <w:tr2bl w:val="nil"/>
                  </w:tcBorders>
                  <w:vAlign w:val="center"/>
                </w:tcPr>
                <w:p w14:paraId="54E67CC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58449C1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布袋除尘器</w:t>
                  </w:r>
                </w:p>
              </w:tc>
              <w:tc>
                <w:tcPr>
                  <w:tcW w:w="184" w:type="pct"/>
                  <w:tcBorders>
                    <w:tl2br w:val="nil"/>
                    <w:tr2bl w:val="nil"/>
                  </w:tcBorders>
                  <w:vAlign w:val="center"/>
                </w:tcPr>
                <w:p w14:paraId="36916E7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vAlign w:val="center"/>
                </w:tcPr>
                <w:p w14:paraId="07916D4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vAlign w:val="center"/>
                </w:tcPr>
                <w:p w14:paraId="3A4A298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37D304C9">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200" w:type="pct"/>
                  <w:tcBorders>
                    <w:tl2br w:val="nil"/>
                    <w:tr2bl w:val="nil"/>
                  </w:tcBorders>
                  <w:vAlign w:val="center"/>
                </w:tcPr>
                <w:p w14:paraId="3ECD5ABC">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09" w:type="pct"/>
                  <w:tcBorders>
                    <w:tl2br w:val="nil"/>
                    <w:tr2bl w:val="nil"/>
                  </w:tcBorders>
                  <w:vAlign w:val="center"/>
                </w:tcPr>
                <w:p w14:paraId="1311531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517" w:type="pct"/>
                  <w:tcBorders>
                    <w:tl2br w:val="nil"/>
                    <w:tr2bl w:val="nil"/>
                  </w:tcBorders>
                  <w:vAlign w:val="center"/>
                </w:tcPr>
                <w:p w14:paraId="0BF7EB1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37551FF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vAlign w:val="center"/>
                </w:tcPr>
                <w:p w14:paraId="0680393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w:t>
                  </w:r>
                </w:p>
              </w:tc>
            </w:tr>
            <w:tr w14:paraId="0EDA5C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735074DD">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38592366">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2B4BF13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638CECA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b w:val="0"/>
                      <w:bCs w:val="0"/>
                      <w:color w:val="auto"/>
                      <w:kern w:val="0"/>
                      <w:sz w:val="21"/>
                      <w:szCs w:val="21"/>
                      <w:lang w:val="en-US" w:eastAsia="zh-CN" w:bidi="ar-SA"/>
                    </w:rPr>
                    <w:t>1.728</w:t>
                  </w:r>
                </w:p>
              </w:tc>
              <w:tc>
                <w:tcPr>
                  <w:tcW w:w="267" w:type="pct"/>
                  <w:tcBorders>
                    <w:tl2br w:val="nil"/>
                    <w:tr2bl w:val="nil"/>
                  </w:tcBorders>
                  <w:vAlign w:val="center"/>
                </w:tcPr>
                <w:p w14:paraId="155DB46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p>
              </w:tc>
              <w:tc>
                <w:tcPr>
                  <w:tcW w:w="160" w:type="pct"/>
                  <w:tcBorders>
                    <w:tl2br w:val="nil"/>
                    <w:tr2bl w:val="nil"/>
                  </w:tcBorders>
                  <w:shd w:val="clear" w:color="auto" w:fill="auto"/>
                  <w:vAlign w:val="center"/>
                </w:tcPr>
                <w:p w14:paraId="4E47208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90</w:t>
                  </w:r>
                </w:p>
              </w:tc>
              <w:tc>
                <w:tcPr>
                  <w:tcW w:w="229" w:type="pct"/>
                  <w:tcBorders>
                    <w:tl2br w:val="nil"/>
                    <w:tr2bl w:val="nil"/>
                  </w:tcBorders>
                  <w:vAlign w:val="center"/>
                </w:tcPr>
                <w:p w14:paraId="4DE2851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160" w:type="pct"/>
                  <w:tcBorders>
                    <w:tl2br w:val="nil"/>
                    <w:tr2bl w:val="nil"/>
                  </w:tcBorders>
                  <w:vAlign w:val="center"/>
                </w:tcPr>
                <w:p w14:paraId="6EA343E0">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193" w:type="pct"/>
                  <w:tcBorders>
                    <w:tl2br w:val="nil"/>
                    <w:tr2bl w:val="nil"/>
                  </w:tcBorders>
                  <w:vAlign w:val="center"/>
                </w:tcPr>
                <w:p w14:paraId="073AFFA7">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1.555</w:t>
                  </w:r>
                </w:p>
              </w:tc>
              <w:tc>
                <w:tcPr>
                  <w:tcW w:w="225" w:type="pct"/>
                  <w:tcBorders>
                    <w:tl2br w:val="nil"/>
                    <w:tr2bl w:val="nil"/>
                  </w:tcBorders>
                  <w:vAlign w:val="center"/>
                </w:tcPr>
                <w:p w14:paraId="2047279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450F374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布袋除尘器</w:t>
                  </w:r>
                </w:p>
              </w:tc>
              <w:tc>
                <w:tcPr>
                  <w:tcW w:w="184" w:type="pct"/>
                  <w:tcBorders>
                    <w:tl2br w:val="nil"/>
                    <w:tr2bl w:val="nil"/>
                  </w:tcBorders>
                  <w:vAlign w:val="center"/>
                </w:tcPr>
                <w:p w14:paraId="0886CAB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vAlign w:val="center"/>
                </w:tcPr>
                <w:p w14:paraId="1F038C1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vAlign w:val="center"/>
                </w:tcPr>
                <w:p w14:paraId="298547C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17B64DBC">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200" w:type="pct"/>
                  <w:tcBorders>
                    <w:tl2br w:val="nil"/>
                    <w:tr2bl w:val="nil"/>
                  </w:tcBorders>
                  <w:vAlign w:val="center"/>
                </w:tcPr>
                <w:p w14:paraId="60B269C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09" w:type="pct"/>
                  <w:tcBorders>
                    <w:tl2br w:val="nil"/>
                    <w:tr2bl w:val="nil"/>
                  </w:tcBorders>
                  <w:vAlign w:val="center"/>
                </w:tcPr>
                <w:p w14:paraId="05217FA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517" w:type="pct"/>
                  <w:tcBorders>
                    <w:tl2br w:val="nil"/>
                    <w:tr2bl w:val="nil"/>
                  </w:tcBorders>
                  <w:vAlign w:val="center"/>
                </w:tcPr>
                <w:p w14:paraId="451B831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7023F7B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vAlign w:val="center"/>
                </w:tcPr>
                <w:p w14:paraId="2AD85B9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w:t>
                  </w:r>
                </w:p>
              </w:tc>
            </w:tr>
            <w:tr w14:paraId="69E0DA0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vAlign w:val="center"/>
                </w:tcPr>
                <w:p w14:paraId="7ADC4D4D">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06" w:type="pct"/>
                  <w:vMerge w:val="continue"/>
                  <w:tcBorders>
                    <w:tl2br w:val="nil"/>
                    <w:tr2bl w:val="nil"/>
                  </w:tcBorders>
                  <w:vAlign w:val="center"/>
                </w:tcPr>
                <w:p w14:paraId="7EC880CE">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p>
              </w:tc>
              <w:tc>
                <w:tcPr>
                  <w:tcW w:w="344" w:type="pct"/>
                  <w:tcBorders>
                    <w:tl2br w:val="nil"/>
                    <w:tr2bl w:val="nil"/>
                  </w:tcBorders>
                  <w:shd w:val="clear" w:color="auto" w:fill="auto"/>
                  <w:vAlign w:val="center"/>
                </w:tcPr>
                <w:p w14:paraId="568EAC4A">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2113961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b w:val="0"/>
                      <w:bCs w:val="0"/>
                      <w:color w:val="auto"/>
                      <w:kern w:val="0"/>
                      <w:sz w:val="21"/>
                      <w:szCs w:val="21"/>
                      <w:lang w:val="en-US" w:eastAsia="zh-CN" w:bidi="ar-SA"/>
                    </w:rPr>
                    <w:t>1.728</w:t>
                  </w:r>
                </w:p>
              </w:tc>
              <w:tc>
                <w:tcPr>
                  <w:tcW w:w="267" w:type="pct"/>
                  <w:tcBorders>
                    <w:tl2br w:val="nil"/>
                    <w:tr2bl w:val="nil"/>
                  </w:tcBorders>
                  <w:vAlign w:val="center"/>
                </w:tcPr>
                <w:p w14:paraId="5F154D5F">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p>
              </w:tc>
              <w:tc>
                <w:tcPr>
                  <w:tcW w:w="160" w:type="pct"/>
                  <w:tcBorders>
                    <w:tl2br w:val="nil"/>
                    <w:tr2bl w:val="nil"/>
                  </w:tcBorders>
                  <w:shd w:val="clear" w:color="auto" w:fill="auto"/>
                  <w:vAlign w:val="center"/>
                </w:tcPr>
                <w:p w14:paraId="0078A86A">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90</w:t>
                  </w:r>
                </w:p>
              </w:tc>
              <w:tc>
                <w:tcPr>
                  <w:tcW w:w="229" w:type="pct"/>
                  <w:tcBorders>
                    <w:tl2br w:val="nil"/>
                    <w:tr2bl w:val="nil"/>
                  </w:tcBorders>
                  <w:vAlign w:val="center"/>
                </w:tcPr>
                <w:p w14:paraId="14AC129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160" w:type="pct"/>
                  <w:tcBorders>
                    <w:tl2br w:val="nil"/>
                    <w:tr2bl w:val="nil"/>
                  </w:tcBorders>
                  <w:vAlign w:val="center"/>
                </w:tcPr>
                <w:p w14:paraId="32289317">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193" w:type="pct"/>
                  <w:tcBorders>
                    <w:tl2br w:val="nil"/>
                    <w:tr2bl w:val="nil"/>
                  </w:tcBorders>
                  <w:vAlign w:val="center"/>
                </w:tcPr>
                <w:p w14:paraId="09835313">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1.555</w:t>
                  </w:r>
                </w:p>
              </w:tc>
              <w:tc>
                <w:tcPr>
                  <w:tcW w:w="225" w:type="pct"/>
                  <w:tcBorders>
                    <w:tl2br w:val="nil"/>
                    <w:tr2bl w:val="nil"/>
                  </w:tcBorders>
                  <w:vAlign w:val="center"/>
                </w:tcPr>
                <w:p w14:paraId="62A8A35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1E25017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布袋除尘器</w:t>
                  </w:r>
                </w:p>
              </w:tc>
              <w:tc>
                <w:tcPr>
                  <w:tcW w:w="184" w:type="pct"/>
                  <w:tcBorders>
                    <w:tl2br w:val="nil"/>
                    <w:tr2bl w:val="nil"/>
                  </w:tcBorders>
                  <w:vAlign w:val="center"/>
                </w:tcPr>
                <w:p w14:paraId="4E4CFD4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10000</w:t>
                  </w:r>
                </w:p>
              </w:tc>
              <w:tc>
                <w:tcPr>
                  <w:tcW w:w="244" w:type="pct"/>
                  <w:tcBorders>
                    <w:tl2br w:val="nil"/>
                    <w:tr2bl w:val="nil"/>
                  </w:tcBorders>
                  <w:vAlign w:val="center"/>
                </w:tcPr>
                <w:p w14:paraId="01CFF37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vAlign w:val="center"/>
                </w:tcPr>
                <w:p w14:paraId="29079EA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0575A510">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200" w:type="pct"/>
                  <w:tcBorders>
                    <w:tl2br w:val="nil"/>
                    <w:tr2bl w:val="nil"/>
                  </w:tcBorders>
                  <w:vAlign w:val="center"/>
                </w:tcPr>
                <w:p w14:paraId="43EFB87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09" w:type="pct"/>
                  <w:tcBorders>
                    <w:tl2br w:val="nil"/>
                    <w:tr2bl w:val="nil"/>
                  </w:tcBorders>
                  <w:vAlign w:val="center"/>
                </w:tcPr>
                <w:p w14:paraId="3724811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517" w:type="pct"/>
                  <w:tcBorders>
                    <w:tl2br w:val="nil"/>
                    <w:tr2bl w:val="nil"/>
                  </w:tcBorders>
                  <w:vAlign w:val="center"/>
                </w:tcPr>
                <w:p w14:paraId="025EF54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vAlign w:val="center"/>
                </w:tcPr>
                <w:p w14:paraId="7B75B5F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vAlign w:val="center"/>
                </w:tcPr>
                <w:p w14:paraId="4F2EABD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1</w:t>
                  </w:r>
                </w:p>
              </w:tc>
            </w:tr>
            <w:tr w14:paraId="703744D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restart"/>
                  <w:tcBorders>
                    <w:tl2br w:val="nil"/>
                    <w:tr2bl w:val="nil"/>
                  </w:tcBorders>
                  <w:shd w:val="clear" w:color="auto" w:fill="auto"/>
                  <w:vAlign w:val="center"/>
                </w:tcPr>
                <w:p w14:paraId="34422DE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val="en-US" w:eastAsia="zh-CN" w:bidi="ar-SA"/>
                    </w:rPr>
                    <w:t>橡胶条生产线</w:t>
                  </w:r>
                </w:p>
              </w:tc>
              <w:tc>
                <w:tcPr>
                  <w:tcW w:w="306" w:type="pct"/>
                  <w:vMerge w:val="restart"/>
                  <w:tcBorders>
                    <w:tl2br w:val="nil"/>
                    <w:tr2bl w:val="nil"/>
                  </w:tcBorders>
                  <w:shd w:val="clear" w:color="auto" w:fill="auto"/>
                  <w:vAlign w:val="center"/>
                </w:tcPr>
                <w:p w14:paraId="20C8528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eastAsia="zh-CN"/>
                    </w:rPr>
                    <w:t>涂胶和平板硫化</w:t>
                  </w:r>
                </w:p>
              </w:tc>
              <w:tc>
                <w:tcPr>
                  <w:tcW w:w="344" w:type="pct"/>
                  <w:tcBorders>
                    <w:tl2br w:val="nil"/>
                    <w:tr2bl w:val="nil"/>
                  </w:tcBorders>
                  <w:shd w:val="clear" w:color="auto" w:fill="auto"/>
                  <w:vAlign w:val="center"/>
                </w:tcPr>
                <w:p w14:paraId="77ECD77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挥发性有机物</w:t>
                  </w:r>
                </w:p>
              </w:tc>
              <w:tc>
                <w:tcPr>
                  <w:tcW w:w="229" w:type="pct"/>
                  <w:tcBorders>
                    <w:tl2br w:val="nil"/>
                    <w:tr2bl w:val="nil"/>
                  </w:tcBorders>
                  <w:shd w:val="clear" w:color="auto" w:fill="auto"/>
                  <w:vAlign w:val="center"/>
                </w:tcPr>
                <w:p w14:paraId="4218683F">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6.214</w:t>
                  </w:r>
                </w:p>
              </w:tc>
              <w:tc>
                <w:tcPr>
                  <w:tcW w:w="267" w:type="pct"/>
                  <w:vMerge w:val="restart"/>
                  <w:tcBorders>
                    <w:tl2br w:val="nil"/>
                    <w:tr2bl w:val="nil"/>
                  </w:tcBorders>
                  <w:vAlign w:val="center"/>
                </w:tcPr>
                <w:p w14:paraId="22C50D4C">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eastAsia="zh-CN"/>
                    </w:rPr>
                    <w:t>密闭车间</w:t>
                  </w:r>
                  <w:r>
                    <w:rPr>
                      <w:rFonts w:hint="default" w:ascii="Times New Roman" w:hAnsi="Times New Roman" w:eastAsia="宋体" w:cs="Times New Roman"/>
                      <w:color w:val="auto"/>
                      <w:sz w:val="21"/>
                      <w:szCs w:val="21"/>
                      <w:lang w:val="en-US" w:eastAsia="zh-CN"/>
                    </w:rPr>
                    <w:t>/密闭管道</w:t>
                  </w:r>
                </w:p>
              </w:tc>
              <w:tc>
                <w:tcPr>
                  <w:tcW w:w="160" w:type="pct"/>
                  <w:tcBorders>
                    <w:tl2br w:val="nil"/>
                    <w:tr2bl w:val="nil"/>
                  </w:tcBorders>
                  <w:shd w:val="clear" w:color="auto" w:fill="auto"/>
                  <w:vAlign w:val="center"/>
                </w:tcPr>
                <w:p w14:paraId="25596339">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6F20FE8B">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61.493</w:t>
                  </w:r>
                </w:p>
              </w:tc>
              <w:tc>
                <w:tcPr>
                  <w:tcW w:w="160" w:type="pct"/>
                  <w:tcBorders>
                    <w:tl2br w:val="nil"/>
                    <w:tr2bl w:val="nil"/>
                  </w:tcBorders>
                  <w:vAlign w:val="center"/>
                </w:tcPr>
                <w:p w14:paraId="0A69A092">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1.230</w:t>
                  </w:r>
                </w:p>
              </w:tc>
              <w:tc>
                <w:tcPr>
                  <w:tcW w:w="193" w:type="pct"/>
                  <w:tcBorders>
                    <w:tl2br w:val="nil"/>
                    <w:tr2bl w:val="nil"/>
                  </w:tcBorders>
                  <w:vAlign w:val="center"/>
                </w:tcPr>
                <w:p w14:paraId="2EC9FBD8">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5.903</w:t>
                  </w:r>
                </w:p>
              </w:tc>
              <w:tc>
                <w:tcPr>
                  <w:tcW w:w="225" w:type="pct"/>
                  <w:tcBorders>
                    <w:tl2br w:val="nil"/>
                    <w:tr2bl w:val="nil"/>
                  </w:tcBorders>
                  <w:shd w:val="clear" w:color="auto" w:fill="auto"/>
                  <w:vAlign w:val="center"/>
                </w:tcPr>
                <w:p w14:paraId="24FBE3A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有组织</w:t>
                  </w:r>
                </w:p>
              </w:tc>
              <w:tc>
                <w:tcPr>
                  <w:tcW w:w="333" w:type="pct"/>
                  <w:vMerge w:val="restart"/>
                  <w:tcBorders>
                    <w:tl2br w:val="nil"/>
                    <w:tr2bl w:val="nil"/>
                  </w:tcBorders>
                  <w:vAlign w:val="center"/>
                </w:tcPr>
                <w:p w14:paraId="35FB9F4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lang w:val="en-US" w:eastAsia="zh-CN"/>
                    </w:rPr>
                    <w:t>二级活性炭吸附装置</w:t>
                  </w:r>
                </w:p>
              </w:tc>
              <w:tc>
                <w:tcPr>
                  <w:tcW w:w="184" w:type="pct"/>
                  <w:vMerge w:val="restart"/>
                  <w:tcBorders>
                    <w:tl2br w:val="nil"/>
                    <w:tr2bl w:val="nil"/>
                  </w:tcBorders>
                  <w:vAlign w:val="center"/>
                </w:tcPr>
                <w:p w14:paraId="2A82B09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20000</w:t>
                  </w:r>
                </w:p>
              </w:tc>
              <w:tc>
                <w:tcPr>
                  <w:tcW w:w="244" w:type="pct"/>
                  <w:tcBorders>
                    <w:tl2br w:val="nil"/>
                    <w:tr2bl w:val="nil"/>
                  </w:tcBorders>
                  <w:shd w:val="clear" w:color="auto" w:fill="auto"/>
                  <w:vAlign w:val="center"/>
                </w:tcPr>
                <w:p w14:paraId="1FA7906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shd w:val="clear" w:color="auto" w:fill="auto"/>
                  <w:vAlign w:val="center"/>
                </w:tcPr>
                <w:p w14:paraId="7C162D4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41398A5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5.534</w:t>
                  </w:r>
                </w:p>
              </w:tc>
              <w:tc>
                <w:tcPr>
                  <w:tcW w:w="200" w:type="pct"/>
                  <w:tcBorders>
                    <w:tl2br w:val="nil"/>
                    <w:tr2bl w:val="nil"/>
                  </w:tcBorders>
                  <w:vAlign w:val="center"/>
                </w:tcPr>
                <w:p w14:paraId="0BCE2C7F">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0.111</w:t>
                  </w:r>
                </w:p>
              </w:tc>
              <w:tc>
                <w:tcPr>
                  <w:tcW w:w="209" w:type="pct"/>
                  <w:tcBorders>
                    <w:tl2br w:val="nil"/>
                    <w:tr2bl w:val="nil"/>
                  </w:tcBorders>
                  <w:vAlign w:val="center"/>
                </w:tcPr>
                <w:p w14:paraId="715F14D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0.531</w:t>
                  </w:r>
                </w:p>
              </w:tc>
              <w:tc>
                <w:tcPr>
                  <w:tcW w:w="517" w:type="pct"/>
                  <w:vMerge w:val="restart"/>
                  <w:tcBorders>
                    <w:tl2br w:val="nil"/>
                    <w:tr2bl w:val="nil"/>
                  </w:tcBorders>
                  <w:vAlign w:val="center"/>
                </w:tcPr>
                <w:p w14:paraId="3A55473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9</w:t>
                  </w:r>
                  <w:r>
                    <w:rPr>
                      <w:rFonts w:hint="default" w:ascii="Times New Roman" w:hAnsi="Times New Roman" w:eastAsia="宋体" w:cs="Times New Roman"/>
                      <w:color w:val="auto"/>
                      <w:kern w:val="0"/>
                      <w:sz w:val="21"/>
                      <w:szCs w:val="21"/>
                    </w:rPr>
                    <w:t>，高</w:t>
                  </w:r>
                  <w:r>
                    <w:rPr>
                      <w:rFonts w:hint="default"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rPr>
                    <w:t>m，内径0.</w:t>
                  </w:r>
                  <w:r>
                    <w:rPr>
                      <w:rFonts w:hint="default"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m，年排放</w:t>
                  </w:r>
                  <w:r>
                    <w:rPr>
                      <w:rFonts w:hint="default" w:ascii="Times New Roman" w:hAnsi="Times New Roman" w:eastAsia="宋体" w:cs="Times New Roman"/>
                      <w:color w:val="auto"/>
                      <w:kern w:val="0"/>
                      <w:sz w:val="21"/>
                      <w:szCs w:val="21"/>
                      <w:lang w:val="en-US" w:eastAsia="zh-CN"/>
                    </w:rPr>
                    <w:t>48</w:t>
                  </w:r>
                  <w:r>
                    <w:rPr>
                      <w:rFonts w:hint="default" w:ascii="Times New Roman" w:hAnsi="Times New Roman" w:eastAsia="宋体" w:cs="Times New Roman"/>
                      <w:color w:val="auto"/>
                      <w:kern w:val="0"/>
                      <w:sz w:val="21"/>
                      <w:szCs w:val="21"/>
                    </w:rPr>
                    <w:t>00h</w:t>
                  </w:r>
                </w:p>
              </w:tc>
              <w:tc>
                <w:tcPr>
                  <w:tcW w:w="201" w:type="pct"/>
                  <w:tcBorders>
                    <w:tl2br w:val="nil"/>
                    <w:tr2bl w:val="nil"/>
                  </w:tcBorders>
                  <w:shd w:val="clear" w:color="auto" w:fill="auto"/>
                  <w:vAlign w:val="center"/>
                </w:tcPr>
                <w:p w14:paraId="77CFF88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10</w:t>
                  </w:r>
                </w:p>
              </w:tc>
              <w:tc>
                <w:tcPr>
                  <w:tcW w:w="167" w:type="pct"/>
                  <w:tcBorders>
                    <w:tl2br w:val="nil"/>
                    <w:tr2bl w:val="nil"/>
                  </w:tcBorders>
                  <w:shd w:val="clear" w:color="auto" w:fill="auto"/>
                  <w:vAlign w:val="center"/>
                </w:tcPr>
                <w:p w14:paraId="35CA519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0882BF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54" w:hRule="atLeast"/>
                <w:jc w:val="center"/>
              </w:trPr>
              <w:tc>
                <w:tcPr>
                  <w:tcW w:w="352" w:type="pct"/>
                  <w:vMerge w:val="continue"/>
                  <w:tcBorders>
                    <w:tl2br w:val="nil"/>
                    <w:tr2bl w:val="nil"/>
                  </w:tcBorders>
                  <w:shd w:val="clear" w:color="auto" w:fill="auto"/>
                  <w:vAlign w:val="center"/>
                </w:tcPr>
                <w:p w14:paraId="35411555">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06" w:type="pct"/>
                  <w:vMerge w:val="continue"/>
                  <w:tcBorders>
                    <w:tl2br w:val="nil"/>
                    <w:tr2bl w:val="nil"/>
                  </w:tcBorders>
                  <w:shd w:val="clear" w:color="auto" w:fill="auto"/>
                  <w:vAlign w:val="center"/>
                </w:tcPr>
                <w:p w14:paraId="706EF4F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44" w:type="pct"/>
                  <w:tcBorders>
                    <w:tl2br w:val="nil"/>
                    <w:tr2bl w:val="nil"/>
                  </w:tcBorders>
                  <w:shd w:val="clear" w:color="auto" w:fill="auto"/>
                  <w:vAlign w:val="center"/>
                </w:tcPr>
                <w:p w14:paraId="2D604CF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甲苯</w:t>
                  </w:r>
                </w:p>
              </w:tc>
              <w:tc>
                <w:tcPr>
                  <w:tcW w:w="229" w:type="pct"/>
                  <w:tcBorders>
                    <w:tl2br w:val="nil"/>
                    <w:tr2bl w:val="nil"/>
                  </w:tcBorders>
                  <w:shd w:val="clear" w:color="auto" w:fill="auto"/>
                  <w:vAlign w:val="center"/>
                </w:tcPr>
                <w:p w14:paraId="58E53F1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4.5</w:t>
                  </w:r>
                </w:p>
              </w:tc>
              <w:tc>
                <w:tcPr>
                  <w:tcW w:w="267" w:type="pct"/>
                  <w:vMerge w:val="continue"/>
                  <w:tcBorders>
                    <w:tl2br w:val="nil"/>
                    <w:tr2bl w:val="nil"/>
                  </w:tcBorders>
                  <w:vAlign w:val="center"/>
                </w:tcPr>
                <w:p w14:paraId="2E1CD51C">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val="en-US" w:eastAsia="zh-CN"/>
                    </w:rPr>
                  </w:pPr>
                </w:p>
              </w:tc>
              <w:tc>
                <w:tcPr>
                  <w:tcW w:w="160" w:type="pct"/>
                  <w:tcBorders>
                    <w:tl2br w:val="nil"/>
                    <w:tr2bl w:val="nil"/>
                  </w:tcBorders>
                  <w:shd w:val="clear" w:color="auto" w:fill="auto"/>
                  <w:vAlign w:val="center"/>
                </w:tcPr>
                <w:p w14:paraId="00AE684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35D6BF3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44.531</w:t>
                  </w:r>
                </w:p>
              </w:tc>
              <w:tc>
                <w:tcPr>
                  <w:tcW w:w="160" w:type="pct"/>
                  <w:tcBorders>
                    <w:tl2br w:val="nil"/>
                    <w:tr2bl w:val="nil"/>
                  </w:tcBorders>
                  <w:vAlign w:val="center"/>
                </w:tcPr>
                <w:p w14:paraId="1543CEDD">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0.891</w:t>
                  </w:r>
                </w:p>
              </w:tc>
              <w:tc>
                <w:tcPr>
                  <w:tcW w:w="193" w:type="pct"/>
                  <w:tcBorders>
                    <w:tl2br w:val="nil"/>
                    <w:tr2bl w:val="nil"/>
                  </w:tcBorders>
                  <w:vAlign w:val="center"/>
                </w:tcPr>
                <w:p w14:paraId="5412A09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4.275</w:t>
                  </w:r>
                </w:p>
              </w:tc>
              <w:tc>
                <w:tcPr>
                  <w:tcW w:w="225" w:type="pct"/>
                  <w:tcBorders>
                    <w:tl2br w:val="nil"/>
                    <w:tr2bl w:val="nil"/>
                  </w:tcBorders>
                  <w:shd w:val="clear" w:color="auto" w:fill="auto"/>
                  <w:vAlign w:val="center"/>
                </w:tcPr>
                <w:p w14:paraId="0482338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3CB673E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p>
              </w:tc>
              <w:tc>
                <w:tcPr>
                  <w:tcW w:w="184" w:type="pct"/>
                  <w:vMerge w:val="continue"/>
                  <w:tcBorders>
                    <w:tl2br w:val="nil"/>
                    <w:tr2bl w:val="nil"/>
                  </w:tcBorders>
                  <w:vAlign w:val="center"/>
                </w:tcPr>
                <w:p w14:paraId="2EF020B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p>
              </w:tc>
              <w:tc>
                <w:tcPr>
                  <w:tcW w:w="244" w:type="pct"/>
                  <w:tcBorders>
                    <w:tl2br w:val="nil"/>
                    <w:tr2bl w:val="nil"/>
                  </w:tcBorders>
                  <w:shd w:val="clear" w:color="auto" w:fill="auto"/>
                  <w:vAlign w:val="center"/>
                </w:tcPr>
                <w:p w14:paraId="0BC47D6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shd w:val="clear" w:color="auto" w:fill="auto"/>
                  <w:vAlign w:val="center"/>
                </w:tcPr>
                <w:p w14:paraId="71FC2FA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0646998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4.008</w:t>
                  </w:r>
                </w:p>
              </w:tc>
              <w:tc>
                <w:tcPr>
                  <w:tcW w:w="200" w:type="pct"/>
                  <w:tcBorders>
                    <w:tl2br w:val="nil"/>
                    <w:tr2bl w:val="nil"/>
                  </w:tcBorders>
                  <w:vAlign w:val="center"/>
                </w:tcPr>
                <w:p w14:paraId="4EC33B5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0.080</w:t>
                  </w:r>
                </w:p>
              </w:tc>
              <w:tc>
                <w:tcPr>
                  <w:tcW w:w="209" w:type="pct"/>
                  <w:tcBorders>
                    <w:tl2br w:val="nil"/>
                    <w:tr2bl w:val="nil"/>
                  </w:tcBorders>
                  <w:vAlign w:val="center"/>
                </w:tcPr>
                <w:p w14:paraId="5564BE8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0.385</w:t>
                  </w:r>
                </w:p>
              </w:tc>
              <w:tc>
                <w:tcPr>
                  <w:tcW w:w="517" w:type="pct"/>
                  <w:vMerge w:val="continue"/>
                  <w:tcBorders>
                    <w:tl2br w:val="nil"/>
                    <w:tr2bl w:val="nil"/>
                  </w:tcBorders>
                  <w:vAlign w:val="center"/>
                </w:tcPr>
                <w:p w14:paraId="2516722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shd w:val="clear" w:color="auto" w:fill="auto"/>
                  <w:vAlign w:val="center"/>
                </w:tcPr>
                <w:p w14:paraId="3F1C9D06">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15</w:t>
                  </w:r>
                </w:p>
              </w:tc>
              <w:tc>
                <w:tcPr>
                  <w:tcW w:w="167" w:type="pct"/>
                  <w:tcBorders>
                    <w:tl2br w:val="nil"/>
                    <w:tr2bl w:val="nil"/>
                  </w:tcBorders>
                  <w:shd w:val="clear" w:color="auto" w:fill="auto"/>
                  <w:vAlign w:val="center"/>
                </w:tcPr>
                <w:p w14:paraId="2994B7E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2DBAB6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16BC29C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06" w:type="pct"/>
                  <w:vMerge w:val="continue"/>
                  <w:tcBorders>
                    <w:tl2br w:val="nil"/>
                    <w:tr2bl w:val="nil"/>
                  </w:tcBorders>
                  <w:shd w:val="clear" w:color="auto" w:fill="auto"/>
                  <w:vAlign w:val="center"/>
                </w:tcPr>
                <w:p w14:paraId="4EE9E2E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44" w:type="pct"/>
                  <w:tcBorders>
                    <w:tl2br w:val="nil"/>
                    <w:tr2bl w:val="nil"/>
                  </w:tcBorders>
                  <w:shd w:val="clear" w:color="auto" w:fill="auto"/>
                  <w:vAlign w:val="center"/>
                </w:tcPr>
                <w:p w14:paraId="3552B02D">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229" w:type="pct"/>
                  <w:tcBorders>
                    <w:tl2br w:val="nil"/>
                    <w:tr2bl w:val="nil"/>
                  </w:tcBorders>
                  <w:shd w:val="clear" w:color="auto" w:fill="auto"/>
                  <w:vAlign w:val="center"/>
                </w:tcPr>
                <w:p w14:paraId="22CE608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0.105</w:t>
                  </w:r>
                </w:p>
              </w:tc>
              <w:tc>
                <w:tcPr>
                  <w:tcW w:w="267" w:type="pct"/>
                  <w:vMerge w:val="continue"/>
                  <w:tcBorders>
                    <w:tl2br w:val="nil"/>
                    <w:tr2bl w:val="nil"/>
                  </w:tcBorders>
                  <w:vAlign w:val="center"/>
                </w:tcPr>
                <w:p w14:paraId="7C7BBC5A">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val="en-US" w:eastAsia="zh-CN"/>
                    </w:rPr>
                  </w:pPr>
                </w:p>
              </w:tc>
              <w:tc>
                <w:tcPr>
                  <w:tcW w:w="160" w:type="pct"/>
                  <w:tcBorders>
                    <w:tl2br w:val="nil"/>
                    <w:tr2bl w:val="nil"/>
                  </w:tcBorders>
                  <w:shd w:val="clear" w:color="auto" w:fill="auto"/>
                  <w:vAlign w:val="center"/>
                </w:tcPr>
                <w:p w14:paraId="158D95EE">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2D69BC5F">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1.039</w:t>
                  </w:r>
                </w:p>
              </w:tc>
              <w:tc>
                <w:tcPr>
                  <w:tcW w:w="160" w:type="pct"/>
                  <w:tcBorders>
                    <w:tl2br w:val="nil"/>
                    <w:tr2bl w:val="nil"/>
                  </w:tcBorders>
                  <w:vAlign w:val="center"/>
                </w:tcPr>
                <w:p w14:paraId="4134CD93">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0.021</w:t>
                  </w:r>
                </w:p>
              </w:tc>
              <w:tc>
                <w:tcPr>
                  <w:tcW w:w="193" w:type="pct"/>
                  <w:tcBorders>
                    <w:tl2br w:val="nil"/>
                    <w:tr2bl w:val="nil"/>
                  </w:tcBorders>
                  <w:vAlign w:val="center"/>
                </w:tcPr>
                <w:p w14:paraId="451096F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0.100</w:t>
                  </w:r>
                </w:p>
              </w:tc>
              <w:tc>
                <w:tcPr>
                  <w:tcW w:w="225" w:type="pct"/>
                  <w:tcBorders>
                    <w:tl2br w:val="nil"/>
                    <w:tr2bl w:val="nil"/>
                  </w:tcBorders>
                  <w:shd w:val="clear" w:color="auto" w:fill="auto"/>
                  <w:vAlign w:val="center"/>
                </w:tcPr>
                <w:p w14:paraId="6CEBC09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有组织</w:t>
                  </w:r>
                </w:p>
              </w:tc>
              <w:tc>
                <w:tcPr>
                  <w:tcW w:w="333" w:type="pct"/>
                  <w:vMerge w:val="continue"/>
                  <w:tcBorders>
                    <w:tl2br w:val="nil"/>
                    <w:tr2bl w:val="nil"/>
                  </w:tcBorders>
                  <w:vAlign w:val="center"/>
                </w:tcPr>
                <w:p w14:paraId="2CBC08BF">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p>
              </w:tc>
              <w:tc>
                <w:tcPr>
                  <w:tcW w:w="184" w:type="pct"/>
                  <w:vMerge w:val="continue"/>
                  <w:tcBorders>
                    <w:tl2br w:val="nil"/>
                    <w:tr2bl w:val="nil"/>
                  </w:tcBorders>
                  <w:vAlign w:val="center"/>
                </w:tcPr>
                <w:p w14:paraId="4C82152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p>
              </w:tc>
              <w:tc>
                <w:tcPr>
                  <w:tcW w:w="244" w:type="pct"/>
                  <w:tcBorders>
                    <w:tl2br w:val="nil"/>
                    <w:tr2bl w:val="nil"/>
                  </w:tcBorders>
                  <w:shd w:val="clear" w:color="auto" w:fill="auto"/>
                  <w:vAlign w:val="center"/>
                </w:tcPr>
                <w:p w14:paraId="7237260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91</w:t>
                  </w:r>
                </w:p>
              </w:tc>
              <w:tc>
                <w:tcPr>
                  <w:tcW w:w="239" w:type="pct"/>
                  <w:tcBorders>
                    <w:tl2br w:val="nil"/>
                    <w:tr2bl w:val="nil"/>
                  </w:tcBorders>
                  <w:shd w:val="clear" w:color="auto" w:fill="auto"/>
                  <w:vAlign w:val="center"/>
                </w:tcPr>
                <w:p w14:paraId="257AC56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7E3D2B8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0.094</w:t>
                  </w:r>
                </w:p>
              </w:tc>
              <w:tc>
                <w:tcPr>
                  <w:tcW w:w="200" w:type="pct"/>
                  <w:tcBorders>
                    <w:tl2br w:val="nil"/>
                    <w:tr2bl w:val="nil"/>
                  </w:tcBorders>
                  <w:vAlign w:val="center"/>
                </w:tcPr>
                <w:p w14:paraId="2813BD23">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0.002</w:t>
                  </w:r>
                </w:p>
              </w:tc>
              <w:tc>
                <w:tcPr>
                  <w:tcW w:w="209" w:type="pct"/>
                  <w:tcBorders>
                    <w:tl2br w:val="nil"/>
                    <w:tr2bl w:val="nil"/>
                  </w:tcBorders>
                  <w:vAlign w:val="center"/>
                </w:tcPr>
                <w:p w14:paraId="0602F604">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0.009</w:t>
                  </w:r>
                </w:p>
              </w:tc>
              <w:tc>
                <w:tcPr>
                  <w:tcW w:w="517" w:type="pct"/>
                  <w:vMerge w:val="continue"/>
                  <w:tcBorders>
                    <w:tl2br w:val="nil"/>
                    <w:tr2bl w:val="nil"/>
                  </w:tcBorders>
                  <w:vAlign w:val="center"/>
                </w:tcPr>
                <w:p w14:paraId="5D61103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shd w:val="clear" w:color="auto" w:fill="auto"/>
                  <w:vAlign w:val="center"/>
                </w:tcPr>
                <w:p w14:paraId="4E9D263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c>
                <w:tcPr>
                  <w:tcW w:w="167" w:type="pct"/>
                  <w:tcBorders>
                    <w:tl2br w:val="nil"/>
                    <w:tr2bl w:val="nil"/>
                  </w:tcBorders>
                  <w:shd w:val="clear" w:color="auto" w:fill="auto"/>
                  <w:vAlign w:val="center"/>
                </w:tcPr>
                <w:p w14:paraId="72848C0B">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0.33</w:t>
                  </w:r>
                </w:p>
              </w:tc>
            </w:tr>
            <w:tr w14:paraId="3F4EFD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52" w:type="pct"/>
                  <w:vMerge w:val="continue"/>
                  <w:tcBorders>
                    <w:tl2br w:val="nil"/>
                    <w:tr2bl w:val="nil"/>
                  </w:tcBorders>
                  <w:shd w:val="clear" w:color="auto" w:fill="auto"/>
                  <w:vAlign w:val="center"/>
                </w:tcPr>
                <w:p w14:paraId="1ECEDB3A">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06" w:type="pct"/>
                  <w:vMerge w:val="continue"/>
                  <w:tcBorders>
                    <w:tl2br w:val="nil"/>
                    <w:tr2bl w:val="nil"/>
                  </w:tcBorders>
                  <w:shd w:val="clear" w:color="auto" w:fill="auto"/>
                  <w:vAlign w:val="center"/>
                </w:tcPr>
                <w:p w14:paraId="02306C6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p>
              </w:tc>
              <w:tc>
                <w:tcPr>
                  <w:tcW w:w="344" w:type="pct"/>
                  <w:tcBorders>
                    <w:tl2br w:val="nil"/>
                    <w:tr2bl w:val="nil"/>
                  </w:tcBorders>
                  <w:shd w:val="clear" w:color="auto" w:fill="auto"/>
                  <w:vAlign w:val="center"/>
                </w:tcPr>
                <w:p w14:paraId="779D0BAF">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val="en-US" w:eastAsia="zh-CN" w:bidi="ar-SA"/>
                    </w:rPr>
                    <w:t>颗粒物</w:t>
                  </w:r>
                </w:p>
              </w:tc>
              <w:tc>
                <w:tcPr>
                  <w:tcW w:w="229" w:type="pct"/>
                  <w:tcBorders>
                    <w:tl2br w:val="nil"/>
                    <w:tr2bl w:val="nil"/>
                  </w:tcBorders>
                  <w:shd w:val="clear" w:color="auto" w:fill="auto"/>
                  <w:vAlign w:val="center"/>
                </w:tcPr>
                <w:p w14:paraId="1815660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5.885</w:t>
                  </w:r>
                </w:p>
              </w:tc>
              <w:tc>
                <w:tcPr>
                  <w:tcW w:w="267" w:type="pct"/>
                  <w:tcBorders>
                    <w:tl2br w:val="nil"/>
                    <w:tr2bl w:val="nil"/>
                  </w:tcBorders>
                  <w:vAlign w:val="center"/>
                </w:tcPr>
                <w:p w14:paraId="217CA62B">
                  <w:pPr>
                    <w:keepNext w:val="0"/>
                    <w:keepLines w:val="0"/>
                    <w:pageBreakBefore w:val="0"/>
                    <w:widowControl w:val="0"/>
                    <w:kinsoku/>
                    <w:wordWrap/>
                    <w:overflowPunct/>
                    <w:topLinePunct w:val="0"/>
                    <w:autoSpaceDE/>
                    <w:autoSpaceDN/>
                    <w:bidi w:val="0"/>
                    <w:spacing w:line="360" w:lineRule="exac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eastAsia="zh-CN"/>
                    </w:rPr>
                    <w:t>密闭车间</w:t>
                  </w:r>
                </w:p>
              </w:tc>
              <w:tc>
                <w:tcPr>
                  <w:tcW w:w="160" w:type="pct"/>
                  <w:tcBorders>
                    <w:tl2br w:val="nil"/>
                    <w:tr2bl w:val="nil"/>
                  </w:tcBorders>
                  <w:shd w:val="clear" w:color="auto" w:fill="auto"/>
                  <w:vAlign w:val="center"/>
                </w:tcPr>
                <w:p w14:paraId="382AD415">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95</w:t>
                  </w:r>
                </w:p>
              </w:tc>
              <w:tc>
                <w:tcPr>
                  <w:tcW w:w="229" w:type="pct"/>
                  <w:tcBorders>
                    <w:tl2br w:val="nil"/>
                    <w:tr2bl w:val="nil"/>
                  </w:tcBorders>
                  <w:vAlign w:val="center"/>
                </w:tcPr>
                <w:p w14:paraId="719847B4">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58.237</w:t>
                  </w:r>
                </w:p>
              </w:tc>
              <w:tc>
                <w:tcPr>
                  <w:tcW w:w="160" w:type="pct"/>
                  <w:tcBorders>
                    <w:tl2br w:val="nil"/>
                    <w:tr2bl w:val="nil"/>
                  </w:tcBorders>
                  <w:vAlign w:val="center"/>
                </w:tcPr>
                <w:p w14:paraId="30C31C6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1.165</w:t>
                  </w:r>
                </w:p>
              </w:tc>
              <w:tc>
                <w:tcPr>
                  <w:tcW w:w="193" w:type="pct"/>
                  <w:tcBorders>
                    <w:tl2br w:val="nil"/>
                    <w:tr2bl w:val="nil"/>
                  </w:tcBorders>
                  <w:vAlign w:val="center"/>
                </w:tcPr>
                <w:p w14:paraId="6D59BEF2">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5.591</w:t>
                  </w:r>
                </w:p>
              </w:tc>
              <w:tc>
                <w:tcPr>
                  <w:tcW w:w="225" w:type="pct"/>
                  <w:tcBorders>
                    <w:tl2br w:val="nil"/>
                    <w:tr2bl w:val="nil"/>
                  </w:tcBorders>
                  <w:shd w:val="clear" w:color="auto" w:fill="auto"/>
                  <w:vAlign w:val="center"/>
                </w:tcPr>
                <w:p w14:paraId="07BBAC45">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lang w:eastAsia="zh-CN"/>
                    </w:rPr>
                    <w:t>有组织</w:t>
                  </w:r>
                </w:p>
              </w:tc>
              <w:tc>
                <w:tcPr>
                  <w:tcW w:w="333" w:type="pct"/>
                  <w:tcBorders>
                    <w:tl2br w:val="nil"/>
                    <w:tr2bl w:val="nil"/>
                  </w:tcBorders>
                  <w:vAlign w:val="center"/>
                </w:tcPr>
                <w:p w14:paraId="13D9386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lang w:eastAsia="zh-CN"/>
                    </w:rPr>
                    <w:t>布袋除尘器</w:t>
                  </w:r>
                </w:p>
              </w:tc>
              <w:tc>
                <w:tcPr>
                  <w:tcW w:w="184" w:type="pct"/>
                  <w:vMerge w:val="continue"/>
                  <w:tcBorders>
                    <w:tl2br w:val="nil"/>
                    <w:tr2bl w:val="nil"/>
                  </w:tcBorders>
                  <w:vAlign w:val="center"/>
                </w:tcPr>
                <w:p w14:paraId="38361C7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p>
              </w:tc>
              <w:tc>
                <w:tcPr>
                  <w:tcW w:w="244" w:type="pct"/>
                  <w:tcBorders>
                    <w:tl2br w:val="nil"/>
                    <w:tr2bl w:val="nil"/>
                  </w:tcBorders>
                  <w:shd w:val="clear" w:color="auto" w:fill="auto"/>
                  <w:vAlign w:val="center"/>
                </w:tcPr>
                <w:p w14:paraId="0DF9231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98</w:t>
                  </w:r>
                </w:p>
              </w:tc>
              <w:tc>
                <w:tcPr>
                  <w:tcW w:w="239" w:type="pct"/>
                  <w:tcBorders>
                    <w:tl2br w:val="nil"/>
                    <w:tr2bl w:val="nil"/>
                  </w:tcBorders>
                  <w:shd w:val="clear" w:color="auto" w:fill="auto"/>
                  <w:vAlign w:val="center"/>
                </w:tcPr>
                <w:p w14:paraId="40D7BC9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lang w:eastAsia="zh-CN"/>
                    </w:rPr>
                    <w:t>是</w:t>
                  </w:r>
                </w:p>
              </w:tc>
              <w:tc>
                <w:tcPr>
                  <w:tcW w:w="235" w:type="pct"/>
                  <w:tcBorders>
                    <w:tl2br w:val="nil"/>
                    <w:tr2bl w:val="nil"/>
                  </w:tcBorders>
                  <w:vAlign w:val="center"/>
                </w:tcPr>
                <w:p w14:paraId="2A65201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1.165</w:t>
                  </w:r>
                </w:p>
              </w:tc>
              <w:tc>
                <w:tcPr>
                  <w:tcW w:w="200" w:type="pct"/>
                  <w:tcBorders>
                    <w:tl2br w:val="nil"/>
                    <w:tr2bl w:val="nil"/>
                  </w:tcBorders>
                  <w:vAlign w:val="center"/>
                </w:tcPr>
                <w:p w14:paraId="711EFB0D">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0.023</w:t>
                  </w:r>
                </w:p>
              </w:tc>
              <w:tc>
                <w:tcPr>
                  <w:tcW w:w="209" w:type="pct"/>
                  <w:tcBorders>
                    <w:tl2br w:val="nil"/>
                    <w:tr2bl w:val="nil"/>
                  </w:tcBorders>
                  <w:vAlign w:val="center"/>
                </w:tcPr>
                <w:p w14:paraId="416FFCA3">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0.112</w:t>
                  </w:r>
                </w:p>
              </w:tc>
              <w:tc>
                <w:tcPr>
                  <w:tcW w:w="517" w:type="pct"/>
                  <w:vMerge w:val="continue"/>
                  <w:tcBorders>
                    <w:tl2br w:val="nil"/>
                    <w:tr2bl w:val="nil"/>
                  </w:tcBorders>
                  <w:vAlign w:val="center"/>
                </w:tcPr>
                <w:p w14:paraId="6EDB5F78">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rPr>
                  </w:pPr>
                </w:p>
              </w:tc>
              <w:tc>
                <w:tcPr>
                  <w:tcW w:w="201" w:type="pct"/>
                  <w:tcBorders>
                    <w:tl2br w:val="nil"/>
                    <w:tr2bl w:val="nil"/>
                  </w:tcBorders>
                  <w:shd w:val="clear" w:color="auto" w:fill="auto"/>
                  <w:vAlign w:val="center"/>
                </w:tcPr>
                <w:p w14:paraId="237102B0">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20</w:t>
                  </w:r>
                </w:p>
              </w:tc>
              <w:tc>
                <w:tcPr>
                  <w:tcW w:w="167" w:type="pct"/>
                  <w:tcBorders>
                    <w:tl2br w:val="nil"/>
                    <w:tr2bl w:val="nil"/>
                  </w:tcBorders>
                  <w:shd w:val="clear" w:color="auto" w:fill="auto"/>
                  <w:vAlign w:val="center"/>
                </w:tcPr>
                <w:p w14:paraId="78BB5B9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1</w:t>
                  </w:r>
                </w:p>
              </w:tc>
            </w:tr>
          </w:tbl>
          <w:p w14:paraId="0A9F2522">
            <w:pPr>
              <w:widowControl/>
              <w:spacing w:line="500" w:lineRule="exact"/>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表4</w:t>
            </w:r>
            <w:r>
              <w:rPr>
                <w:rFonts w:hint="eastAsia" w:ascii="Times New Roman" w:hAnsi="Times New Roman" w:eastAsia="宋体" w:cs="Times New Roman"/>
                <w:b/>
                <w:bCs/>
                <w:color w:val="auto"/>
                <w:sz w:val="22"/>
                <w:szCs w:val="22"/>
                <w:lang w:val="en-US" w:eastAsia="zh-CN"/>
              </w:rPr>
              <w:t>.1</w:t>
            </w:r>
            <w:r>
              <w:rPr>
                <w:rFonts w:hint="default" w:ascii="Times New Roman" w:hAnsi="Times New Roman" w:eastAsia="宋体" w:cs="Times New Roman"/>
                <w:b/>
                <w:bCs/>
                <w:color w:val="auto"/>
                <w:sz w:val="22"/>
                <w:szCs w:val="22"/>
              </w:rPr>
              <w:t>-</w:t>
            </w:r>
            <w:r>
              <w:rPr>
                <w:rFonts w:hint="eastAsia" w:ascii="Times New Roman" w:hAnsi="Times New Roman" w:eastAsia="宋体" w:cs="Times New Roman"/>
                <w:b/>
                <w:bCs/>
                <w:color w:val="auto"/>
                <w:sz w:val="22"/>
                <w:szCs w:val="22"/>
                <w:lang w:val="en-US" w:eastAsia="zh-CN"/>
              </w:rPr>
              <w:t>2</w:t>
            </w:r>
            <w:r>
              <w:rPr>
                <w:rFonts w:hint="default" w:ascii="Times New Roman" w:hAnsi="Times New Roman" w:eastAsia="宋体" w:cs="Times New Roman"/>
                <w:b/>
                <w:bCs/>
                <w:color w:val="auto"/>
                <w:sz w:val="22"/>
                <w:szCs w:val="22"/>
              </w:rPr>
              <w:t xml:space="preserve">   本项目无组织废气污染物排放源表</w:t>
            </w:r>
          </w:p>
          <w:tbl>
            <w:tblPr>
              <w:tblStyle w:val="44"/>
              <w:tblW w:w="497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1816"/>
              <w:gridCol w:w="2544"/>
              <w:gridCol w:w="1809"/>
              <w:gridCol w:w="1528"/>
              <w:gridCol w:w="953"/>
              <w:gridCol w:w="969"/>
              <w:gridCol w:w="3160"/>
              <w:gridCol w:w="1005"/>
              <w:gridCol w:w="973"/>
              <w:gridCol w:w="840"/>
              <w:gridCol w:w="864"/>
              <w:gridCol w:w="1210"/>
              <w:gridCol w:w="836"/>
              <w:gridCol w:w="804"/>
              <w:gridCol w:w="768"/>
            </w:tblGrid>
            <w:tr w14:paraId="4F480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restart"/>
                  <w:tcBorders>
                    <w:top w:val="single" w:color="auto" w:sz="12" w:space="0"/>
                  </w:tcBorders>
                  <w:vAlign w:val="center"/>
                </w:tcPr>
                <w:p w14:paraId="5F53BF1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eastAsia" w:cs="Times New Roman"/>
                      <w:b/>
                      <w:bCs/>
                      <w:color w:val="auto"/>
                      <w:sz w:val="21"/>
                      <w:szCs w:val="21"/>
                      <w:lang w:eastAsia="zh-CN"/>
                    </w:rPr>
                    <w:t>生产线</w:t>
                  </w:r>
                </w:p>
              </w:tc>
              <w:tc>
                <w:tcPr>
                  <w:tcW w:w="633" w:type="pct"/>
                  <w:vMerge w:val="restart"/>
                  <w:tcBorders>
                    <w:top w:val="single" w:color="auto" w:sz="12" w:space="0"/>
                  </w:tcBorders>
                  <w:vAlign w:val="center"/>
                </w:tcPr>
                <w:p w14:paraId="6DC3CD3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排放编号</w:t>
                  </w:r>
                </w:p>
              </w:tc>
              <w:tc>
                <w:tcPr>
                  <w:tcW w:w="450" w:type="pct"/>
                  <w:vMerge w:val="restart"/>
                  <w:tcBorders>
                    <w:top w:val="single" w:color="auto" w:sz="12" w:space="0"/>
                  </w:tcBorders>
                  <w:vAlign w:val="center"/>
                </w:tcPr>
                <w:p w14:paraId="644004F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产排污环节</w:t>
                  </w:r>
                </w:p>
              </w:tc>
              <w:tc>
                <w:tcPr>
                  <w:tcW w:w="380" w:type="pct"/>
                  <w:vMerge w:val="restart"/>
                  <w:tcBorders>
                    <w:top w:val="single" w:color="auto" w:sz="12" w:space="0"/>
                  </w:tcBorders>
                  <w:vAlign w:val="center"/>
                </w:tcPr>
                <w:p w14:paraId="6DCA5D9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污染物种类</w:t>
                  </w:r>
                </w:p>
              </w:tc>
              <w:tc>
                <w:tcPr>
                  <w:tcW w:w="237" w:type="pct"/>
                  <w:vMerge w:val="restart"/>
                  <w:tcBorders>
                    <w:top w:val="single" w:color="auto" w:sz="12" w:space="0"/>
                  </w:tcBorders>
                  <w:vAlign w:val="center"/>
                </w:tcPr>
                <w:p w14:paraId="5C027F4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污染物产生量t/a</w:t>
                  </w:r>
                </w:p>
              </w:tc>
              <w:tc>
                <w:tcPr>
                  <w:tcW w:w="241" w:type="pct"/>
                  <w:vMerge w:val="restart"/>
                  <w:tcBorders>
                    <w:top w:val="single" w:color="auto" w:sz="12" w:space="0"/>
                  </w:tcBorders>
                  <w:vAlign w:val="center"/>
                </w:tcPr>
                <w:p w14:paraId="657EC42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w:t>
                  </w:r>
                </w:p>
                <w:p w14:paraId="710FD4A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形式</w:t>
                  </w:r>
                </w:p>
              </w:tc>
              <w:tc>
                <w:tcPr>
                  <w:tcW w:w="1036" w:type="pct"/>
                  <w:gridSpan w:val="2"/>
                  <w:tcBorders>
                    <w:top w:val="single" w:color="auto" w:sz="12" w:space="0"/>
                  </w:tcBorders>
                  <w:vAlign w:val="center"/>
                </w:tcPr>
                <w:p w14:paraId="2FF661C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治理措施</w:t>
                  </w:r>
                </w:p>
              </w:tc>
              <w:tc>
                <w:tcPr>
                  <w:tcW w:w="242" w:type="pct"/>
                  <w:vMerge w:val="restart"/>
                  <w:tcBorders>
                    <w:top w:val="single" w:color="auto" w:sz="12" w:space="0"/>
                  </w:tcBorders>
                  <w:vAlign w:val="center"/>
                </w:tcPr>
                <w:p w14:paraId="581AC25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污染物排放量t/a</w:t>
                  </w:r>
                </w:p>
              </w:tc>
              <w:tc>
                <w:tcPr>
                  <w:tcW w:w="209" w:type="pct"/>
                  <w:vMerge w:val="restart"/>
                  <w:tcBorders>
                    <w:top w:val="single" w:color="auto" w:sz="12" w:space="0"/>
                    <w:right w:val="nil"/>
                  </w:tcBorders>
                  <w:vAlign w:val="center"/>
                </w:tcPr>
                <w:p w14:paraId="78CD08F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排放速率kg/h</w:t>
                  </w:r>
                </w:p>
              </w:tc>
              <w:tc>
                <w:tcPr>
                  <w:tcW w:w="215" w:type="pct"/>
                  <w:vMerge w:val="restart"/>
                  <w:tcBorders>
                    <w:top w:val="single" w:color="auto" w:sz="12" w:space="0"/>
                    <w:right w:val="nil"/>
                  </w:tcBorders>
                  <w:vAlign w:val="center"/>
                </w:tcPr>
                <w:p w14:paraId="3CD2221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排放时间h</w:t>
                  </w:r>
                </w:p>
              </w:tc>
              <w:tc>
                <w:tcPr>
                  <w:tcW w:w="301" w:type="pct"/>
                  <w:vMerge w:val="restart"/>
                  <w:tcBorders>
                    <w:top w:val="single" w:color="auto" w:sz="12" w:space="0"/>
                    <w:right w:val="nil"/>
                  </w:tcBorders>
                  <w:vAlign w:val="center"/>
                </w:tcPr>
                <w:p w14:paraId="7C99BF9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排放标准</w:t>
                  </w:r>
                  <w:r>
                    <w:rPr>
                      <w:rFonts w:hint="default" w:ascii="Times New Roman" w:hAnsi="Times New Roman" w:eastAsia="宋体" w:cs="Times New Roman"/>
                      <w:b/>
                      <w:bCs/>
                      <w:color w:val="auto"/>
                      <w:kern w:val="0"/>
                      <w:sz w:val="21"/>
                      <w:szCs w:val="21"/>
                    </w:rPr>
                    <w:t>浓度mg/m</w:t>
                  </w:r>
                  <w:r>
                    <w:rPr>
                      <w:rFonts w:hint="default" w:ascii="Times New Roman" w:hAnsi="Times New Roman" w:eastAsia="宋体" w:cs="Times New Roman"/>
                      <w:b/>
                      <w:bCs/>
                      <w:color w:val="auto"/>
                      <w:kern w:val="0"/>
                      <w:sz w:val="21"/>
                      <w:szCs w:val="21"/>
                      <w:vertAlign w:val="superscript"/>
                    </w:rPr>
                    <w:t>3</w:t>
                  </w:r>
                </w:p>
              </w:tc>
              <w:tc>
                <w:tcPr>
                  <w:tcW w:w="208" w:type="pct"/>
                  <w:vMerge w:val="restart"/>
                  <w:tcBorders>
                    <w:top w:val="single" w:color="auto" w:sz="12" w:space="0"/>
                    <w:right w:val="nil"/>
                  </w:tcBorders>
                  <w:vAlign w:val="center"/>
                </w:tcPr>
                <w:p w14:paraId="5DD96E3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eastAsia="zh-CN"/>
                    </w:rPr>
                    <w:t>面源长度</w:t>
                  </w:r>
                  <w:r>
                    <w:rPr>
                      <w:rFonts w:hint="default" w:ascii="Times New Roman" w:hAnsi="Times New Roman" w:eastAsia="宋体" w:cs="Times New Roman"/>
                      <w:b/>
                      <w:bCs/>
                      <w:color w:val="auto"/>
                      <w:sz w:val="21"/>
                      <w:szCs w:val="21"/>
                      <w:lang w:val="en-US" w:eastAsia="zh-CN"/>
                    </w:rPr>
                    <w:t>m</w:t>
                  </w:r>
                </w:p>
              </w:tc>
              <w:tc>
                <w:tcPr>
                  <w:tcW w:w="200" w:type="pct"/>
                  <w:vMerge w:val="restart"/>
                  <w:tcBorders>
                    <w:top w:val="single" w:color="auto" w:sz="12" w:space="0"/>
                    <w:right w:val="nil"/>
                  </w:tcBorders>
                  <w:vAlign w:val="center"/>
                </w:tcPr>
                <w:p w14:paraId="5FF82AA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eastAsia="zh-CN"/>
                    </w:rPr>
                    <w:t>面源宽度</w:t>
                  </w:r>
                  <w:r>
                    <w:rPr>
                      <w:rFonts w:hint="default" w:ascii="Times New Roman" w:hAnsi="Times New Roman" w:eastAsia="宋体" w:cs="Times New Roman"/>
                      <w:b/>
                      <w:bCs/>
                      <w:color w:val="auto"/>
                      <w:sz w:val="21"/>
                      <w:szCs w:val="21"/>
                      <w:lang w:val="en-US" w:eastAsia="zh-CN"/>
                    </w:rPr>
                    <w:t>m</w:t>
                  </w:r>
                </w:p>
              </w:tc>
              <w:tc>
                <w:tcPr>
                  <w:tcW w:w="191" w:type="pct"/>
                  <w:vMerge w:val="restart"/>
                  <w:tcBorders>
                    <w:top w:val="single" w:color="auto" w:sz="12" w:space="0"/>
                    <w:right w:val="nil"/>
                  </w:tcBorders>
                  <w:vAlign w:val="center"/>
                </w:tcPr>
                <w:p w14:paraId="5520E97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面源高度m</w:t>
                  </w:r>
                </w:p>
              </w:tc>
            </w:tr>
            <w:tr w14:paraId="36316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vAlign w:val="center"/>
                </w:tcPr>
                <w:p w14:paraId="7655A8B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633" w:type="pct"/>
                  <w:vMerge w:val="continue"/>
                  <w:vAlign w:val="center"/>
                </w:tcPr>
                <w:p w14:paraId="0D4E141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450" w:type="pct"/>
                  <w:vMerge w:val="continue"/>
                  <w:vAlign w:val="center"/>
                </w:tcPr>
                <w:p w14:paraId="10184AC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380" w:type="pct"/>
                  <w:vMerge w:val="continue"/>
                  <w:vAlign w:val="center"/>
                </w:tcPr>
                <w:p w14:paraId="0E2F590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237" w:type="pct"/>
                  <w:vMerge w:val="continue"/>
                  <w:vAlign w:val="center"/>
                </w:tcPr>
                <w:p w14:paraId="6E33691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241" w:type="pct"/>
                  <w:vMerge w:val="continue"/>
                  <w:vAlign w:val="center"/>
                </w:tcPr>
                <w:p w14:paraId="65ED510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p>
              </w:tc>
              <w:tc>
                <w:tcPr>
                  <w:tcW w:w="786" w:type="pct"/>
                  <w:vAlign w:val="center"/>
                </w:tcPr>
                <w:p w14:paraId="5964FB5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名称</w:t>
                  </w:r>
                </w:p>
              </w:tc>
              <w:tc>
                <w:tcPr>
                  <w:tcW w:w="250" w:type="pct"/>
                  <w:vAlign w:val="center"/>
                </w:tcPr>
                <w:p w14:paraId="5D7DDB4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治理工艺去除率%</w:t>
                  </w:r>
                </w:p>
              </w:tc>
              <w:tc>
                <w:tcPr>
                  <w:tcW w:w="242" w:type="pct"/>
                  <w:vMerge w:val="continue"/>
                  <w:vAlign w:val="center"/>
                </w:tcPr>
                <w:p w14:paraId="5A77D1E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9" w:type="pct"/>
                  <w:vMerge w:val="continue"/>
                  <w:tcBorders>
                    <w:right w:val="nil"/>
                  </w:tcBorders>
                  <w:vAlign w:val="center"/>
                </w:tcPr>
                <w:p w14:paraId="2135C80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15" w:type="pct"/>
                  <w:vMerge w:val="continue"/>
                  <w:tcBorders>
                    <w:right w:val="nil"/>
                  </w:tcBorders>
                  <w:vAlign w:val="center"/>
                </w:tcPr>
                <w:p w14:paraId="7C2EAD2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01" w:type="pct"/>
                  <w:vMerge w:val="continue"/>
                  <w:tcBorders>
                    <w:right w:val="nil"/>
                  </w:tcBorders>
                  <w:vAlign w:val="center"/>
                </w:tcPr>
                <w:p w14:paraId="22369A5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8" w:type="pct"/>
                  <w:vMerge w:val="continue"/>
                  <w:tcBorders>
                    <w:right w:val="nil"/>
                  </w:tcBorders>
                  <w:vAlign w:val="center"/>
                </w:tcPr>
                <w:p w14:paraId="0F5AFD0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0" w:type="pct"/>
                  <w:vMerge w:val="continue"/>
                  <w:tcBorders>
                    <w:right w:val="nil"/>
                  </w:tcBorders>
                  <w:vAlign w:val="center"/>
                </w:tcPr>
                <w:p w14:paraId="5AABCE7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191" w:type="pct"/>
                  <w:vMerge w:val="continue"/>
                  <w:tcBorders>
                    <w:right w:val="nil"/>
                  </w:tcBorders>
                  <w:vAlign w:val="center"/>
                </w:tcPr>
                <w:p w14:paraId="12ECDC8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r>
            <w:tr w14:paraId="14F8F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restart"/>
                  <w:tcBorders>
                    <w:left w:val="nil"/>
                  </w:tcBorders>
                  <w:vAlign w:val="center"/>
                </w:tcPr>
                <w:p w14:paraId="37B6B62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配料、混炼为</w:t>
                  </w:r>
                  <w:r>
                    <w:rPr>
                      <w:rFonts w:hint="eastAsia" w:cs="Times New Roman"/>
                      <w:color w:val="auto"/>
                      <w:w w:val="100"/>
                      <w:kern w:val="2"/>
                      <w:sz w:val="21"/>
                      <w:szCs w:val="21"/>
                      <w:lang w:val="en-US" w:eastAsia="zh-CN" w:bidi="ar-SA"/>
                    </w:rPr>
                    <w:t>橡胶条生产线和导电胶辊生产线共用工序；</w:t>
                  </w:r>
                  <w:r>
                    <w:rPr>
                      <w:rFonts w:hint="default" w:ascii="Times New Roman" w:hAnsi="Times New Roman" w:eastAsia="宋体" w:cs="Times New Roman"/>
                      <w:color w:val="auto"/>
                      <w:sz w:val="21"/>
                      <w:szCs w:val="21"/>
                      <w:lang w:val="en-US" w:eastAsia="zh-CN"/>
                    </w:rPr>
                    <w:t>轴芯</w:t>
                  </w:r>
                  <w:r>
                    <w:rPr>
                      <w:rFonts w:hint="eastAsia" w:ascii="Times New Roman" w:hAnsi="Times New Roman" w:eastAsia="宋体" w:cs="Times New Roman"/>
                      <w:color w:val="auto"/>
                      <w:sz w:val="21"/>
                      <w:szCs w:val="21"/>
                      <w:lang w:val="en-US" w:eastAsia="zh-CN"/>
                    </w:rPr>
                    <w:t>清洗</w:t>
                  </w:r>
                  <w:r>
                    <w:rPr>
                      <w:rFonts w:hint="default" w:ascii="Times New Roman" w:hAnsi="Times New Roman" w:eastAsia="宋体" w:cs="Times New Roman"/>
                      <w:color w:val="auto"/>
                      <w:sz w:val="21"/>
                      <w:szCs w:val="21"/>
                      <w:lang w:val="en-US" w:eastAsia="zh-CN"/>
                    </w:rPr>
                    <w:t>、轴芯涂胶和硫化</w:t>
                  </w:r>
                  <w:r>
                    <w:rPr>
                      <w:rFonts w:hint="eastAsia" w:cs="Times New Roman"/>
                      <w:color w:val="auto"/>
                      <w:sz w:val="21"/>
                      <w:szCs w:val="21"/>
                      <w:lang w:val="en-US" w:eastAsia="zh-CN"/>
                    </w:rPr>
                    <w:t>为</w:t>
                  </w:r>
                  <w:r>
                    <w:rPr>
                      <w:rFonts w:hint="eastAsia" w:cs="Times New Roman"/>
                      <w:color w:val="auto"/>
                      <w:w w:val="100"/>
                      <w:kern w:val="2"/>
                      <w:sz w:val="21"/>
                      <w:szCs w:val="21"/>
                      <w:lang w:val="en-US" w:eastAsia="zh-CN" w:bidi="ar-SA"/>
                    </w:rPr>
                    <w:t>导电胶辊生产线工序</w:t>
                  </w:r>
                </w:p>
              </w:tc>
              <w:tc>
                <w:tcPr>
                  <w:tcW w:w="633" w:type="pct"/>
                  <w:vMerge w:val="restart"/>
                  <w:tcBorders>
                    <w:left w:val="nil"/>
                  </w:tcBorders>
                  <w:vAlign w:val="center"/>
                </w:tcPr>
                <w:p w14:paraId="4B694A9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混炼、硫化车间</w:t>
                  </w:r>
                </w:p>
                <w:p w14:paraId="7B52160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（2#厂房）</w:t>
                  </w:r>
                </w:p>
              </w:tc>
              <w:tc>
                <w:tcPr>
                  <w:tcW w:w="450" w:type="pct"/>
                  <w:vMerge w:val="restart"/>
                  <w:vAlign w:val="center"/>
                </w:tcPr>
                <w:p w14:paraId="3585578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配</w:t>
                  </w:r>
                  <w:r>
                    <w:rPr>
                      <w:rFonts w:hint="default" w:ascii="Times New Roman" w:hAnsi="Times New Roman" w:eastAsia="宋体" w:cs="Times New Roman"/>
                      <w:color w:val="auto"/>
                      <w:sz w:val="21"/>
                      <w:szCs w:val="21"/>
                      <w:lang w:val="en-US" w:eastAsia="zh-CN"/>
                    </w:rPr>
                    <w:t>料、混炼、轴芯</w:t>
                  </w:r>
                  <w:r>
                    <w:rPr>
                      <w:rFonts w:hint="eastAsia" w:ascii="Times New Roman" w:hAnsi="Times New Roman" w:eastAsia="宋体" w:cs="Times New Roman"/>
                      <w:color w:val="auto"/>
                      <w:sz w:val="21"/>
                      <w:szCs w:val="21"/>
                      <w:lang w:val="en-US" w:eastAsia="zh-CN"/>
                    </w:rPr>
                    <w:t>清洗</w:t>
                  </w:r>
                  <w:r>
                    <w:rPr>
                      <w:rFonts w:hint="default" w:ascii="Times New Roman" w:hAnsi="Times New Roman" w:eastAsia="宋体" w:cs="Times New Roman"/>
                      <w:color w:val="auto"/>
                      <w:sz w:val="21"/>
                      <w:szCs w:val="21"/>
                      <w:lang w:val="en-US" w:eastAsia="zh-CN"/>
                    </w:rPr>
                    <w:t>、轴芯涂胶和硫化工序</w:t>
                  </w:r>
                </w:p>
              </w:tc>
              <w:tc>
                <w:tcPr>
                  <w:tcW w:w="380" w:type="pct"/>
                  <w:shd w:val="clear" w:color="auto" w:fill="auto"/>
                  <w:vAlign w:val="center"/>
                </w:tcPr>
                <w:p w14:paraId="711C3FE5">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237" w:type="pct"/>
                  <w:vAlign w:val="center"/>
                </w:tcPr>
                <w:p w14:paraId="3CDC350F">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0.</w:t>
                  </w:r>
                  <w:r>
                    <w:rPr>
                      <w:rFonts w:hint="eastAsia" w:ascii="Times New Roman" w:hAnsi="Times New Roman" w:eastAsia="宋体" w:cs="Times New Roman"/>
                      <w:i w:val="0"/>
                      <w:iCs w:val="0"/>
                      <w:color w:val="auto"/>
                      <w:kern w:val="0"/>
                      <w:sz w:val="21"/>
                      <w:szCs w:val="21"/>
                      <w:u w:val="none"/>
                      <w:lang w:val="en-US" w:eastAsia="zh-CN" w:bidi="ar"/>
                    </w:rPr>
                    <w:t>357</w:t>
                  </w:r>
                  <w:r>
                    <w:rPr>
                      <w:rFonts w:hint="default" w:ascii="Times New Roman" w:hAnsi="Times New Roman" w:eastAsia="宋体" w:cs="Times New Roman"/>
                      <w:i w:val="0"/>
                      <w:iCs w:val="0"/>
                      <w:color w:val="auto"/>
                      <w:kern w:val="0"/>
                      <w:sz w:val="21"/>
                      <w:szCs w:val="21"/>
                      <w:u w:val="none"/>
                      <w:lang w:val="en-US" w:eastAsia="zh-CN" w:bidi="ar"/>
                    </w:rPr>
                    <w:t xml:space="preserve"> </w:t>
                  </w:r>
                </w:p>
              </w:tc>
              <w:tc>
                <w:tcPr>
                  <w:tcW w:w="241" w:type="pct"/>
                  <w:vAlign w:val="center"/>
                </w:tcPr>
                <w:p w14:paraId="05086E7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46FB9C7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250" w:type="pct"/>
                  <w:shd w:val="clear" w:color="auto" w:fill="auto"/>
                  <w:vAlign w:val="center"/>
                </w:tcPr>
                <w:p w14:paraId="07745BE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242" w:type="pct"/>
                  <w:shd w:val="clear" w:color="auto" w:fill="auto"/>
                  <w:vAlign w:val="center"/>
                </w:tcPr>
                <w:p w14:paraId="226EAD82">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0.357 </w:t>
                  </w:r>
                </w:p>
              </w:tc>
              <w:tc>
                <w:tcPr>
                  <w:tcW w:w="209" w:type="pct"/>
                  <w:tcBorders>
                    <w:right w:val="nil"/>
                  </w:tcBorders>
                  <w:vAlign w:val="center"/>
                </w:tcPr>
                <w:p w14:paraId="39B9F861">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 xml:space="preserve">0.050 </w:t>
                  </w:r>
                </w:p>
              </w:tc>
              <w:tc>
                <w:tcPr>
                  <w:tcW w:w="215" w:type="pct"/>
                  <w:vMerge w:val="restart"/>
                  <w:tcBorders>
                    <w:right w:val="nil"/>
                  </w:tcBorders>
                  <w:vAlign w:val="center"/>
                </w:tcPr>
                <w:p w14:paraId="46703E0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72</w:t>
                  </w:r>
                  <w:r>
                    <w:rPr>
                      <w:rFonts w:hint="default" w:ascii="Times New Roman" w:hAnsi="Times New Roman" w:eastAsia="宋体" w:cs="Times New Roman"/>
                      <w:color w:val="auto"/>
                      <w:sz w:val="21"/>
                      <w:szCs w:val="21"/>
                    </w:rPr>
                    <w:t>00</w:t>
                  </w:r>
                </w:p>
              </w:tc>
              <w:tc>
                <w:tcPr>
                  <w:tcW w:w="301" w:type="pct"/>
                  <w:tcBorders>
                    <w:right w:val="nil"/>
                  </w:tcBorders>
                  <w:vAlign w:val="center"/>
                </w:tcPr>
                <w:p w14:paraId="537F931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4.0</w:t>
                  </w:r>
                </w:p>
              </w:tc>
              <w:tc>
                <w:tcPr>
                  <w:tcW w:w="208" w:type="pct"/>
                  <w:vMerge w:val="restart"/>
                  <w:tcBorders>
                    <w:right w:val="nil"/>
                  </w:tcBorders>
                  <w:vAlign w:val="center"/>
                </w:tcPr>
                <w:p w14:paraId="6A2DD86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124</w:t>
                  </w:r>
                </w:p>
              </w:tc>
              <w:tc>
                <w:tcPr>
                  <w:tcW w:w="200" w:type="pct"/>
                  <w:vMerge w:val="restart"/>
                  <w:tcBorders>
                    <w:right w:val="nil"/>
                  </w:tcBorders>
                  <w:vAlign w:val="center"/>
                </w:tcPr>
                <w:p w14:paraId="536CC5E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15</w:t>
                  </w:r>
                </w:p>
              </w:tc>
              <w:tc>
                <w:tcPr>
                  <w:tcW w:w="191" w:type="pct"/>
                  <w:vMerge w:val="restart"/>
                  <w:tcBorders>
                    <w:right w:val="nil"/>
                  </w:tcBorders>
                  <w:vAlign w:val="center"/>
                </w:tcPr>
                <w:p w14:paraId="67A23AB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6.5</w:t>
                  </w:r>
                </w:p>
              </w:tc>
            </w:tr>
            <w:tr w14:paraId="25492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738D479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633" w:type="pct"/>
                  <w:vMerge w:val="continue"/>
                  <w:tcBorders>
                    <w:left w:val="nil"/>
                  </w:tcBorders>
                  <w:vAlign w:val="center"/>
                </w:tcPr>
                <w:p w14:paraId="2382345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450" w:type="pct"/>
                  <w:vMerge w:val="continue"/>
                  <w:vAlign w:val="center"/>
                </w:tcPr>
                <w:p w14:paraId="760C178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80" w:type="pct"/>
                  <w:shd w:val="clear" w:color="auto" w:fill="auto"/>
                  <w:vAlign w:val="center"/>
                </w:tcPr>
                <w:p w14:paraId="188A7611">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w w:val="100"/>
                      <w:kern w:val="2"/>
                      <w:sz w:val="21"/>
                      <w:szCs w:val="21"/>
                      <w:lang w:eastAsia="zh-CN"/>
                    </w:rPr>
                  </w:pPr>
                  <w:r>
                    <w:rPr>
                      <w:rFonts w:hint="eastAsia" w:ascii="宋体" w:hAnsi="宋体" w:eastAsia="宋体" w:cs="宋体"/>
                      <w:i w:val="0"/>
                      <w:iCs w:val="0"/>
                      <w:color w:val="auto"/>
                      <w:kern w:val="0"/>
                      <w:sz w:val="21"/>
                      <w:szCs w:val="21"/>
                      <w:u w:val="none"/>
                      <w:lang w:val="en-US" w:eastAsia="zh-CN" w:bidi="ar"/>
                    </w:rPr>
                    <w:t>乙醇</w:t>
                  </w:r>
                </w:p>
              </w:tc>
              <w:tc>
                <w:tcPr>
                  <w:tcW w:w="237" w:type="pct"/>
                  <w:vAlign w:val="center"/>
                </w:tcPr>
                <w:p w14:paraId="0107EC28">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0.100 </w:t>
                  </w:r>
                </w:p>
              </w:tc>
              <w:tc>
                <w:tcPr>
                  <w:tcW w:w="241" w:type="pct"/>
                  <w:vAlign w:val="center"/>
                </w:tcPr>
                <w:p w14:paraId="58A4F3B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20CFEFD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250" w:type="pct"/>
                  <w:shd w:val="clear" w:color="auto" w:fill="auto"/>
                  <w:vAlign w:val="center"/>
                </w:tcPr>
                <w:p w14:paraId="2C53E24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242" w:type="pct"/>
                  <w:shd w:val="clear" w:color="auto" w:fill="auto"/>
                  <w:vAlign w:val="center"/>
                </w:tcPr>
                <w:p w14:paraId="7541B4D7">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0.100 </w:t>
                  </w:r>
                </w:p>
              </w:tc>
              <w:tc>
                <w:tcPr>
                  <w:tcW w:w="209" w:type="pct"/>
                  <w:tcBorders>
                    <w:right w:val="nil"/>
                  </w:tcBorders>
                  <w:vAlign w:val="center"/>
                </w:tcPr>
                <w:p w14:paraId="12C53BF8">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0.014 </w:t>
                  </w:r>
                </w:p>
              </w:tc>
              <w:tc>
                <w:tcPr>
                  <w:tcW w:w="215" w:type="pct"/>
                  <w:vMerge w:val="continue"/>
                  <w:tcBorders>
                    <w:right w:val="nil"/>
                  </w:tcBorders>
                  <w:vAlign w:val="center"/>
                </w:tcPr>
                <w:p w14:paraId="1CC8F57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01" w:type="pct"/>
                  <w:tcBorders>
                    <w:right w:val="nil"/>
                  </w:tcBorders>
                  <w:vAlign w:val="center"/>
                </w:tcPr>
                <w:p w14:paraId="71FF173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4.0</w:t>
                  </w:r>
                </w:p>
              </w:tc>
              <w:tc>
                <w:tcPr>
                  <w:tcW w:w="208" w:type="pct"/>
                  <w:vMerge w:val="continue"/>
                  <w:tcBorders>
                    <w:right w:val="nil"/>
                  </w:tcBorders>
                  <w:vAlign w:val="center"/>
                </w:tcPr>
                <w:p w14:paraId="7566159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0" w:type="pct"/>
                  <w:vMerge w:val="continue"/>
                  <w:tcBorders>
                    <w:right w:val="nil"/>
                  </w:tcBorders>
                  <w:vAlign w:val="center"/>
                </w:tcPr>
                <w:p w14:paraId="0917F1A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191" w:type="pct"/>
                  <w:vMerge w:val="continue"/>
                  <w:tcBorders>
                    <w:right w:val="nil"/>
                  </w:tcBorders>
                  <w:vAlign w:val="center"/>
                </w:tcPr>
                <w:p w14:paraId="3CBD903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r>
            <w:tr w14:paraId="59DEB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54610E5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633" w:type="pct"/>
                  <w:vMerge w:val="continue"/>
                  <w:tcBorders>
                    <w:left w:val="nil"/>
                  </w:tcBorders>
                  <w:vAlign w:val="center"/>
                </w:tcPr>
                <w:p w14:paraId="2F254F1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450" w:type="pct"/>
                  <w:vMerge w:val="continue"/>
                  <w:vAlign w:val="center"/>
                </w:tcPr>
                <w:p w14:paraId="262000D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80" w:type="pct"/>
                  <w:shd w:val="clear" w:color="auto" w:fill="auto"/>
                  <w:vAlign w:val="center"/>
                </w:tcPr>
                <w:p w14:paraId="22FD9861">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237" w:type="pct"/>
                  <w:vAlign w:val="center"/>
                </w:tcPr>
                <w:p w14:paraId="0CBAA98B">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 xml:space="preserve">0.010 </w:t>
                  </w:r>
                </w:p>
              </w:tc>
              <w:tc>
                <w:tcPr>
                  <w:tcW w:w="241" w:type="pct"/>
                  <w:vAlign w:val="center"/>
                </w:tcPr>
                <w:p w14:paraId="3A4FD5D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vAlign w:val="center"/>
                </w:tcPr>
                <w:p w14:paraId="00DBB3C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vAlign w:val="center"/>
                </w:tcPr>
                <w:p w14:paraId="64CC973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42" w:type="pct"/>
                  <w:shd w:val="clear" w:color="auto" w:fill="auto"/>
                  <w:vAlign w:val="center"/>
                </w:tcPr>
                <w:p w14:paraId="547E180C">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0.010 </w:t>
                  </w:r>
                </w:p>
              </w:tc>
              <w:tc>
                <w:tcPr>
                  <w:tcW w:w="209" w:type="pct"/>
                  <w:tcBorders>
                    <w:right w:val="nil"/>
                  </w:tcBorders>
                  <w:vAlign w:val="center"/>
                </w:tcPr>
                <w:p w14:paraId="2AE3F05B">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0.001 </w:t>
                  </w:r>
                </w:p>
              </w:tc>
              <w:tc>
                <w:tcPr>
                  <w:tcW w:w="215" w:type="pct"/>
                  <w:vMerge w:val="continue"/>
                  <w:tcBorders>
                    <w:right w:val="nil"/>
                  </w:tcBorders>
                  <w:vAlign w:val="center"/>
                </w:tcPr>
                <w:p w14:paraId="3D14561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01" w:type="pct"/>
                  <w:tcBorders>
                    <w:right w:val="nil"/>
                  </w:tcBorders>
                  <w:vAlign w:val="center"/>
                </w:tcPr>
                <w:p w14:paraId="04E432D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1.2</w:t>
                  </w:r>
                </w:p>
              </w:tc>
              <w:tc>
                <w:tcPr>
                  <w:tcW w:w="208" w:type="pct"/>
                  <w:vMerge w:val="continue"/>
                  <w:tcBorders>
                    <w:right w:val="nil"/>
                  </w:tcBorders>
                  <w:vAlign w:val="center"/>
                </w:tcPr>
                <w:p w14:paraId="21433BD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0" w:type="pct"/>
                  <w:vMerge w:val="continue"/>
                  <w:tcBorders>
                    <w:right w:val="nil"/>
                  </w:tcBorders>
                  <w:vAlign w:val="center"/>
                </w:tcPr>
                <w:p w14:paraId="3C8B8C2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191" w:type="pct"/>
                  <w:vMerge w:val="continue"/>
                  <w:tcBorders>
                    <w:right w:val="nil"/>
                  </w:tcBorders>
                  <w:vAlign w:val="center"/>
                </w:tcPr>
                <w:p w14:paraId="1BD7255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r>
            <w:tr w14:paraId="66904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4B1C191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633" w:type="pct"/>
                  <w:vMerge w:val="continue"/>
                  <w:tcBorders>
                    <w:left w:val="nil"/>
                  </w:tcBorders>
                  <w:vAlign w:val="center"/>
                </w:tcPr>
                <w:p w14:paraId="4920EBB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450" w:type="pct"/>
                  <w:vMerge w:val="continue"/>
                  <w:vAlign w:val="center"/>
                </w:tcPr>
                <w:p w14:paraId="1272550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80" w:type="pct"/>
                  <w:shd w:val="clear" w:color="auto" w:fill="auto"/>
                  <w:vAlign w:val="center"/>
                </w:tcPr>
                <w:p w14:paraId="2B280655">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237" w:type="pct"/>
                  <w:vAlign w:val="center"/>
                </w:tcPr>
                <w:p w14:paraId="47A687A1">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 xml:space="preserve">0.005 </w:t>
                  </w:r>
                </w:p>
              </w:tc>
              <w:tc>
                <w:tcPr>
                  <w:tcW w:w="241" w:type="pct"/>
                  <w:vAlign w:val="center"/>
                </w:tcPr>
                <w:p w14:paraId="36D7AE3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vAlign w:val="center"/>
                </w:tcPr>
                <w:p w14:paraId="35C438B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vAlign w:val="center"/>
                </w:tcPr>
                <w:p w14:paraId="44FA245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42" w:type="pct"/>
                  <w:shd w:val="clear" w:color="auto" w:fill="auto"/>
                  <w:vAlign w:val="center"/>
                </w:tcPr>
                <w:p w14:paraId="70CB394D">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0.005 </w:t>
                  </w:r>
                </w:p>
              </w:tc>
              <w:tc>
                <w:tcPr>
                  <w:tcW w:w="209" w:type="pct"/>
                  <w:tcBorders>
                    <w:right w:val="nil"/>
                  </w:tcBorders>
                  <w:vAlign w:val="center"/>
                </w:tcPr>
                <w:p w14:paraId="079857A0">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0.001 </w:t>
                  </w:r>
                </w:p>
              </w:tc>
              <w:tc>
                <w:tcPr>
                  <w:tcW w:w="215" w:type="pct"/>
                  <w:vMerge w:val="continue"/>
                  <w:tcBorders>
                    <w:right w:val="nil"/>
                  </w:tcBorders>
                  <w:vAlign w:val="center"/>
                </w:tcPr>
                <w:p w14:paraId="48E18E3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01" w:type="pct"/>
                  <w:tcBorders>
                    <w:right w:val="nil"/>
                  </w:tcBorders>
                  <w:vAlign w:val="center"/>
                </w:tcPr>
                <w:p w14:paraId="2A8C041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0.06</w:t>
                  </w:r>
                </w:p>
              </w:tc>
              <w:tc>
                <w:tcPr>
                  <w:tcW w:w="208" w:type="pct"/>
                  <w:vMerge w:val="continue"/>
                  <w:tcBorders>
                    <w:right w:val="nil"/>
                  </w:tcBorders>
                  <w:vAlign w:val="center"/>
                </w:tcPr>
                <w:p w14:paraId="3D2A7F3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0" w:type="pct"/>
                  <w:vMerge w:val="continue"/>
                  <w:tcBorders>
                    <w:right w:val="nil"/>
                  </w:tcBorders>
                  <w:vAlign w:val="center"/>
                </w:tcPr>
                <w:p w14:paraId="07FE8AF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191" w:type="pct"/>
                  <w:vMerge w:val="continue"/>
                  <w:tcBorders>
                    <w:right w:val="nil"/>
                  </w:tcBorders>
                  <w:vAlign w:val="center"/>
                </w:tcPr>
                <w:p w14:paraId="3A89268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r>
            <w:tr w14:paraId="40804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5E8D9E5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633" w:type="pct"/>
                  <w:vMerge w:val="continue"/>
                  <w:tcBorders>
                    <w:left w:val="nil"/>
                  </w:tcBorders>
                  <w:vAlign w:val="center"/>
                </w:tcPr>
                <w:p w14:paraId="00F34B1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450" w:type="pct"/>
                  <w:vMerge w:val="continue"/>
                  <w:vAlign w:val="center"/>
                </w:tcPr>
                <w:p w14:paraId="74BEA3D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80" w:type="pct"/>
                  <w:vAlign w:val="center"/>
                </w:tcPr>
                <w:p w14:paraId="56937F2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颗粒物</w:t>
                  </w:r>
                </w:p>
              </w:tc>
              <w:tc>
                <w:tcPr>
                  <w:tcW w:w="237" w:type="pct"/>
                  <w:vAlign w:val="center"/>
                </w:tcPr>
                <w:p w14:paraId="30ABC0A2">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 xml:space="preserve">0.420 </w:t>
                  </w:r>
                </w:p>
              </w:tc>
              <w:tc>
                <w:tcPr>
                  <w:tcW w:w="241" w:type="pct"/>
                  <w:vAlign w:val="center"/>
                </w:tcPr>
                <w:p w14:paraId="2E20FEA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002EEE56">
                  <w:pPr>
                    <w:keepNext w:val="0"/>
                    <w:keepLines w:val="0"/>
                    <w:pageBreakBefore w:val="0"/>
                    <w:kinsoku/>
                    <w:wordWrap/>
                    <w:overflowPunct/>
                    <w:topLinePunct w:val="0"/>
                    <w:autoSpaceDE/>
                    <w:autoSpaceDN/>
                    <w:bidi w:val="0"/>
                    <w:adjustRightInd/>
                    <w:snapToGrid/>
                    <w:spacing w:line="40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自然沉降、厂房阻隔</w:t>
                  </w:r>
                  <w:r>
                    <w:rPr>
                      <w:rFonts w:hint="eastAsia" w:cs="Times New Roman"/>
                      <w:color w:val="auto"/>
                      <w:sz w:val="21"/>
                      <w:szCs w:val="21"/>
                      <w:lang w:eastAsia="zh-CN"/>
                    </w:rPr>
                    <w:t>、定期清扫</w:t>
                  </w:r>
                  <w:r>
                    <w:rPr>
                      <w:rFonts w:hint="default" w:ascii="Times New Roman" w:hAnsi="Times New Roman" w:eastAsia="宋体" w:cs="Times New Roman"/>
                      <w:color w:val="auto"/>
                      <w:sz w:val="21"/>
                      <w:szCs w:val="21"/>
                    </w:rPr>
                    <w:t>等</w:t>
                  </w:r>
                </w:p>
              </w:tc>
              <w:tc>
                <w:tcPr>
                  <w:tcW w:w="250" w:type="pct"/>
                  <w:shd w:val="clear" w:color="auto" w:fill="auto"/>
                  <w:vAlign w:val="center"/>
                </w:tcPr>
                <w:p w14:paraId="1573CE5F">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90%</w:t>
                  </w:r>
                </w:p>
              </w:tc>
              <w:tc>
                <w:tcPr>
                  <w:tcW w:w="242" w:type="pct"/>
                  <w:vAlign w:val="center"/>
                </w:tcPr>
                <w:p w14:paraId="682D1C4F">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0.042</w:t>
                  </w:r>
                </w:p>
              </w:tc>
              <w:tc>
                <w:tcPr>
                  <w:tcW w:w="209" w:type="pct"/>
                  <w:tcBorders>
                    <w:right w:val="nil"/>
                  </w:tcBorders>
                  <w:vAlign w:val="center"/>
                </w:tcPr>
                <w:p w14:paraId="3ACA29B4">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15" w:type="pct"/>
                  <w:vMerge w:val="continue"/>
                  <w:tcBorders>
                    <w:right w:val="nil"/>
                  </w:tcBorders>
                  <w:vAlign w:val="center"/>
                </w:tcPr>
                <w:p w14:paraId="3ED3360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301" w:type="pct"/>
                  <w:tcBorders>
                    <w:right w:val="nil"/>
                  </w:tcBorders>
                  <w:vAlign w:val="center"/>
                </w:tcPr>
                <w:p w14:paraId="47BE993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1.0</w:t>
                  </w:r>
                </w:p>
              </w:tc>
              <w:tc>
                <w:tcPr>
                  <w:tcW w:w="208" w:type="pct"/>
                  <w:vMerge w:val="continue"/>
                  <w:tcBorders>
                    <w:right w:val="nil"/>
                  </w:tcBorders>
                  <w:vAlign w:val="center"/>
                </w:tcPr>
                <w:p w14:paraId="742900A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200" w:type="pct"/>
                  <w:vMerge w:val="continue"/>
                  <w:tcBorders>
                    <w:right w:val="nil"/>
                  </w:tcBorders>
                  <w:vAlign w:val="center"/>
                </w:tcPr>
                <w:p w14:paraId="2F270C8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c>
                <w:tcPr>
                  <w:tcW w:w="191" w:type="pct"/>
                  <w:vMerge w:val="continue"/>
                  <w:tcBorders>
                    <w:right w:val="nil"/>
                  </w:tcBorders>
                  <w:vAlign w:val="center"/>
                </w:tcPr>
                <w:p w14:paraId="4F5A5B1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p>
              </w:tc>
            </w:tr>
            <w:tr w14:paraId="200B8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restart"/>
                  <w:tcBorders>
                    <w:left w:val="nil"/>
                  </w:tcBorders>
                  <w:vAlign w:val="center"/>
                </w:tcPr>
                <w:p w14:paraId="45672F0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w w:val="100"/>
                      <w:kern w:val="2"/>
                      <w:sz w:val="21"/>
                      <w:szCs w:val="21"/>
                      <w:lang w:val="en-US" w:eastAsia="zh-CN" w:bidi="ar-SA"/>
                    </w:rPr>
                    <w:t>导电胶辊生产线</w:t>
                  </w:r>
                </w:p>
              </w:tc>
              <w:tc>
                <w:tcPr>
                  <w:tcW w:w="633" w:type="pct"/>
                  <w:tcBorders>
                    <w:left w:val="nil"/>
                  </w:tcBorders>
                  <w:vAlign w:val="center"/>
                </w:tcPr>
                <w:p w14:paraId="28BC423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喷涂和加热</w:t>
                  </w:r>
                  <w:r>
                    <w:rPr>
                      <w:rFonts w:hint="default" w:ascii="Times New Roman" w:hAnsi="Times New Roman" w:eastAsia="宋体" w:cs="Times New Roman"/>
                      <w:color w:val="auto"/>
                      <w:sz w:val="21"/>
                      <w:szCs w:val="21"/>
                    </w:rPr>
                    <w:t>车间</w:t>
                  </w:r>
                  <w:r>
                    <w:rPr>
                      <w:rFonts w:hint="default" w:ascii="Times New Roman" w:hAnsi="Times New Roman" w:eastAsia="宋体" w:cs="Times New Roman"/>
                      <w:color w:val="auto"/>
                      <w:sz w:val="21"/>
                      <w:szCs w:val="21"/>
                      <w:lang w:val="en-US" w:eastAsia="zh-CN"/>
                    </w:rPr>
                    <w:t>（3#厂房）</w:t>
                  </w:r>
                </w:p>
              </w:tc>
              <w:tc>
                <w:tcPr>
                  <w:tcW w:w="450" w:type="pct"/>
                  <w:vAlign w:val="center"/>
                </w:tcPr>
                <w:p w14:paraId="65B6E6D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喷涂和加热工序</w:t>
                  </w:r>
                </w:p>
              </w:tc>
              <w:tc>
                <w:tcPr>
                  <w:tcW w:w="380" w:type="pct"/>
                  <w:vAlign w:val="center"/>
                </w:tcPr>
                <w:p w14:paraId="11D8487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eastAsia" w:cs="Times New Roman"/>
                      <w:color w:val="auto"/>
                      <w:w w:val="100"/>
                      <w:kern w:val="2"/>
                      <w:sz w:val="21"/>
                      <w:szCs w:val="21"/>
                      <w:lang w:val="en-US" w:eastAsia="zh-CN" w:bidi="ar-SA"/>
                    </w:rPr>
                    <w:t>挥发性有机物</w:t>
                  </w:r>
                </w:p>
              </w:tc>
              <w:tc>
                <w:tcPr>
                  <w:tcW w:w="237" w:type="pct"/>
                  <w:vAlign w:val="center"/>
                </w:tcPr>
                <w:p w14:paraId="1A889E15">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 xml:space="preserve">1.051 </w:t>
                  </w:r>
                </w:p>
              </w:tc>
              <w:tc>
                <w:tcPr>
                  <w:tcW w:w="241" w:type="pct"/>
                  <w:vAlign w:val="center"/>
                </w:tcPr>
                <w:p w14:paraId="677C83B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vAlign w:val="center"/>
                </w:tcPr>
                <w:p w14:paraId="10CEF56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vAlign w:val="center"/>
                </w:tcPr>
                <w:p w14:paraId="33CFE90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42" w:type="pct"/>
                  <w:vAlign w:val="center"/>
                </w:tcPr>
                <w:p w14:paraId="72E30840">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1.051</w:t>
                  </w:r>
                </w:p>
              </w:tc>
              <w:tc>
                <w:tcPr>
                  <w:tcW w:w="209" w:type="pct"/>
                  <w:tcBorders>
                    <w:right w:val="nil"/>
                  </w:tcBorders>
                  <w:vAlign w:val="center"/>
                </w:tcPr>
                <w:p w14:paraId="709DFD3D">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 xml:space="preserve">0.219 </w:t>
                  </w:r>
                </w:p>
              </w:tc>
              <w:tc>
                <w:tcPr>
                  <w:tcW w:w="215" w:type="pct"/>
                  <w:tcBorders>
                    <w:right w:val="nil"/>
                  </w:tcBorders>
                  <w:vAlign w:val="center"/>
                </w:tcPr>
                <w:p w14:paraId="2660BBA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48</w:t>
                  </w:r>
                  <w:r>
                    <w:rPr>
                      <w:rFonts w:hint="default" w:ascii="Times New Roman" w:hAnsi="Times New Roman" w:eastAsia="宋体" w:cs="Times New Roman"/>
                      <w:color w:val="auto"/>
                      <w:sz w:val="21"/>
                      <w:szCs w:val="21"/>
                    </w:rPr>
                    <w:t>00</w:t>
                  </w:r>
                </w:p>
              </w:tc>
              <w:tc>
                <w:tcPr>
                  <w:tcW w:w="301" w:type="pct"/>
                  <w:tcBorders>
                    <w:right w:val="nil"/>
                  </w:tcBorders>
                  <w:vAlign w:val="center"/>
                </w:tcPr>
                <w:p w14:paraId="4A8FFCE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4.0</w:t>
                  </w:r>
                </w:p>
              </w:tc>
              <w:tc>
                <w:tcPr>
                  <w:tcW w:w="208" w:type="pct"/>
                  <w:tcBorders>
                    <w:right w:val="nil"/>
                  </w:tcBorders>
                  <w:vAlign w:val="center"/>
                </w:tcPr>
                <w:p w14:paraId="7B65514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82</w:t>
                  </w:r>
                </w:p>
              </w:tc>
              <w:tc>
                <w:tcPr>
                  <w:tcW w:w="200" w:type="pct"/>
                  <w:tcBorders>
                    <w:right w:val="nil"/>
                  </w:tcBorders>
                  <w:vAlign w:val="center"/>
                </w:tcPr>
                <w:p w14:paraId="439AE5D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15</w:t>
                  </w:r>
                </w:p>
              </w:tc>
              <w:tc>
                <w:tcPr>
                  <w:tcW w:w="191" w:type="pct"/>
                  <w:tcBorders>
                    <w:right w:val="nil"/>
                  </w:tcBorders>
                  <w:vAlign w:val="center"/>
                </w:tcPr>
                <w:p w14:paraId="3B5ED0D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6.0</w:t>
                  </w:r>
                </w:p>
              </w:tc>
            </w:tr>
            <w:tr w14:paraId="753A2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3B87152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633" w:type="pct"/>
                  <w:tcBorders>
                    <w:left w:val="nil"/>
                  </w:tcBorders>
                  <w:vAlign w:val="center"/>
                </w:tcPr>
                <w:p w14:paraId="40D95F6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精磨、细磨车间（3#厂房）</w:t>
                  </w:r>
                </w:p>
              </w:tc>
              <w:tc>
                <w:tcPr>
                  <w:tcW w:w="450" w:type="pct"/>
                  <w:vAlign w:val="center"/>
                </w:tcPr>
                <w:p w14:paraId="1315AF2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精磨和细磨工序</w:t>
                  </w:r>
                </w:p>
              </w:tc>
              <w:tc>
                <w:tcPr>
                  <w:tcW w:w="380" w:type="pct"/>
                  <w:vAlign w:val="center"/>
                </w:tcPr>
                <w:p w14:paraId="42C1E11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颗粒物</w:t>
                  </w:r>
                </w:p>
              </w:tc>
              <w:tc>
                <w:tcPr>
                  <w:tcW w:w="237" w:type="pct"/>
                  <w:vAlign w:val="center"/>
                </w:tcPr>
                <w:p w14:paraId="1F439B4B">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 xml:space="preserve">0.864 </w:t>
                  </w:r>
                </w:p>
              </w:tc>
              <w:tc>
                <w:tcPr>
                  <w:tcW w:w="241" w:type="pct"/>
                  <w:vAlign w:val="center"/>
                </w:tcPr>
                <w:p w14:paraId="428A03A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5543FE78">
                  <w:pPr>
                    <w:keepNext w:val="0"/>
                    <w:keepLines w:val="0"/>
                    <w:pageBreakBefore w:val="0"/>
                    <w:kinsoku/>
                    <w:wordWrap/>
                    <w:overflowPunct/>
                    <w:topLinePunct w:val="0"/>
                    <w:autoSpaceDE/>
                    <w:autoSpaceDN/>
                    <w:bidi w:val="0"/>
                    <w:adjustRightInd/>
                    <w:snapToGrid/>
                    <w:spacing w:line="40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自然沉降、厂房阻隔</w:t>
                  </w:r>
                  <w:r>
                    <w:rPr>
                      <w:rFonts w:hint="eastAsia" w:cs="Times New Roman"/>
                      <w:color w:val="auto"/>
                      <w:sz w:val="21"/>
                      <w:szCs w:val="21"/>
                      <w:lang w:eastAsia="zh-CN"/>
                    </w:rPr>
                    <w:t>、定期清扫</w:t>
                  </w:r>
                  <w:r>
                    <w:rPr>
                      <w:rFonts w:hint="default" w:ascii="Times New Roman" w:hAnsi="Times New Roman" w:eastAsia="宋体" w:cs="Times New Roman"/>
                      <w:color w:val="auto"/>
                      <w:sz w:val="21"/>
                      <w:szCs w:val="21"/>
                    </w:rPr>
                    <w:t>等</w:t>
                  </w:r>
                </w:p>
              </w:tc>
              <w:tc>
                <w:tcPr>
                  <w:tcW w:w="250" w:type="pct"/>
                  <w:shd w:val="clear" w:color="auto" w:fill="auto"/>
                  <w:vAlign w:val="center"/>
                </w:tcPr>
                <w:p w14:paraId="4274EDED">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90%</w:t>
                  </w:r>
                </w:p>
              </w:tc>
              <w:tc>
                <w:tcPr>
                  <w:tcW w:w="242" w:type="pct"/>
                  <w:vAlign w:val="center"/>
                </w:tcPr>
                <w:p w14:paraId="5A46C071">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0.086 </w:t>
                  </w:r>
                </w:p>
              </w:tc>
              <w:tc>
                <w:tcPr>
                  <w:tcW w:w="209" w:type="pct"/>
                  <w:tcBorders>
                    <w:right w:val="nil"/>
                  </w:tcBorders>
                  <w:vAlign w:val="center"/>
                </w:tcPr>
                <w:p w14:paraId="2EFD5DFD">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0.018</w:t>
                  </w:r>
                </w:p>
              </w:tc>
              <w:tc>
                <w:tcPr>
                  <w:tcW w:w="215" w:type="pct"/>
                  <w:tcBorders>
                    <w:right w:val="nil"/>
                  </w:tcBorders>
                  <w:vAlign w:val="center"/>
                </w:tcPr>
                <w:p w14:paraId="6321B69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4800</w:t>
                  </w:r>
                </w:p>
              </w:tc>
              <w:tc>
                <w:tcPr>
                  <w:tcW w:w="301" w:type="pct"/>
                  <w:tcBorders>
                    <w:right w:val="nil"/>
                  </w:tcBorders>
                  <w:vAlign w:val="center"/>
                </w:tcPr>
                <w:p w14:paraId="27EC7DF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1.0</w:t>
                  </w:r>
                </w:p>
              </w:tc>
              <w:tc>
                <w:tcPr>
                  <w:tcW w:w="208" w:type="pct"/>
                  <w:tcBorders>
                    <w:right w:val="nil"/>
                  </w:tcBorders>
                  <w:shd w:val="clear" w:color="auto" w:fill="auto"/>
                  <w:vAlign w:val="center"/>
                </w:tcPr>
                <w:p w14:paraId="0F0308D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82</w:t>
                  </w:r>
                </w:p>
              </w:tc>
              <w:tc>
                <w:tcPr>
                  <w:tcW w:w="200" w:type="pct"/>
                  <w:tcBorders>
                    <w:right w:val="nil"/>
                  </w:tcBorders>
                  <w:shd w:val="clear" w:color="auto" w:fill="auto"/>
                  <w:vAlign w:val="center"/>
                </w:tcPr>
                <w:p w14:paraId="08E7194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40</w:t>
                  </w:r>
                </w:p>
              </w:tc>
              <w:tc>
                <w:tcPr>
                  <w:tcW w:w="191" w:type="pct"/>
                  <w:tcBorders>
                    <w:right w:val="nil"/>
                  </w:tcBorders>
                  <w:shd w:val="clear" w:color="auto" w:fill="auto"/>
                  <w:vAlign w:val="center"/>
                </w:tcPr>
                <w:p w14:paraId="0E566BC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6.0</w:t>
                  </w:r>
                </w:p>
              </w:tc>
            </w:tr>
            <w:tr w14:paraId="681A0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restart"/>
                  <w:tcBorders>
                    <w:left w:val="nil"/>
                  </w:tcBorders>
                  <w:vAlign w:val="center"/>
                </w:tcPr>
                <w:p w14:paraId="3C15805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w w:val="100"/>
                      <w:kern w:val="2"/>
                      <w:sz w:val="21"/>
                      <w:szCs w:val="21"/>
                      <w:lang w:val="en-US" w:eastAsia="zh-CN" w:bidi="ar-SA"/>
                    </w:rPr>
                    <w:t>橡胶条生产线</w:t>
                  </w:r>
                </w:p>
              </w:tc>
              <w:tc>
                <w:tcPr>
                  <w:tcW w:w="633" w:type="pct"/>
                  <w:vMerge w:val="restart"/>
                  <w:tcBorders>
                    <w:left w:val="nil"/>
                  </w:tcBorders>
                  <w:vAlign w:val="center"/>
                </w:tcPr>
                <w:p w14:paraId="38B1723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eastAsia="zh-CN"/>
                    </w:rPr>
                    <w:t>涂胶和平板硫化车间</w:t>
                  </w:r>
                </w:p>
                <w:p w14:paraId="5E31B46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（1#厂房）</w:t>
                  </w:r>
                </w:p>
              </w:tc>
              <w:tc>
                <w:tcPr>
                  <w:tcW w:w="450" w:type="pct"/>
                  <w:vMerge w:val="restart"/>
                  <w:vAlign w:val="center"/>
                </w:tcPr>
                <w:p w14:paraId="6CD1668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w w:val="100"/>
                      <w:kern w:val="2"/>
                      <w:sz w:val="21"/>
                      <w:szCs w:val="21"/>
                      <w:lang w:eastAsia="zh-CN"/>
                    </w:rPr>
                    <w:t>涂胶、平板硫化、磨边和刻字工序</w:t>
                  </w:r>
                </w:p>
              </w:tc>
              <w:tc>
                <w:tcPr>
                  <w:tcW w:w="380" w:type="pct"/>
                  <w:shd w:val="clear" w:color="auto" w:fill="auto"/>
                  <w:vAlign w:val="center"/>
                </w:tcPr>
                <w:p w14:paraId="0A3ECEA8">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237" w:type="pct"/>
                  <w:vAlign w:val="center"/>
                </w:tcPr>
                <w:p w14:paraId="7AA4ACE0">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0.311 </w:t>
                  </w:r>
                </w:p>
              </w:tc>
              <w:tc>
                <w:tcPr>
                  <w:tcW w:w="241" w:type="pct"/>
                  <w:shd w:val="clear" w:color="auto" w:fill="auto"/>
                  <w:vAlign w:val="center"/>
                </w:tcPr>
                <w:p w14:paraId="681842D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4E12A24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shd w:val="clear" w:color="auto" w:fill="auto"/>
                  <w:vAlign w:val="center"/>
                </w:tcPr>
                <w:p w14:paraId="6D2FD2A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w:t>
                  </w:r>
                </w:p>
              </w:tc>
              <w:tc>
                <w:tcPr>
                  <w:tcW w:w="242" w:type="pct"/>
                  <w:vAlign w:val="center"/>
                </w:tcPr>
                <w:p w14:paraId="7FF53EE6">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0.311 </w:t>
                  </w:r>
                </w:p>
              </w:tc>
              <w:tc>
                <w:tcPr>
                  <w:tcW w:w="209" w:type="pct"/>
                  <w:tcBorders>
                    <w:right w:val="nil"/>
                  </w:tcBorders>
                  <w:vAlign w:val="center"/>
                </w:tcPr>
                <w:p w14:paraId="185A79ED">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0.065 </w:t>
                  </w:r>
                </w:p>
              </w:tc>
              <w:tc>
                <w:tcPr>
                  <w:tcW w:w="215" w:type="pct"/>
                  <w:vMerge w:val="restart"/>
                  <w:tcBorders>
                    <w:right w:val="nil"/>
                  </w:tcBorders>
                  <w:vAlign w:val="center"/>
                </w:tcPr>
                <w:p w14:paraId="729F02C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4800</w:t>
                  </w:r>
                </w:p>
              </w:tc>
              <w:tc>
                <w:tcPr>
                  <w:tcW w:w="301" w:type="pct"/>
                  <w:tcBorders>
                    <w:right w:val="nil"/>
                  </w:tcBorders>
                  <w:shd w:val="clear" w:color="auto" w:fill="auto"/>
                  <w:vAlign w:val="center"/>
                </w:tcPr>
                <w:p w14:paraId="591B565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4.0</w:t>
                  </w:r>
                </w:p>
              </w:tc>
              <w:tc>
                <w:tcPr>
                  <w:tcW w:w="208" w:type="pct"/>
                  <w:vMerge w:val="restart"/>
                  <w:tcBorders>
                    <w:right w:val="nil"/>
                  </w:tcBorders>
                  <w:shd w:val="clear" w:color="auto" w:fill="auto"/>
                  <w:vAlign w:val="center"/>
                </w:tcPr>
                <w:p w14:paraId="65E9FF5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76</w:t>
                  </w:r>
                </w:p>
              </w:tc>
              <w:tc>
                <w:tcPr>
                  <w:tcW w:w="200" w:type="pct"/>
                  <w:vMerge w:val="restart"/>
                  <w:tcBorders>
                    <w:right w:val="nil"/>
                  </w:tcBorders>
                  <w:shd w:val="clear" w:color="auto" w:fill="auto"/>
                  <w:vAlign w:val="center"/>
                </w:tcPr>
                <w:p w14:paraId="6AF8459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72</w:t>
                  </w:r>
                </w:p>
              </w:tc>
              <w:tc>
                <w:tcPr>
                  <w:tcW w:w="191" w:type="pct"/>
                  <w:vMerge w:val="restart"/>
                  <w:tcBorders>
                    <w:right w:val="nil"/>
                  </w:tcBorders>
                  <w:shd w:val="clear" w:color="auto" w:fill="auto"/>
                  <w:vAlign w:val="center"/>
                </w:tcPr>
                <w:p w14:paraId="6AF923C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w:t>
                  </w:r>
                  <w:r>
                    <w:rPr>
                      <w:rFonts w:hint="eastAsia" w:ascii="Times New Roman" w:hAnsi="Times New Roman" w:eastAsia="宋体" w:cs="Times New Roman"/>
                      <w:color w:val="auto"/>
                      <w:sz w:val="21"/>
                      <w:szCs w:val="21"/>
                      <w:lang w:val="en-US" w:eastAsia="zh-CN"/>
                    </w:rPr>
                    <w:t>5</w:t>
                  </w:r>
                </w:p>
              </w:tc>
            </w:tr>
            <w:tr w14:paraId="72045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341C1B8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633" w:type="pct"/>
                  <w:vMerge w:val="continue"/>
                  <w:tcBorders>
                    <w:left w:val="nil"/>
                  </w:tcBorders>
                  <w:vAlign w:val="center"/>
                </w:tcPr>
                <w:p w14:paraId="17A2F2B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450" w:type="pct"/>
                  <w:vMerge w:val="continue"/>
                  <w:vAlign w:val="center"/>
                </w:tcPr>
                <w:p w14:paraId="0CA444B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80" w:type="pct"/>
                  <w:shd w:val="clear" w:color="auto" w:fill="auto"/>
                  <w:vAlign w:val="center"/>
                </w:tcPr>
                <w:p w14:paraId="5F04643B">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甲苯</w:t>
                  </w:r>
                </w:p>
              </w:tc>
              <w:tc>
                <w:tcPr>
                  <w:tcW w:w="237" w:type="pct"/>
                  <w:vAlign w:val="center"/>
                </w:tcPr>
                <w:p w14:paraId="616F8FD4">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0.225 </w:t>
                  </w:r>
                </w:p>
              </w:tc>
              <w:tc>
                <w:tcPr>
                  <w:tcW w:w="241" w:type="pct"/>
                  <w:shd w:val="clear" w:color="auto" w:fill="auto"/>
                  <w:vAlign w:val="center"/>
                </w:tcPr>
                <w:p w14:paraId="7677147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35DCDD0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shd w:val="clear" w:color="auto" w:fill="auto"/>
                  <w:vAlign w:val="center"/>
                </w:tcPr>
                <w:p w14:paraId="6C934A9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w:t>
                  </w:r>
                </w:p>
              </w:tc>
              <w:tc>
                <w:tcPr>
                  <w:tcW w:w="242" w:type="pct"/>
                  <w:vAlign w:val="center"/>
                </w:tcPr>
                <w:p w14:paraId="2F467BE5">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0.225 </w:t>
                  </w:r>
                </w:p>
              </w:tc>
              <w:tc>
                <w:tcPr>
                  <w:tcW w:w="209" w:type="pct"/>
                  <w:tcBorders>
                    <w:right w:val="nil"/>
                  </w:tcBorders>
                  <w:vAlign w:val="center"/>
                </w:tcPr>
                <w:p w14:paraId="4364A9E2">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0.047 </w:t>
                  </w:r>
                </w:p>
              </w:tc>
              <w:tc>
                <w:tcPr>
                  <w:tcW w:w="215" w:type="pct"/>
                  <w:vMerge w:val="continue"/>
                  <w:tcBorders>
                    <w:right w:val="nil"/>
                  </w:tcBorders>
                  <w:vAlign w:val="center"/>
                </w:tcPr>
                <w:p w14:paraId="76DFB03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01" w:type="pct"/>
                  <w:tcBorders>
                    <w:right w:val="nil"/>
                  </w:tcBorders>
                  <w:shd w:val="clear" w:color="auto" w:fill="auto"/>
                  <w:vAlign w:val="center"/>
                </w:tcPr>
                <w:p w14:paraId="483790E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1.2</w:t>
                  </w:r>
                </w:p>
              </w:tc>
              <w:tc>
                <w:tcPr>
                  <w:tcW w:w="208" w:type="pct"/>
                  <w:vMerge w:val="continue"/>
                  <w:tcBorders>
                    <w:right w:val="nil"/>
                  </w:tcBorders>
                  <w:shd w:val="clear" w:color="auto" w:fill="auto"/>
                  <w:vAlign w:val="center"/>
                </w:tcPr>
                <w:p w14:paraId="1EE8E17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200" w:type="pct"/>
                  <w:vMerge w:val="continue"/>
                  <w:tcBorders>
                    <w:right w:val="nil"/>
                  </w:tcBorders>
                  <w:shd w:val="clear" w:color="auto" w:fill="auto"/>
                  <w:vAlign w:val="center"/>
                </w:tcPr>
                <w:p w14:paraId="535E0F3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p>
              </w:tc>
              <w:tc>
                <w:tcPr>
                  <w:tcW w:w="191" w:type="pct"/>
                  <w:vMerge w:val="continue"/>
                  <w:tcBorders>
                    <w:right w:val="nil"/>
                  </w:tcBorders>
                  <w:shd w:val="clear" w:color="auto" w:fill="auto"/>
                  <w:vAlign w:val="center"/>
                </w:tcPr>
                <w:p w14:paraId="1A3E5F4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r>
            <w:tr w14:paraId="2A16F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tcBorders>
                  <w:vAlign w:val="center"/>
                </w:tcPr>
                <w:p w14:paraId="1C7E3E7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633" w:type="pct"/>
                  <w:vMerge w:val="continue"/>
                  <w:tcBorders>
                    <w:left w:val="nil"/>
                  </w:tcBorders>
                  <w:vAlign w:val="center"/>
                </w:tcPr>
                <w:p w14:paraId="2D83F76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450" w:type="pct"/>
                  <w:vMerge w:val="continue"/>
                  <w:vAlign w:val="center"/>
                </w:tcPr>
                <w:p w14:paraId="62CD8DF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80" w:type="pct"/>
                  <w:shd w:val="clear" w:color="auto" w:fill="auto"/>
                  <w:vAlign w:val="center"/>
                </w:tcPr>
                <w:p w14:paraId="240AC199">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237" w:type="pct"/>
                  <w:vAlign w:val="center"/>
                </w:tcPr>
                <w:p w14:paraId="1979F9D9">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0.005 </w:t>
                  </w:r>
                </w:p>
              </w:tc>
              <w:tc>
                <w:tcPr>
                  <w:tcW w:w="241" w:type="pct"/>
                  <w:shd w:val="clear" w:color="auto" w:fill="auto"/>
                  <w:vAlign w:val="center"/>
                </w:tcPr>
                <w:p w14:paraId="3598609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无组织</w:t>
                  </w:r>
                </w:p>
              </w:tc>
              <w:tc>
                <w:tcPr>
                  <w:tcW w:w="786" w:type="pct"/>
                  <w:shd w:val="clear" w:color="auto" w:fill="auto"/>
                  <w:vAlign w:val="center"/>
                </w:tcPr>
                <w:p w14:paraId="11D1ADB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250" w:type="pct"/>
                  <w:shd w:val="clear" w:color="auto" w:fill="auto"/>
                  <w:vAlign w:val="center"/>
                </w:tcPr>
                <w:p w14:paraId="703BE9B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w:t>
                  </w:r>
                </w:p>
              </w:tc>
              <w:tc>
                <w:tcPr>
                  <w:tcW w:w="242" w:type="pct"/>
                  <w:vAlign w:val="center"/>
                </w:tcPr>
                <w:p w14:paraId="73B5AC23">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0.005 </w:t>
                  </w:r>
                </w:p>
              </w:tc>
              <w:tc>
                <w:tcPr>
                  <w:tcW w:w="209" w:type="pct"/>
                  <w:tcBorders>
                    <w:right w:val="nil"/>
                  </w:tcBorders>
                  <w:vAlign w:val="center"/>
                </w:tcPr>
                <w:p w14:paraId="501F6C36">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0.001 </w:t>
                  </w:r>
                </w:p>
              </w:tc>
              <w:tc>
                <w:tcPr>
                  <w:tcW w:w="215" w:type="pct"/>
                  <w:vMerge w:val="continue"/>
                  <w:tcBorders>
                    <w:right w:val="nil"/>
                  </w:tcBorders>
                  <w:vAlign w:val="center"/>
                </w:tcPr>
                <w:p w14:paraId="1639FEF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01" w:type="pct"/>
                  <w:tcBorders>
                    <w:right w:val="nil"/>
                  </w:tcBorders>
                  <w:shd w:val="clear" w:color="auto" w:fill="auto"/>
                  <w:vAlign w:val="center"/>
                </w:tcPr>
                <w:p w14:paraId="67A35A7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0.06</w:t>
                  </w:r>
                </w:p>
              </w:tc>
              <w:tc>
                <w:tcPr>
                  <w:tcW w:w="208" w:type="pct"/>
                  <w:vMerge w:val="continue"/>
                  <w:tcBorders>
                    <w:right w:val="nil"/>
                  </w:tcBorders>
                  <w:shd w:val="clear" w:color="auto" w:fill="auto"/>
                  <w:vAlign w:val="center"/>
                </w:tcPr>
                <w:p w14:paraId="72C4454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200" w:type="pct"/>
                  <w:vMerge w:val="continue"/>
                  <w:tcBorders>
                    <w:right w:val="nil"/>
                  </w:tcBorders>
                  <w:shd w:val="clear" w:color="auto" w:fill="auto"/>
                  <w:vAlign w:val="center"/>
                </w:tcPr>
                <w:p w14:paraId="042C35F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p>
              </w:tc>
              <w:tc>
                <w:tcPr>
                  <w:tcW w:w="191" w:type="pct"/>
                  <w:vMerge w:val="continue"/>
                  <w:tcBorders>
                    <w:right w:val="nil"/>
                  </w:tcBorders>
                  <w:shd w:val="clear" w:color="auto" w:fill="auto"/>
                  <w:vAlign w:val="center"/>
                </w:tcPr>
                <w:p w14:paraId="7DB2DB6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r>
            <w:tr w14:paraId="6B85B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2" w:type="pct"/>
                  <w:vMerge w:val="continue"/>
                  <w:tcBorders>
                    <w:left w:val="nil"/>
                    <w:bottom w:val="single" w:color="auto" w:sz="12" w:space="0"/>
                  </w:tcBorders>
                  <w:vAlign w:val="center"/>
                </w:tcPr>
                <w:p w14:paraId="4164E93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633" w:type="pct"/>
                  <w:vMerge w:val="continue"/>
                  <w:tcBorders>
                    <w:left w:val="nil"/>
                    <w:bottom w:val="single" w:color="auto" w:sz="12" w:space="0"/>
                  </w:tcBorders>
                  <w:vAlign w:val="center"/>
                </w:tcPr>
                <w:p w14:paraId="5F983AD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450" w:type="pct"/>
                  <w:vMerge w:val="continue"/>
                  <w:tcBorders>
                    <w:bottom w:val="single" w:color="auto" w:sz="12" w:space="0"/>
                  </w:tcBorders>
                  <w:vAlign w:val="center"/>
                </w:tcPr>
                <w:p w14:paraId="53B953E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80" w:type="pct"/>
                  <w:tcBorders>
                    <w:bottom w:val="single" w:color="auto" w:sz="12" w:space="0"/>
                  </w:tcBorders>
                  <w:shd w:val="clear" w:color="auto" w:fill="auto"/>
                  <w:vAlign w:val="center"/>
                </w:tcPr>
                <w:p w14:paraId="055CB5D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颗粒物</w:t>
                  </w:r>
                </w:p>
              </w:tc>
              <w:tc>
                <w:tcPr>
                  <w:tcW w:w="237" w:type="pct"/>
                  <w:tcBorders>
                    <w:bottom w:val="single" w:color="auto" w:sz="12" w:space="0"/>
                  </w:tcBorders>
                  <w:vAlign w:val="center"/>
                </w:tcPr>
                <w:p w14:paraId="602195D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0.294</w:t>
                  </w:r>
                </w:p>
              </w:tc>
              <w:tc>
                <w:tcPr>
                  <w:tcW w:w="241" w:type="pct"/>
                  <w:tcBorders>
                    <w:bottom w:val="single" w:color="auto" w:sz="12" w:space="0"/>
                  </w:tcBorders>
                  <w:vAlign w:val="center"/>
                </w:tcPr>
                <w:p w14:paraId="617D269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无组织</w:t>
                  </w:r>
                </w:p>
              </w:tc>
              <w:tc>
                <w:tcPr>
                  <w:tcW w:w="786" w:type="pct"/>
                  <w:tcBorders>
                    <w:bottom w:val="single" w:color="auto" w:sz="12" w:space="0"/>
                  </w:tcBorders>
                  <w:shd w:val="clear" w:color="auto" w:fill="auto"/>
                  <w:vAlign w:val="center"/>
                </w:tcPr>
                <w:p w14:paraId="1FDFD88E">
                  <w:pPr>
                    <w:keepNext w:val="0"/>
                    <w:keepLines w:val="0"/>
                    <w:pageBreakBefore w:val="0"/>
                    <w:kinsoku/>
                    <w:wordWrap/>
                    <w:overflowPunct/>
                    <w:topLinePunct w:val="0"/>
                    <w:autoSpaceDE/>
                    <w:autoSpaceDN/>
                    <w:bidi w:val="0"/>
                    <w:adjustRightInd/>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自然沉降、厂房阻隔</w:t>
                  </w:r>
                  <w:r>
                    <w:rPr>
                      <w:rFonts w:hint="eastAsia" w:cs="Times New Roman"/>
                      <w:color w:val="auto"/>
                      <w:sz w:val="21"/>
                      <w:szCs w:val="21"/>
                      <w:lang w:eastAsia="zh-CN"/>
                    </w:rPr>
                    <w:t>、定期清扫</w:t>
                  </w:r>
                  <w:r>
                    <w:rPr>
                      <w:rFonts w:hint="default" w:ascii="Times New Roman" w:hAnsi="Times New Roman" w:eastAsia="宋体" w:cs="Times New Roman"/>
                      <w:color w:val="auto"/>
                      <w:sz w:val="21"/>
                      <w:szCs w:val="21"/>
                    </w:rPr>
                    <w:t>等</w:t>
                  </w:r>
                </w:p>
              </w:tc>
              <w:tc>
                <w:tcPr>
                  <w:tcW w:w="250" w:type="pct"/>
                  <w:tcBorders>
                    <w:bottom w:val="single" w:color="auto" w:sz="12" w:space="0"/>
                  </w:tcBorders>
                  <w:shd w:val="clear" w:color="auto" w:fill="auto"/>
                  <w:vAlign w:val="center"/>
                </w:tcPr>
                <w:p w14:paraId="16351946">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90%</w:t>
                  </w:r>
                </w:p>
              </w:tc>
              <w:tc>
                <w:tcPr>
                  <w:tcW w:w="242" w:type="pct"/>
                  <w:tcBorders>
                    <w:bottom w:val="single" w:color="auto" w:sz="12" w:space="0"/>
                  </w:tcBorders>
                  <w:vAlign w:val="center"/>
                </w:tcPr>
                <w:p w14:paraId="6FAF8E6E">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0.029</w:t>
                  </w:r>
                </w:p>
              </w:tc>
              <w:tc>
                <w:tcPr>
                  <w:tcW w:w="209" w:type="pct"/>
                  <w:tcBorders>
                    <w:bottom w:val="single" w:color="auto" w:sz="12" w:space="0"/>
                    <w:right w:val="nil"/>
                  </w:tcBorders>
                  <w:vAlign w:val="center"/>
                </w:tcPr>
                <w:p w14:paraId="5B26699C">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215" w:type="pct"/>
                  <w:vMerge w:val="continue"/>
                  <w:tcBorders>
                    <w:bottom w:val="single" w:color="auto" w:sz="12" w:space="0"/>
                    <w:right w:val="nil"/>
                  </w:tcBorders>
                  <w:vAlign w:val="center"/>
                </w:tcPr>
                <w:p w14:paraId="32760DBC">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301" w:type="pct"/>
                  <w:tcBorders>
                    <w:bottom w:val="single" w:color="auto" w:sz="12" w:space="0"/>
                    <w:right w:val="nil"/>
                  </w:tcBorders>
                  <w:shd w:val="clear" w:color="auto" w:fill="auto"/>
                  <w:vAlign w:val="center"/>
                </w:tcPr>
                <w:p w14:paraId="308F2F9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w:t>
                  </w:r>
                </w:p>
              </w:tc>
              <w:tc>
                <w:tcPr>
                  <w:tcW w:w="208" w:type="pct"/>
                  <w:vMerge w:val="continue"/>
                  <w:tcBorders>
                    <w:bottom w:val="single" w:color="auto" w:sz="12" w:space="0"/>
                    <w:right w:val="nil"/>
                  </w:tcBorders>
                  <w:shd w:val="clear" w:color="auto" w:fill="auto"/>
                  <w:vAlign w:val="center"/>
                </w:tcPr>
                <w:p w14:paraId="0C42685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c>
                <w:tcPr>
                  <w:tcW w:w="200" w:type="pct"/>
                  <w:vMerge w:val="continue"/>
                  <w:tcBorders>
                    <w:bottom w:val="single" w:color="auto" w:sz="12" w:space="0"/>
                    <w:right w:val="nil"/>
                  </w:tcBorders>
                  <w:shd w:val="clear" w:color="auto" w:fill="auto"/>
                  <w:vAlign w:val="center"/>
                </w:tcPr>
                <w:p w14:paraId="345C7C5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p>
              </w:tc>
              <w:tc>
                <w:tcPr>
                  <w:tcW w:w="191" w:type="pct"/>
                  <w:vMerge w:val="continue"/>
                  <w:tcBorders>
                    <w:bottom w:val="single" w:color="auto" w:sz="12" w:space="0"/>
                    <w:right w:val="nil"/>
                  </w:tcBorders>
                  <w:shd w:val="clear" w:color="auto" w:fill="auto"/>
                  <w:vAlign w:val="center"/>
                </w:tcPr>
                <w:p w14:paraId="61066610">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 w:val="21"/>
                      <w:szCs w:val="21"/>
                      <w:lang w:val="en-US" w:eastAsia="zh-CN"/>
                    </w:rPr>
                  </w:pPr>
                </w:p>
              </w:tc>
            </w:tr>
          </w:tbl>
          <w:p w14:paraId="70AE3DC0">
            <w:pPr>
              <w:jc w:val="both"/>
              <w:rPr>
                <w:rFonts w:hint="default" w:ascii="Times New Roman" w:hAnsi="Times New Roman" w:cs="Times New Roman"/>
                <w:color w:val="auto"/>
                <w:vertAlign w:val="baseline"/>
              </w:rPr>
            </w:pPr>
          </w:p>
        </w:tc>
      </w:tr>
    </w:tbl>
    <w:p w14:paraId="09722EBB">
      <w:pPr>
        <w:pStyle w:val="34"/>
        <w:outlineLvl w:val="9"/>
        <w:rPr>
          <w:rFonts w:hint="eastAsia"/>
          <w:color w:val="auto"/>
        </w:rPr>
        <w:sectPr>
          <w:pgSz w:w="23811" w:h="16838" w:orient="landscape"/>
          <w:pgMar w:top="1417" w:right="1417" w:bottom="1417" w:left="1417"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8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50"/>
        <w:gridCol w:w="9385"/>
      </w:tblGrid>
      <w:tr w14:paraId="682563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620" w:hRule="atLeast"/>
          <w:jc w:val="center"/>
        </w:trPr>
        <w:tc>
          <w:tcPr>
            <w:tcW w:w="277" w:type="pct"/>
            <w:tcBorders>
              <w:tl2br w:val="nil"/>
              <w:tr2bl w:val="nil"/>
            </w:tcBorders>
            <w:noWrap w:val="0"/>
            <w:tcMar>
              <w:left w:w="28" w:type="dxa"/>
              <w:right w:w="28" w:type="dxa"/>
            </w:tcMar>
            <w:vAlign w:val="center"/>
          </w:tcPr>
          <w:p w14:paraId="69C6D37F">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运营</w:t>
            </w:r>
          </w:p>
          <w:p w14:paraId="1073EE17">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期环</w:t>
            </w:r>
          </w:p>
          <w:p w14:paraId="39411F60">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境影</w:t>
            </w:r>
          </w:p>
          <w:p w14:paraId="0ED2A6EE">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响和</w:t>
            </w:r>
          </w:p>
          <w:p w14:paraId="1B735090">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保护</w:t>
            </w:r>
          </w:p>
          <w:p w14:paraId="2E45885E">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措施</w:t>
            </w:r>
          </w:p>
        </w:tc>
        <w:tc>
          <w:tcPr>
            <w:tcW w:w="4722" w:type="pct"/>
            <w:tcBorders>
              <w:tl2br w:val="nil"/>
              <w:tr2bl w:val="nil"/>
            </w:tcBorders>
            <w:noWrap w:val="0"/>
            <w:vAlign w:val="top"/>
          </w:tcPr>
          <w:p w14:paraId="5C0BF83B">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2" w:firstLineChars="200"/>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eastAsia" w:ascii="Times New Roman" w:hAnsi="Times New Roman" w:cs="Times New Roman" w:eastAsiaTheme="minorEastAsia"/>
                <w:b/>
                <w:color w:val="auto"/>
                <w:w w:val="100"/>
                <w:kern w:val="2"/>
                <w:sz w:val="22"/>
                <w:szCs w:val="22"/>
                <w:lang w:val="en-US" w:eastAsia="zh-CN" w:bidi="ar-SA"/>
              </w:rPr>
              <w:t>2.废气治理措施可行性分析</w:t>
            </w:r>
          </w:p>
          <w:p w14:paraId="3173C9A9">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2" w:firstLineChars="200"/>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cs="Times New Roman" w:eastAsiaTheme="minorEastAsia"/>
                <w:b/>
                <w:bCs w:val="0"/>
                <w:color w:val="auto"/>
                <w:w w:val="100"/>
                <w:kern w:val="2"/>
                <w:sz w:val="22"/>
                <w:szCs w:val="22"/>
                <w:lang w:val="en-US" w:eastAsia="zh-CN" w:bidi="ar-SA"/>
              </w:rPr>
              <w:pict>
                <v:shape id="_x0000_s1057" o:spid="_x0000_s1057" o:spt="75" type="#_x0000_t75" style="position:absolute;left:0pt;margin-left:12.4pt;margin-top:25.6pt;height:263.7pt;width:423.75pt;mso-wrap-distance-bottom:0pt;mso-wrap-distance-top:0pt;z-index:251663360;mso-width-relative:page;mso-height-relative:page;" o:ole="t" filled="f" o:preferrelative="t" stroked="f" coordsize="21600,21600">
                  <v:path/>
                  <v:fill on="f" focussize="0,0"/>
                  <v:stroke on="f"/>
                  <v:imagedata r:id="rId19" cropleft="-660f" croptop="1494f" cropright="2927f" cropbottom="8467f" o:title=""/>
                  <o:lock v:ext="edit" aspectratio="t"/>
                  <w10:wrap type="topAndBottom"/>
                </v:shape>
                <o:OLEObject Type="Embed" ProgID="Word.Document.12" ShapeID="_x0000_s1057" DrawAspect="Content" ObjectID="_1468075729" r:id="rId18">
                  <o:LockedField>false</o:LockedField>
                </o:OLEObject>
              </w:pict>
            </w:r>
            <w:r>
              <w:rPr>
                <w:rFonts w:hint="default" w:ascii="Times New Roman" w:hAnsi="Times New Roman" w:cs="Times New Roman" w:eastAsiaTheme="minorEastAsia"/>
                <w:b w:val="0"/>
                <w:bCs/>
                <w:color w:val="auto"/>
                <w:w w:val="100"/>
                <w:kern w:val="2"/>
                <w:sz w:val="22"/>
                <w:szCs w:val="22"/>
                <w:lang w:val="en-US" w:eastAsia="zh-CN" w:bidi="ar-SA"/>
              </w:rPr>
              <w:t>本项目废气污染防治措施见图4.1-1。</w:t>
            </w:r>
          </w:p>
          <w:tbl>
            <w:tblPr>
              <w:tblStyle w:val="44"/>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169"/>
            </w:tblGrid>
            <w:tr w14:paraId="0B1121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tcBorders>
                    <w:tl2br w:val="nil"/>
                    <w:tr2bl w:val="nil"/>
                  </w:tcBorders>
                </w:tcPr>
                <w:p w14:paraId="5D191489">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0"/>
                    <w:jc w:val="center"/>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cs="Times New Roman" w:eastAsiaTheme="minorEastAsia"/>
                      <w:b/>
                      <w:bCs w:val="0"/>
                      <w:color w:val="auto"/>
                      <w:w w:val="100"/>
                      <w:kern w:val="2"/>
                      <w:sz w:val="22"/>
                      <w:szCs w:val="22"/>
                      <w:lang w:val="en-US" w:eastAsia="zh-CN" w:bidi="ar-SA"/>
                    </w:rPr>
                    <w:t>图4.1-1 废气治理工艺流程图</w:t>
                  </w:r>
                </w:p>
              </w:tc>
            </w:tr>
          </w:tbl>
          <w:p w14:paraId="1FA88454">
            <w:pPr>
              <w:widowControl w:val="0"/>
              <w:spacing w:after="0" w:line="500" w:lineRule="exact"/>
              <w:ind w:left="0" w:leftChars="0" w:firstLine="442" w:firstLineChars="200"/>
              <w:jc w:val="left"/>
              <w:rPr>
                <w:rFonts w:hint="default" w:ascii="Times New Roman" w:hAnsi="Times New Roman" w:eastAsia="宋体" w:cs="Times New Roman"/>
                <w:color w:val="auto"/>
                <w:kern w:val="2"/>
                <w:sz w:val="22"/>
                <w:szCs w:val="22"/>
                <w:lang w:val="en-US" w:eastAsia="zh-CN" w:bidi="ar-SA"/>
              </w:rPr>
            </w:pPr>
            <w:r>
              <w:rPr>
                <w:rFonts w:hint="eastAsia" w:ascii="宋体" w:hAnsi="宋体" w:eastAsia="宋体" w:cs="宋体"/>
                <w:b/>
                <w:bCs/>
                <w:color w:val="auto"/>
                <w:kern w:val="2"/>
                <w:sz w:val="22"/>
                <w:szCs w:val="22"/>
                <w:lang w:val="en-US" w:eastAsia="zh-CN" w:bidi="ar-SA"/>
              </w:rPr>
              <w:t>⑴</w:t>
            </w:r>
            <w:r>
              <w:rPr>
                <w:rFonts w:hint="default" w:ascii="Times New Roman" w:hAnsi="Times New Roman" w:eastAsia="宋体" w:cs="Times New Roman"/>
                <w:b/>
                <w:bCs/>
                <w:color w:val="auto"/>
                <w:kern w:val="2"/>
                <w:sz w:val="22"/>
                <w:szCs w:val="22"/>
                <w:lang w:val="en-US" w:eastAsia="zh-CN" w:bidi="ar-SA"/>
              </w:rPr>
              <w:t>有组织废气治理措施</w:t>
            </w:r>
          </w:p>
          <w:p w14:paraId="062114DA">
            <w:pPr>
              <w:widowControl w:val="0"/>
              <w:spacing w:after="0" w:line="500" w:lineRule="exact"/>
              <w:ind w:left="0" w:leftChars="0"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粉尘治理措施为布袋除尘，布袋除尘装置是一种干式除尘装置，它适用于捕集细小、干燥非纤维性粉尘。滤袋采用纺织的滤布或非纺织的毡制成，利用纤维织物的过滤作用对含尘气体进行过滤，当含尘气体进入布袋除尘器，颗粒大、比重大的粉尘，由于重力的作用沉降下来，落入灰斗，含有较细小粉尘的气体在通过滤料时，粉尘被阻留，使气体得到净化。参照《排污许可证申请与核发技术规范 橡胶和塑料制品工业》（HJ1122-2020），本项目拟采用的废气治理措施为布袋除尘，属于可行技术。</w:t>
            </w:r>
          </w:p>
          <w:p w14:paraId="4013A638">
            <w:pPr>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有机废气治理措施为活性炭吸附，活性炭是一种多孔性的含炭物质，具有高度发达的孔隙构造，表面积大，能与气体（杂质）充分接触，因此具有较高的吸附性能。活性炭起始吸附效率可达100%，随着时间的推移和吸附的进行，活性炭趋于饱和，处理效率下降，但在处理效率减小到一定程度前再生或更换活性炭即可维持吸附装置的去除效率在较高的水平上，使外排废气稳定达标。因此，饱和吸附的活性炭须及时更换。参照《排污许可证申请与核发技术规范 橡胶和塑料制品工业》（HJ1122-2020），本项目拟采用的废气治理措施为二级活性炭吸附，属于可行技术。</w:t>
            </w:r>
          </w:p>
          <w:p w14:paraId="7ECC1514">
            <w:pPr>
              <w:widowControl w:val="0"/>
              <w:spacing w:after="0" w:line="500" w:lineRule="exact"/>
              <w:ind w:left="0" w:leftChars="0"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本项目活性炭吸附装置参数见表4.1-</w:t>
            </w:r>
            <w:r>
              <w:rPr>
                <w:rFonts w:hint="eastAsia" w:ascii="Times New Roman" w:hAnsi="Times New Roman" w:eastAsia="宋体" w:cs="Times New Roman"/>
                <w:color w:val="auto"/>
                <w:kern w:val="2"/>
                <w:sz w:val="22"/>
                <w:szCs w:val="22"/>
                <w:lang w:val="en-US" w:eastAsia="zh-CN" w:bidi="ar-SA"/>
              </w:rPr>
              <w:t>3</w:t>
            </w:r>
            <w:r>
              <w:rPr>
                <w:rFonts w:hint="default" w:ascii="Times New Roman" w:hAnsi="Times New Roman" w:eastAsia="宋体" w:cs="Times New Roman"/>
                <w:color w:val="auto"/>
                <w:kern w:val="2"/>
                <w:sz w:val="22"/>
                <w:szCs w:val="22"/>
                <w:lang w:val="en-US" w:eastAsia="zh-CN" w:bidi="ar-SA"/>
              </w:rPr>
              <w:t>。</w:t>
            </w:r>
          </w:p>
          <w:p w14:paraId="4A522E64">
            <w:pPr>
              <w:widowControl w:val="0"/>
              <w:spacing w:after="0" w:line="500" w:lineRule="exact"/>
              <w:ind w:left="0" w:leftChars="0" w:firstLine="0"/>
              <w:jc w:val="center"/>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表4.1-</w:t>
            </w:r>
            <w:r>
              <w:rPr>
                <w:rFonts w:hint="eastAsia" w:ascii="Times New Roman" w:hAnsi="Times New Roman" w:eastAsia="宋体" w:cs="Times New Roman"/>
                <w:b/>
                <w:bCs/>
                <w:color w:val="auto"/>
                <w:kern w:val="2"/>
                <w:sz w:val="22"/>
                <w:szCs w:val="22"/>
                <w:lang w:val="en-US" w:eastAsia="zh-CN" w:bidi="ar-SA"/>
              </w:rPr>
              <w:t>3</w:t>
            </w:r>
            <w:r>
              <w:rPr>
                <w:rFonts w:hint="default" w:ascii="Times New Roman" w:hAnsi="Times New Roman" w:eastAsia="宋体" w:cs="Times New Roman"/>
                <w:b/>
                <w:bCs/>
                <w:color w:val="auto"/>
                <w:kern w:val="2"/>
                <w:sz w:val="22"/>
                <w:szCs w:val="22"/>
                <w:lang w:val="en-US" w:eastAsia="zh-CN" w:bidi="ar-SA"/>
              </w:rPr>
              <w:t xml:space="preserve">  活性炭吸附装置参数表</w:t>
            </w:r>
          </w:p>
          <w:tbl>
            <w:tblPr>
              <w:tblStyle w:val="44"/>
              <w:tblW w:w="4979" w:type="pct"/>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87"/>
              <w:gridCol w:w="3305"/>
              <w:gridCol w:w="4538"/>
            </w:tblGrid>
            <w:tr w14:paraId="24EB00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675D8CA7">
                  <w:pPr>
                    <w:widowControl w:val="0"/>
                    <w:spacing w:line="360" w:lineRule="exact"/>
                    <w:ind w:left="0" w:firstLine="0" w:firstLineChars="0"/>
                    <w:contextualSpacing/>
                    <w:jc w:val="center"/>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序号</w:t>
                  </w:r>
                </w:p>
              </w:tc>
              <w:tc>
                <w:tcPr>
                  <w:tcW w:w="1809" w:type="pct"/>
                  <w:tcBorders>
                    <w:tl2br w:val="nil"/>
                    <w:tr2bl w:val="nil"/>
                  </w:tcBorders>
                  <w:vAlign w:val="center"/>
                </w:tcPr>
                <w:p w14:paraId="36CBCE45">
                  <w:pPr>
                    <w:widowControl w:val="0"/>
                    <w:spacing w:line="360" w:lineRule="exact"/>
                    <w:ind w:left="0" w:firstLine="0" w:firstLineChars="0"/>
                    <w:contextualSpacing/>
                    <w:jc w:val="center"/>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项目</w:t>
                  </w:r>
                </w:p>
              </w:tc>
              <w:tc>
                <w:tcPr>
                  <w:tcW w:w="2484" w:type="pct"/>
                  <w:tcBorders>
                    <w:tl2br w:val="nil"/>
                    <w:tr2bl w:val="nil"/>
                  </w:tcBorders>
                  <w:vAlign w:val="center"/>
                </w:tcPr>
                <w:p w14:paraId="5CAD54E1">
                  <w:pPr>
                    <w:widowControl w:val="0"/>
                    <w:spacing w:line="360" w:lineRule="exact"/>
                    <w:ind w:left="0" w:firstLine="0" w:firstLineChars="0"/>
                    <w:contextualSpacing/>
                    <w:jc w:val="center"/>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技术指标参数</w:t>
                  </w:r>
                </w:p>
              </w:tc>
            </w:tr>
            <w:tr w14:paraId="17F3C7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50B66FC9">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w:t>
                  </w:r>
                </w:p>
              </w:tc>
              <w:tc>
                <w:tcPr>
                  <w:tcW w:w="1809" w:type="pct"/>
                  <w:tcBorders>
                    <w:tl2br w:val="nil"/>
                    <w:tr2bl w:val="nil"/>
                  </w:tcBorders>
                  <w:vAlign w:val="center"/>
                </w:tcPr>
                <w:p w14:paraId="5646B335">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装置名称</w:t>
                  </w:r>
                </w:p>
              </w:tc>
              <w:tc>
                <w:tcPr>
                  <w:tcW w:w="2484" w:type="pct"/>
                  <w:tcBorders>
                    <w:tl2br w:val="nil"/>
                    <w:tr2bl w:val="nil"/>
                  </w:tcBorders>
                  <w:vAlign w:val="center"/>
                </w:tcPr>
                <w:p w14:paraId="5E58B65F">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二级活性炭吸附装置</w:t>
                  </w:r>
                </w:p>
              </w:tc>
            </w:tr>
            <w:tr w14:paraId="3D2261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1DD67E44">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w:t>
                  </w:r>
                </w:p>
              </w:tc>
              <w:tc>
                <w:tcPr>
                  <w:tcW w:w="1809" w:type="pct"/>
                  <w:tcBorders>
                    <w:tl2br w:val="nil"/>
                    <w:tr2bl w:val="nil"/>
                  </w:tcBorders>
                  <w:vAlign w:val="center"/>
                </w:tcPr>
                <w:p w14:paraId="1CF47720">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填充活性炭类型</w:t>
                  </w:r>
                </w:p>
              </w:tc>
              <w:tc>
                <w:tcPr>
                  <w:tcW w:w="2484" w:type="pct"/>
                  <w:tcBorders>
                    <w:tl2br w:val="nil"/>
                    <w:tr2bl w:val="nil"/>
                  </w:tcBorders>
                  <w:vAlign w:val="center"/>
                </w:tcPr>
                <w:p w14:paraId="254C1C55">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颗粒活性炭</w:t>
                  </w:r>
                </w:p>
              </w:tc>
            </w:tr>
            <w:tr w14:paraId="6E8664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3E2ACEAD">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3</w:t>
                  </w:r>
                </w:p>
              </w:tc>
              <w:tc>
                <w:tcPr>
                  <w:tcW w:w="1809" w:type="pct"/>
                  <w:tcBorders>
                    <w:tl2br w:val="nil"/>
                    <w:tr2bl w:val="nil"/>
                  </w:tcBorders>
                  <w:vAlign w:val="center"/>
                </w:tcPr>
                <w:p w14:paraId="3E8C0403">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活性炭粒径</w:t>
                  </w:r>
                </w:p>
              </w:tc>
              <w:tc>
                <w:tcPr>
                  <w:tcW w:w="2484" w:type="pct"/>
                  <w:tcBorders>
                    <w:tl2br w:val="nil"/>
                    <w:tr2bl w:val="nil"/>
                  </w:tcBorders>
                  <w:vAlign w:val="center"/>
                </w:tcPr>
                <w:p w14:paraId="6A554A87">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500～5000μm</w:t>
                  </w:r>
                </w:p>
              </w:tc>
            </w:tr>
            <w:tr w14:paraId="7BC2CD2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07A6B2BD">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4</w:t>
                  </w:r>
                </w:p>
              </w:tc>
              <w:tc>
                <w:tcPr>
                  <w:tcW w:w="1809" w:type="pct"/>
                  <w:tcBorders>
                    <w:tl2br w:val="nil"/>
                    <w:tr2bl w:val="nil"/>
                  </w:tcBorders>
                  <w:vAlign w:val="center"/>
                </w:tcPr>
                <w:p w14:paraId="2963D422">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活性炭比表面积</w:t>
                  </w:r>
                </w:p>
              </w:tc>
              <w:tc>
                <w:tcPr>
                  <w:tcW w:w="2484" w:type="pct"/>
                  <w:tcBorders>
                    <w:tl2br w:val="nil"/>
                    <w:tr2bl w:val="nil"/>
                  </w:tcBorders>
                  <w:vAlign w:val="center"/>
                </w:tcPr>
                <w:p w14:paraId="301DEA03">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不低于1200m</w:t>
                  </w:r>
                  <w:r>
                    <w:rPr>
                      <w:rFonts w:hint="default" w:ascii="Times New Roman" w:hAnsi="Times New Roman" w:eastAsia="宋体" w:cs="Times New Roman"/>
                      <w:color w:val="auto"/>
                      <w:kern w:val="2"/>
                      <w:sz w:val="21"/>
                      <w:szCs w:val="21"/>
                      <w:vertAlign w:val="superscript"/>
                      <w:lang w:val="en-US" w:eastAsia="zh-CN" w:bidi="ar-SA"/>
                    </w:rPr>
                    <w:t>2</w:t>
                  </w:r>
                  <w:r>
                    <w:rPr>
                      <w:rFonts w:hint="default" w:ascii="Times New Roman" w:hAnsi="Times New Roman" w:eastAsia="宋体" w:cs="Times New Roman"/>
                      <w:color w:val="auto"/>
                      <w:kern w:val="2"/>
                      <w:sz w:val="21"/>
                      <w:szCs w:val="21"/>
                      <w:lang w:val="en-US" w:eastAsia="zh-CN" w:bidi="ar-SA"/>
                    </w:rPr>
                    <w:t>/g</w:t>
                  </w:r>
                </w:p>
              </w:tc>
            </w:tr>
            <w:tr w14:paraId="736998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756EA499">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5</w:t>
                  </w:r>
                </w:p>
              </w:tc>
              <w:tc>
                <w:tcPr>
                  <w:tcW w:w="1809" w:type="pct"/>
                  <w:tcBorders>
                    <w:tl2br w:val="nil"/>
                    <w:tr2bl w:val="nil"/>
                  </w:tcBorders>
                  <w:vAlign w:val="center"/>
                </w:tcPr>
                <w:p w14:paraId="33F76A0B">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设备阻力</w:t>
                  </w:r>
                </w:p>
              </w:tc>
              <w:tc>
                <w:tcPr>
                  <w:tcW w:w="2484" w:type="pct"/>
                  <w:tcBorders>
                    <w:tl2br w:val="nil"/>
                    <w:tr2bl w:val="nil"/>
                  </w:tcBorders>
                  <w:vAlign w:val="center"/>
                </w:tcPr>
                <w:p w14:paraId="5E60A1C4">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≤800Pa</w:t>
                  </w:r>
                </w:p>
              </w:tc>
            </w:tr>
            <w:tr w14:paraId="7A3FB96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41B5D724">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6</w:t>
                  </w:r>
                </w:p>
              </w:tc>
              <w:tc>
                <w:tcPr>
                  <w:tcW w:w="1809" w:type="pct"/>
                  <w:tcBorders>
                    <w:tl2br w:val="nil"/>
                    <w:tr2bl w:val="nil"/>
                  </w:tcBorders>
                  <w:vAlign w:val="center"/>
                </w:tcPr>
                <w:p w14:paraId="3E469CD3">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废气温度</w:t>
                  </w:r>
                </w:p>
              </w:tc>
              <w:tc>
                <w:tcPr>
                  <w:tcW w:w="2484" w:type="pct"/>
                  <w:tcBorders>
                    <w:tl2br w:val="nil"/>
                    <w:tr2bl w:val="nil"/>
                  </w:tcBorders>
                  <w:vAlign w:val="center"/>
                </w:tcPr>
                <w:p w14:paraId="15DFA182">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&lt;40℃</w:t>
                  </w:r>
                </w:p>
              </w:tc>
            </w:tr>
            <w:tr w14:paraId="08E45ED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0F548292">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7</w:t>
                  </w:r>
                </w:p>
              </w:tc>
              <w:tc>
                <w:tcPr>
                  <w:tcW w:w="1809" w:type="pct"/>
                  <w:tcBorders>
                    <w:tl2br w:val="nil"/>
                    <w:tr2bl w:val="nil"/>
                  </w:tcBorders>
                  <w:vAlign w:val="center"/>
                </w:tcPr>
                <w:p w14:paraId="38645C74">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过滤风速</w:t>
                  </w:r>
                </w:p>
              </w:tc>
              <w:tc>
                <w:tcPr>
                  <w:tcW w:w="2484" w:type="pct"/>
                  <w:tcBorders>
                    <w:tl2br w:val="nil"/>
                    <w:tr2bl w:val="nil"/>
                  </w:tcBorders>
                  <w:vAlign w:val="center"/>
                </w:tcPr>
                <w:p w14:paraId="7CA00C23">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&lt;0.6m/s</w:t>
                  </w:r>
                </w:p>
              </w:tc>
            </w:tr>
            <w:tr w14:paraId="5019DFF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05" w:type="pct"/>
                  <w:tcBorders>
                    <w:tl2br w:val="nil"/>
                    <w:tr2bl w:val="nil"/>
                  </w:tcBorders>
                  <w:vAlign w:val="center"/>
                </w:tcPr>
                <w:p w14:paraId="297A59FE">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w:t>
                  </w:r>
                </w:p>
              </w:tc>
              <w:tc>
                <w:tcPr>
                  <w:tcW w:w="1809" w:type="pct"/>
                  <w:tcBorders>
                    <w:tl2br w:val="nil"/>
                    <w:tr2bl w:val="nil"/>
                  </w:tcBorders>
                  <w:vAlign w:val="center"/>
                </w:tcPr>
                <w:p w14:paraId="76E2FD0E">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活性炭碘值</w:t>
                  </w:r>
                </w:p>
              </w:tc>
              <w:tc>
                <w:tcPr>
                  <w:tcW w:w="2484" w:type="pct"/>
                  <w:tcBorders>
                    <w:tl2br w:val="nil"/>
                    <w:tr2bl w:val="nil"/>
                  </w:tcBorders>
                  <w:vAlign w:val="center"/>
                </w:tcPr>
                <w:p w14:paraId="12D3B9F3">
                  <w:pPr>
                    <w:widowControl w:val="0"/>
                    <w:spacing w:line="360" w:lineRule="exact"/>
                    <w:ind w:left="0" w:firstLine="0" w:firstLineChars="0"/>
                    <w:contextualSpacing/>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≥800mg/（g炭）</w:t>
                  </w:r>
                </w:p>
              </w:tc>
            </w:tr>
          </w:tbl>
          <w:p w14:paraId="3A5DC1C8">
            <w:pPr>
              <w:widowControl w:val="0"/>
              <w:spacing w:line="500" w:lineRule="exact"/>
              <w:ind w:left="0" w:firstLine="440" w:firstLineChars="200"/>
              <w:contextualSpacing/>
              <w:jc w:val="both"/>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对照</w:t>
            </w:r>
            <w:r>
              <w:rPr>
                <w:rFonts w:hint="eastAsia" w:ascii="Times New Roman" w:hAnsi="Times New Roman" w:eastAsia="宋体" w:cs="Times New Roman"/>
                <w:color w:val="auto"/>
                <w:kern w:val="2"/>
                <w:sz w:val="22"/>
                <w:szCs w:val="22"/>
                <w:lang w:val="en-US" w:eastAsia="zh-CN" w:bidi="ar-SA"/>
              </w:rPr>
              <w:t>上</w:t>
            </w:r>
            <w:r>
              <w:rPr>
                <w:rFonts w:hint="default" w:ascii="Times New Roman" w:hAnsi="Times New Roman" w:eastAsia="宋体" w:cs="Times New Roman"/>
                <w:color w:val="auto"/>
                <w:kern w:val="2"/>
                <w:sz w:val="22"/>
                <w:szCs w:val="22"/>
                <w:lang w:val="en-US" w:eastAsia="zh-CN" w:bidi="ar-SA"/>
              </w:rPr>
              <w:t>表，本项目拟采用的二级活性炭吸附装置各参数符合《省生态环境厅关于深入开展涉VOCs治理重点工作核查的通知》（苏环办</w:t>
            </w:r>
            <w:r>
              <w:rPr>
                <w:rFonts w:hint="eastAsia" w:cs="Times New Roman"/>
                <w:color w:val="auto"/>
                <w:kern w:val="2"/>
                <w:sz w:val="22"/>
                <w:szCs w:val="22"/>
                <w:lang w:val="en-US" w:eastAsia="zh-CN" w:bidi="ar-SA"/>
              </w:rPr>
              <w:t>〔</w:t>
            </w:r>
            <w:r>
              <w:rPr>
                <w:rFonts w:hint="default" w:ascii="Times New Roman" w:hAnsi="Times New Roman" w:eastAsia="宋体" w:cs="Times New Roman"/>
                <w:color w:val="auto"/>
                <w:kern w:val="2"/>
                <w:sz w:val="22"/>
                <w:szCs w:val="22"/>
                <w:lang w:val="en-US" w:eastAsia="zh-CN" w:bidi="ar-SA"/>
              </w:rPr>
              <w:t>2022</w:t>
            </w:r>
            <w:r>
              <w:rPr>
                <w:rFonts w:hint="eastAsia" w:cs="Times New Roman"/>
                <w:color w:val="auto"/>
                <w:kern w:val="2"/>
                <w:sz w:val="22"/>
                <w:szCs w:val="22"/>
                <w:lang w:val="en-US" w:eastAsia="zh-CN" w:bidi="ar-SA"/>
              </w:rPr>
              <w:t>〕</w:t>
            </w:r>
            <w:r>
              <w:rPr>
                <w:rFonts w:hint="default" w:ascii="Times New Roman" w:hAnsi="Times New Roman" w:eastAsia="宋体" w:cs="Times New Roman"/>
                <w:color w:val="auto"/>
                <w:kern w:val="2"/>
                <w:sz w:val="22"/>
                <w:szCs w:val="22"/>
                <w:lang w:val="en-US" w:eastAsia="zh-CN" w:bidi="ar-SA"/>
              </w:rPr>
              <w:t>218号）中的基本要求。本次评价要求建设单位根据活性炭更换周期及时更换废活性炭并做好台账记录，确保活性炭治理效率不低于90%。</w:t>
            </w:r>
          </w:p>
          <w:p w14:paraId="011E8763">
            <w:pPr>
              <w:widowControl w:val="0"/>
              <w:spacing w:beforeLines="0" w:afterLines="0" w:line="500" w:lineRule="exact"/>
              <w:ind w:firstLine="442" w:firstLineChars="200"/>
              <w:jc w:val="left"/>
              <w:rPr>
                <w:rFonts w:hint="default" w:ascii="Times New Roman" w:hAnsi="Times New Roman" w:eastAsia="宋体" w:cs="Times New Roman"/>
                <w:b/>
                <w:bCs/>
                <w:color w:val="auto"/>
                <w:kern w:val="24"/>
                <w:sz w:val="24"/>
                <w:szCs w:val="24"/>
                <w:lang w:val="en-US" w:eastAsia="zh-CN" w:bidi="ar-SA"/>
              </w:rPr>
            </w:pPr>
            <w:r>
              <w:rPr>
                <w:rFonts w:hint="default" w:ascii="Times New Roman" w:hAnsi="Times New Roman" w:eastAsia="宋体" w:cs="Times New Roman"/>
                <w:b/>
                <w:bCs/>
                <w:color w:val="auto"/>
                <w:kern w:val="24"/>
                <w:sz w:val="22"/>
                <w:szCs w:val="22"/>
                <w:lang w:val="en-US" w:eastAsia="zh-CN" w:bidi="ar-SA"/>
              </w:rPr>
              <w:t>⑵无组织废气治理措施</w:t>
            </w:r>
          </w:p>
          <w:p w14:paraId="5A3CFB89">
            <w:pPr>
              <w:widowControl/>
              <w:snapToGrid w:val="0"/>
              <w:spacing w:before="0" w:after="0"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本项目无组织排放的废气主要是生产过程中未被收集的各种废气等。企业在生产过程中减少无组织排放的措施有：</w:t>
            </w:r>
          </w:p>
          <w:p w14:paraId="0B23B102">
            <w:pPr>
              <w:widowControl/>
              <w:snapToGrid w:val="0"/>
              <w:spacing w:before="0" w:after="0"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eastAsia" w:ascii="宋体" w:hAnsi="宋体" w:eastAsia="宋体" w:cs="宋体"/>
                <w:color w:val="auto"/>
                <w:kern w:val="2"/>
                <w:sz w:val="22"/>
                <w:szCs w:val="22"/>
                <w:lang w:val="en-US" w:eastAsia="zh-CN" w:bidi="ar-SA"/>
              </w:rPr>
              <w:t>①</w:t>
            </w:r>
            <w:r>
              <w:rPr>
                <w:rFonts w:hint="default" w:ascii="Times New Roman" w:hAnsi="Times New Roman" w:eastAsia="宋体" w:cs="Times New Roman"/>
                <w:color w:val="auto"/>
                <w:kern w:val="2"/>
                <w:sz w:val="22"/>
                <w:szCs w:val="22"/>
                <w:lang w:val="en-US" w:eastAsia="zh-CN" w:bidi="ar-SA"/>
              </w:rPr>
              <w:t>建设单位在符合安全生产、职业卫生相关规定的前提下，加强车间密闭管理，建议大门在非必要时保持关闭。</w:t>
            </w:r>
          </w:p>
          <w:p w14:paraId="3F2C75F1">
            <w:pPr>
              <w:snapToGrid w:val="0"/>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②</w:t>
            </w:r>
            <w:r>
              <w:rPr>
                <w:rFonts w:hint="default" w:ascii="Times New Roman" w:hAnsi="Times New Roman" w:eastAsia="宋体" w:cs="Times New Roman"/>
                <w:color w:val="auto"/>
                <w:sz w:val="22"/>
                <w:szCs w:val="22"/>
              </w:rPr>
              <w:t>企业在生产过程中必须遵循全过程管理和综合防治原则。源头控制必须少用或替代有毒有害物质，过程控制必须尽可能密闭操作和提高集气效率，无法密闭操作的应采取局部气体收集措施，末端治理必须尽量提高回收和净化效率、减少排放。</w:t>
            </w:r>
          </w:p>
          <w:p w14:paraId="34D58502">
            <w:pPr>
              <w:snapToGrid w:val="0"/>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③</w:t>
            </w:r>
            <w:r>
              <w:rPr>
                <w:rFonts w:hint="default" w:ascii="Times New Roman" w:hAnsi="Times New Roman" w:eastAsia="宋体" w:cs="Times New Roman"/>
                <w:color w:val="auto"/>
                <w:sz w:val="22"/>
                <w:szCs w:val="22"/>
              </w:rPr>
              <w:t>企业要加强管理，定期进行设备如管道、阀门、风机等的检查和维护，保证设备的严密性，防止跑冒滴漏产生的不必要的无组织排放。</w:t>
            </w:r>
          </w:p>
          <w:p w14:paraId="7DE44881">
            <w:pPr>
              <w:snapToGrid w:val="0"/>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④</w:t>
            </w:r>
            <w:r>
              <w:rPr>
                <w:rFonts w:hint="default" w:ascii="Times New Roman" w:hAnsi="Times New Roman" w:eastAsia="宋体" w:cs="Times New Roman"/>
                <w:color w:val="auto"/>
                <w:sz w:val="22"/>
                <w:szCs w:val="22"/>
              </w:rPr>
              <w:t>加强人员培训教育，严格操作规范，控制工艺温度和压力参数，确保废气处理装置能正常工作，减少因操作失误引起的废气无组织排放。</w:t>
            </w:r>
          </w:p>
          <w:p w14:paraId="173C1885">
            <w:pPr>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eastAsia="宋体" w:cs="Times New Roman"/>
                <w:color w:val="auto"/>
                <w:sz w:val="22"/>
                <w:szCs w:val="22"/>
              </w:rPr>
              <w:t>采取以上无组织控制措施后，可大大减少无组织废气排放。</w:t>
            </w:r>
          </w:p>
          <w:p w14:paraId="619BC96E">
            <w:pPr>
              <w:snapToGrid w:val="0"/>
              <w:spacing w:line="500" w:lineRule="exact"/>
              <w:ind w:firstLine="442" w:firstLineChars="200"/>
              <w:jc w:val="left"/>
              <w:rPr>
                <w:rFonts w:hint="default" w:ascii="Times New Roman" w:hAnsi="Times New Roman" w:eastAsia="宋体" w:cs="Times New Roman"/>
                <w:b/>
                <w:bCs/>
                <w:color w:val="auto"/>
                <w:sz w:val="22"/>
                <w:szCs w:val="22"/>
              </w:rPr>
            </w:pPr>
            <w:r>
              <w:rPr>
                <w:rFonts w:hint="eastAsia" w:ascii="Times New Roman" w:hAnsi="Times New Roman" w:eastAsia="宋体" w:cs="Times New Roman"/>
                <w:b/>
                <w:bCs/>
                <w:color w:val="auto"/>
                <w:sz w:val="22"/>
                <w:szCs w:val="22"/>
                <w:lang w:val="en-US" w:eastAsia="zh-CN"/>
              </w:rPr>
              <w:t>3.</w:t>
            </w:r>
            <w:r>
              <w:rPr>
                <w:rFonts w:hint="default" w:ascii="Times New Roman" w:hAnsi="Times New Roman" w:eastAsia="宋体" w:cs="Times New Roman"/>
                <w:b/>
                <w:bCs/>
                <w:color w:val="auto"/>
                <w:sz w:val="22"/>
                <w:szCs w:val="22"/>
              </w:rPr>
              <w:t>排气筒设置合理性分析</w:t>
            </w:r>
          </w:p>
          <w:p w14:paraId="38B94631">
            <w:pPr>
              <w:snapToGrid w:val="0"/>
              <w:spacing w:line="500" w:lineRule="exact"/>
              <w:ind w:firstLine="440" w:firstLineChars="200"/>
              <w:jc w:val="both"/>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根据《大气污染治理工程技术导则》（HJ2000-2010），流速宜为15m/s左右，本项目DA001排气筒流速为</w:t>
            </w:r>
            <w:r>
              <w:rPr>
                <w:rFonts w:hint="eastAsia" w:ascii="Times New Roman" w:hAnsi="Times New Roman" w:eastAsia="宋体" w:cs="Times New Roman"/>
                <w:color w:val="auto"/>
                <w:sz w:val="22"/>
                <w:szCs w:val="22"/>
                <w:lang w:val="en-US" w:eastAsia="zh-CN"/>
              </w:rPr>
              <w:t>5.93</w:t>
            </w:r>
            <w:r>
              <w:rPr>
                <w:rFonts w:hint="default" w:ascii="Times New Roman" w:hAnsi="Times New Roman" w:eastAsia="宋体" w:cs="Times New Roman"/>
                <w:color w:val="auto"/>
                <w:sz w:val="22"/>
                <w:szCs w:val="22"/>
              </w:rPr>
              <w:t>m/s，DA002排气筒流速为</w:t>
            </w:r>
            <w:r>
              <w:rPr>
                <w:rFonts w:hint="eastAsia" w:ascii="Times New Roman" w:hAnsi="Times New Roman" w:eastAsia="宋体" w:cs="Times New Roman"/>
                <w:color w:val="auto"/>
                <w:sz w:val="22"/>
                <w:szCs w:val="22"/>
                <w:lang w:val="en-US" w:eastAsia="zh-CN"/>
              </w:rPr>
              <w:t>11.86</w:t>
            </w:r>
            <w:r>
              <w:rPr>
                <w:rFonts w:hint="default" w:ascii="Times New Roman" w:hAnsi="Times New Roman" w:eastAsia="宋体" w:cs="Times New Roman"/>
                <w:color w:val="auto"/>
                <w:sz w:val="22"/>
                <w:szCs w:val="22"/>
              </w:rPr>
              <w:t>m/s，DA00</w:t>
            </w:r>
            <w:r>
              <w:rPr>
                <w:rFonts w:hint="eastAsia" w:ascii="Times New Roman" w:hAnsi="Times New Roman" w:eastAsia="宋体" w:cs="Times New Roman"/>
                <w:color w:val="auto"/>
                <w:sz w:val="22"/>
                <w:szCs w:val="22"/>
                <w:lang w:val="en-US" w:eastAsia="zh-CN"/>
              </w:rPr>
              <w:t>3</w:t>
            </w:r>
            <w:r>
              <w:rPr>
                <w:rFonts w:hint="default" w:ascii="Times New Roman" w:hAnsi="Times New Roman" w:eastAsia="宋体" w:cs="Times New Roman"/>
                <w:color w:val="auto"/>
                <w:sz w:val="22"/>
                <w:szCs w:val="22"/>
              </w:rPr>
              <w:t>排气筒流速为</w:t>
            </w:r>
            <w:r>
              <w:rPr>
                <w:rFonts w:hint="default" w:ascii="Times New Roman" w:hAnsi="Times New Roman" w:eastAsia="宋体" w:cs="Times New Roman"/>
                <w:color w:val="auto"/>
                <w:sz w:val="22"/>
                <w:szCs w:val="22"/>
                <w:lang w:val="en-US" w:eastAsia="zh-CN"/>
              </w:rPr>
              <w:t>1</w:t>
            </w:r>
            <w:r>
              <w:rPr>
                <w:rFonts w:hint="eastAsia" w:ascii="Times New Roman" w:hAnsi="Times New Roman" w:eastAsia="宋体" w:cs="Times New Roman"/>
                <w:color w:val="auto"/>
                <w:sz w:val="22"/>
                <w:szCs w:val="22"/>
                <w:lang w:val="en-US" w:eastAsia="zh-CN"/>
              </w:rPr>
              <w:t>0.54</w:t>
            </w:r>
            <w:r>
              <w:rPr>
                <w:rFonts w:hint="default" w:ascii="Times New Roman" w:hAnsi="Times New Roman" w:eastAsia="宋体" w:cs="Times New Roman"/>
                <w:color w:val="auto"/>
                <w:sz w:val="22"/>
                <w:szCs w:val="22"/>
              </w:rPr>
              <w:t>m/s，DA00</w:t>
            </w:r>
            <w:r>
              <w:rPr>
                <w:rFonts w:hint="eastAsia" w:ascii="Times New Roman" w:hAnsi="Times New Roman" w:eastAsia="宋体" w:cs="Times New Roman"/>
                <w:color w:val="auto"/>
                <w:sz w:val="22"/>
                <w:szCs w:val="22"/>
                <w:lang w:val="en-US" w:eastAsia="zh-CN"/>
              </w:rPr>
              <w:t>4/DA005/DA006/DA007/DA008</w:t>
            </w:r>
            <w:r>
              <w:rPr>
                <w:rFonts w:hint="default" w:ascii="Times New Roman" w:hAnsi="Times New Roman" w:eastAsia="宋体" w:cs="Times New Roman"/>
                <w:color w:val="auto"/>
                <w:sz w:val="22"/>
                <w:szCs w:val="22"/>
              </w:rPr>
              <w:t>排气筒流速为</w:t>
            </w:r>
            <w:r>
              <w:rPr>
                <w:rFonts w:hint="default" w:ascii="Times New Roman" w:hAnsi="Times New Roman" w:eastAsia="宋体" w:cs="Times New Roman"/>
                <w:color w:val="auto"/>
                <w:sz w:val="22"/>
                <w:szCs w:val="22"/>
                <w:lang w:val="en-US" w:eastAsia="zh-CN"/>
              </w:rPr>
              <w:t>1</w:t>
            </w:r>
            <w:r>
              <w:rPr>
                <w:rFonts w:hint="eastAsia" w:ascii="Times New Roman" w:hAnsi="Times New Roman" w:eastAsia="宋体" w:cs="Times New Roman"/>
                <w:color w:val="auto"/>
                <w:sz w:val="22"/>
                <w:szCs w:val="22"/>
                <w:lang w:val="en-US" w:eastAsia="zh-CN"/>
              </w:rPr>
              <w:t>5.18</w:t>
            </w:r>
            <w:r>
              <w:rPr>
                <w:rFonts w:hint="default" w:ascii="Times New Roman" w:hAnsi="Times New Roman" w:eastAsia="宋体" w:cs="Times New Roman"/>
                <w:color w:val="auto"/>
                <w:sz w:val="22"/>
                <w:szCs w:val="22"/>
              </w:rPr>
              <w:t>m/s，DA00</w:t>
            </w:r>
            <w:r>
              <w:rPr>
                <w:rFonts w:hint="eastAsia" w:ascii="Times New Roman" w:hAnsi="Times New Roman" w:eastAsia="宋体" w:cs="Times New Roman"/>
                <w:color w:val="auto"/>
                <w:sz w:val="22"/>
                <w:szCs w:val="22"/>
                <w:lang w:val="en-US" w:eastAsia="zh-CN"/>
              </w:rPr>
              <w:t>9</w:t>
            </w:r>
            <w:r>
              <w:rPr>
                <w:rFonts w:hint="default" w:ascii="Times New Roman" w:hAnsi="Times New Roman" w:eastAsia="宋体" w:cs="Times New Roman"/>
                <w:color w:val="auto"/>
                <w:sz w:val="22"/>
                <w:szCs w:val="22"/>
              </w:rPr>
              <w:t>排气筒流速为</w:t>
            </w:r>
            <w:r>
              <w:rPr>
                <w:rFonts w:hint="default" w:ascii="Times New Roman" w:hAnsi="Times New Roman" w:eastAsia="宋体" w:cs="Times New Roman"/>
                <w:color w:val="auto"/>
                <w:sz w:val="22"/>
                <w:szCs w:val="22"/>
                <w:lang w:val="en-US" w:eastAsia="zh-CN"/>
              </w:rPr>
              <w:t>1</w:t>
            </w:r>
            <w:r>
              <w:rPr>
                <w:rFonts w:hint="eastAsia" w:ascii="Times New Roman" w:hAnsi="Times New Roman" w:eastAsia="宋体" w:cs="Times New Roman"/>
                <w:color w:val="auto"/>
                <w:sz w:val="22"/>
                <w:szCs w:val="22"/>
                <w:lang w:val="en-US" w:eastAsia="zh-CN"/>
              </w:rPr>
              <w:t>1.86</w:t>
            </w:r>
            <w:r>
              <w:rPr>
                <w:rFonts w:hint="default" w:ascii="Times New Roman" w:hAnsi="Times New Roman" w:eastAsia="宋体" w:cs="Times New Roman"/>
                <w:color w:val="auto"/>
                <w:sz w:val="22"/>
                <w:szCs w:val="22"/>
              </w:rPr>
              <w:t>m/s，因此排气筒风量与内径设置合理。</w:t>
            </w:r>
          </w:p>
          <w:p w14:paraId="66EBEDCE">
            <w:pPr>
              <w:snapToGrid w:val="0"/>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大气污染物综合排放标准》（DB32/4041-2021）中4.1.4：排放光气、氰化氢和氯气的排气筒高度不低于25m，其他排气筒高度不低于15m（因安全考虑或有特殊工艺要求的除外），具体高度以及与周围建筑物的相对高度关系应根据环境影响评价文件确定。</w:t>
            </w:r>
          </w:p>
          <w:p w14:paraId="5C601BDF">
            <w:pPr>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eastAsia="宋体" w:cs="Times New Roman"/>
                <w:color w:val="auto"/>
                <w:sz w:val="22"/>
                <w:szCs w:val="22"/>
              </w:rPr>
              <w:t>综上，本项目排气筒设置合理。</w:t>
            </w:r>
          </w:p>
          <w:p w14:paraId="58E30E7E">
            <w:pPr>
              <w:snapToGrid w:val="0"/>
              <w:spacing w:line="500" w:lineRule="exact"/>
              <w:ind w:firstLine="442" w:firstLineChars="200"/>
              <w:jc w:val="left"/>
              <w:rPr>
                <w:rFonts w:hint="default" w:ascii="Times New Roman" w:hAnsi="Times New Roman" w:eastAsia="宋体" w:cs="Times New Roman"/>
                <w:color w:val="auto"/>
                <w:sz w:val="22"/>
                <w:szCs w:val="22"/>
              </w:rPr>
            </w:pPr>
            <w:r>
              <w:rPr>
                <w:rFonts w:hint="eastAsia" w:ascii="Times New Roman" w:hAnsi="Times New Roman" w:eastAsia="宋体" w:cs="Times New Roman"/>
                <w:b/>
                <w:bCs/>
                <w:color w:val="auto"/>
                <w:sz w:val="22"/>
                <w:szCs w:val="22"/>
                <w:lang w:val="en-US" w:eastAsia="zh-CN"/>
              </w:rPr>
              <w:t>4.</w:t>
            </w:r>
            <w:r>
              <w:rPr>
                <w:rFonts w:hint="default" w:ascii="Times New Roman" w:hAnsi="Times New Roman" w:eastAsia="宋体" w:cs="Times New Roman"/>
                <w:b/>
                <w:bCs/>
                <w:color w:val="auto"/>
                <w:sz w:val="22"/>
                <w:szCs w:val="22"/>
              </w:rPr>
              <w:t>废气达标排放分析</w:t>
            </w:r>
          </w:p>
          <w:p w14:paraId="604F523F">
            <w:pPr>
              <w:widowControl w:val="0"/>
              <w:snapToGrid w:val="0"/>
              <w:spacing w:after="0" w:line="500" w:lineRule="exact"/>
              <w:ind w:left="0" w:leftChars="0" w:firstLine="442" w:firstLineChars="200"/>
              <w:jc w:val="left"/>
              <w:rPr>
                <w:rFonts w:hint="default" w:ascii="Times New Roman" w:hAnsi="Times New Roman" w:eastAsia="宋体" w:cs="Times New Roman"/>
                <w:color w:val="auto"/>
                <w:kern w:val="2"/>
                <w:sz w:val="22"/>
                <w:szCs w:val="22"/>
                <w:lang w:val="en-US" w:eastAsia="zh-CN" w:bidi="ar-SA"/>
              </w:rPr>
            </w:pPr>
            <w:r>
              <w:rPr>
                <w:rFonts w:hint="eastAsia" w:ascii="宋体" w:hAnsi="宋体" w:eastAsia="宋体" w:cs="宋体"/>
                <w:b/>
                <w:bCs/>
                <w:color w:val="auto"/>
                <w:kern w:val="2"/>
                <w:sz w:val="22"/>
                <w:szCs w:val="22"/>
                <w:lang w:val="en-US" w:eastAsia="zh-CN" w:bidi="ar-SA"/>
              </w:rPr>
              <w:t>⑴</w:t>
            </w:r>
            <w:r>
              <w:rPr>
                <w:rFonts w:hint="default" w:ascii="Times New Roman" w:hAnsi="Times New Roman" w:eastAsia="宋体" w:cs="Times New Roman"/>
                <w:b/>
                <w:bCs/>
                <w:color w:val="auto"/>
                <w:kern w:val="2"/>
                <w:sz w:val="22"/>
                <w:szCs w:val="22"/>
                <w:lang w:val="en-US" w:eastAsia="zh-CN" w:bidi="ar-SA"/>
              </w:rPr>
              <w:t>有组织废气</w:t>
            </w:r>
          </w:p>
          <w:p w14:paraId="181453BE">
            <w:pPr>
              <w:widowControl w:val="0"/>
              <w:spacing w:line="500" w:lineRule="exact"/>
              <w:ind w:left="0" w:firstLine="440" w:firstLineChars="200"/>
              <w:contextualSpacing/>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根据表4.1-</w:t>
            </w:r>
            <w:r>
              <w:rPr>
                <w:rFonts w:hint="eastAsia" w:ascii="Times New Roman" w:hAnsi="Times New Roman" w:eastAsia="宋体" w:cs="Times New Roman"/>
                <w:color w:val="auto"/>
                <w:kern w:val="2"/>
                <w:sz w:val="22"/>
                <w:szCs w:val="22"/>
                <w:lang w:val="en-US" w:eastAsia="zh-CN" w:bidi="ar-SA"/>
              </w:rPr>
              <w:t>4</w:t>
            </w:r>
            <w:r>
              <w:rPr>
                <w:rFonts w:hint="default" w:ascii="Times New Roman" w:hAnsi="Times New Roman" w:eastAsia="宋体" w:cs="Times New Roman"/>
                <w:color w:val="auto"/>
                <w:kern w:val="2"/>
                <w:sz w:val="22"/>
                <w:szCs w:val="22"/>
                <w:lang w:val="en-US" w:eastAsia="zh-CN" w:bidi="ar-SA"/>
              </w:rPr>
              <w:t>可知，本项目有组织废气排放情况见下表。</w:t>
            </w:r>
          </w:p>
          <w:p w14:paraId="7614C0E7">
            <w:pPr>
              <w:widowControl w:val="0"/>
              <w:adjustRightInd w:val="0"/>
              <w:snapToGrid w:val="0"/>
              <w:spacing w:line="500" w:lineRule="exact"/>
              <w:ind w:left="0" w:leftChars="0" w:right="0" w:rightChars="0" w:firstLine="0" w:firstLineChars="0"/>
              <w:jc w:val="center"/>
              <w:textAlignment w:val="baseline"/>
              <w:rPr>
                <w:rFonts w:hint="default" w:ascii="Times New Roman" w:hAnsi="Times New Roman" w:eastAsia="宋体" w:cs="Times New Roman"/>
                <w:b/>
                <w:color w:val="auto"/>
                <w:kern w:val="2"/>
                <w:sz w:val="24"/>
                <w:szCs w:val="24"/>
                <w:lang w:val="en-US" w:eastAsia="zh-CN" w:bidi="ar-SA"/>
              </w:rPr>
            </w:pPr>
            <w:r>
              <w:rPr>
                <w:rFonts w:hint="default" w:ascii="Times New Roman" w:hAnsi="Times New Roman" w:eastAsia="宋体" w:cs="Times New Roman"/>
                <w:b/>
                <w:color w:val="auto"/>
                <w:kern w:val="2"/>
                <w:sz w:val="24"/>
                <w:szCs w:val="24"/>
                <w:lang w:val="en-US" w:eastAsia="zh-CN" w:bidi="ar-SA"/>
              </w:rPr>
              <w:t>表4.1-</w:t>
            </w:r>
            <w:r>
              <w:rPr>
                <w:rFonts w:hint="eastAsia" w:ascii="Times New Roman" w:hAnsi="Times New Roman" w:eastAsia="宋体" w:cs="Times New Roman"/>
                <w:b/>
                <w:color w:val="auto"/>
                <w:kern w:val="2"/>
                <w:sz w:val="24"/>
                <w:szCs w:val="24"/>
                <w:lang w:val="en-US" w:eastAsia="zh-CN" w:bidi="ar-SA"/>
              </w:rPr>
              <w:t>4</w:t>
            </w:r>
            <w:r>
              <w:rPr>
                <w:rFonts w:hint="default" w:ascii="Times New Roman" w:hAnsi="Times New Roman" w:eastAsia="宋体" w:cs="Times New Roman"/>
                <w:b/>
                <w:color w:val="auto"/>
                <w:kern w:val="2"/>
                <w:sz w:val="24"/>
                <w:szCs w:val="24"/>
                <w:lang w:val="en-US" w:eastAsia="zh-CN" w:bidi="ar-SA"/>
              </w:rPr>
              <w:t xml:space="preserve">   本项目有组织大气污染物排放情况一览表</w:t>
            </w:r>
          </w:p>
          <w:tbl>
            <w:tblPr>
              <w:tblStyle w:val="44"/>
              <w:tblW w:w="4996"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745"/>
              <w:gridCol w:w="1500"/>
              <w:gridCol w:w="937"/>
              <w:gridCol w:w="1326"/>
              <w:gridCol w:w="1199"/>
              <w:gridCol w:w="1247"/>
              <w:gridCol w:w="1225"/>
              <w:gridCol w:w="983"/>
            </w:tblGrid>
            <w:tr w14:paraId="649009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restart"/>
                  <w:tcBorders>
                    <w:tl2br w:val="nil"/>
                    <w:tr2bl w:val="nil"/>
                  </w:tcBorders>
                  <w:vAlign w:val="center"/>
                </w:tcPr>
                <w:p w14:paraId="21A45B01">
                  <w:pPr>
                    <w:tabs>
                      <w:tab w:val="left" w:pos="4357"/>
                    </w:tabs>
                    <w:spacing w:line="360" w:lineRule="exact"/>
                    <w:jc w:val="center"/>
                    <w:rPr>
                      <w:rFonts w:hint="eastAsia" w:ascii="Times New Roman" w:hAnsi="Times New Roman" w:eastAsia="宋体" w:cs="Times New Roman"/>
                      <w:b/>
                      <w:color w:val="auto"/>
                      <w:szCs w:val="21"/>
                      <w:lang w:eastAsia="zh-CN"/>
                    </w:rPr>
                  </w:pPr>
                  <w:r>
                    <w:rPr>
                      <w:rFonts w:hint="eastAsia" w:ascii="Times New Roman" w:hAnsi="Times New Roman" w:eastAsia="宋体" w:cs="Times New Roman"/>
                      <w:b/>
                      <w:color w:val="auto"/>
                      <w:szCs w:val="21"/>
                      <w:lang w:eastAsia="zh-CN"/>
                    </w:rPr>
                    <w:t>排气筒编号</w:t>
                  </w:r>
                </w:p>
              </w:tc>
              <w:tc>
                <w:tcPr>
                  <w:tcW w:w="818" w:type="pct"/>
                  <w:vMerge w:val="restart"/>
                  <w:tcBorders>
                    <w:tl2br w:val="nil"/>
                    <w:tr2bl w:val="nil"/>
                  </w:tcBorders>
                  <w:vAlign w:val="center"/>
                </w:tcPr>
                <w:p w14:paraId="3C97BBDE">
                  <w:pPr>
                    <w:tabs>
                      <w:tab w:val="left" w:pos="4357"/>
                    </w:tabs>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污染物名称</w:t>
                  </w:r>
                </w:p>
              </w:tc>
              <w:tc>
                <w:tcPr>
                  <w:tcW w:w="511" w:type="pct"/>
                  <w:vMerge w:val="restart"/>
                  <w:tcBorders>
                    <w:tl2br w:val="nil"/>
                    <w:tr2bl w:val="nil"/>
                  </w:tcBorders>
                  <w:vAlign w:val="center"/>
                </w:tcPr>
                <w:p w14:paraId="481082BE">
                  <w:pPr>
                    <w:tabs>
                      <w:tab w:val="left" w:pos="4357"/>
                    </w:tabs>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废气量</w:t>
                  </w:r>
                </w:p>
                <w:p w14:paraId="48C4FAAF">
                  <w:pPr>
                    <w:tabs>
                      <w:tab w:val="left" w:pos="4357"/>
                    </w:tabs>
                    <w:spacing w:line="360" w:lineRule="exact"/>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（m</w:t>
                  </w:r>
                  <w:r>
                    <w:rPr>
                      <w:rFonts w:hint="default" w:ascii="Times New Roman" w:hAnsi="Times New Roman" w:eastAsia="宋体" w:cs="Times New Roman"/>
                      <w:b/>
                      <w:color w:val="auto"/>
                      <w:szCs w:val="21"/>
                      <w:vertAlign w:val="superscript"/>
                    </w:rPr>
                    <w:t>3</w:t>
                  </w:r>
                  <w:r>
                    <w:rPr>
                      <w:rFonts w:hint="default" w:ascii="Times New Roman" w:hAnsi="Times New Roman" w:eastAsia="宋体" w:cs="Times New Roman"/>
                      <w:b/>
                      <w:color w:val="auto"/>
                      <w:szCs w:val="21"/>
                    </w:rPr>
                    <w:t>/h）</w:t>
                  </w:r>
                </w:p>
              </w:tc>
              <w:tc>
                <w:tcPr>
                  <w:tcW w:w="2057" w:type="pct"/>
                  <w:gridSpan w:val="3"/>
                  <w:tcBorders>
                    <w:tl2br w:val="nil"/>
                    <w:tr2bl w:val="nil"/>
                  </w:tcBorders>
                  <w:vAlign w:val="center"/>
                </w:tcPr>
                <w:p w14:paraId="74C9CBC2">
                  <w:pPr>
                    <w:tabs>
                      <w:tab w:val="left" w:pos="4357"/>
                    </w:tabs>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
                      <w:color w:val="auto"/>
                      <w:szCs w:val="21"/>
                    </w:rPr>
                    <w:t>排放量</w:t>
                  </w:r>
                </w:p>
              </w:tc>
              <w:tc>
                <w:tcPr>
                  <w:tcW w:w="1204" w:type="pct"/>
                  <w:gridSpan w:val="2"/>
                  <w:tcBorders>
                    <w:tl2br w:val="nil"/>
                    <w:tr2bl w:val="nil"/>
                  </w:tcBorders>
                  <w:vAlign w:val="center"/>
                </w:tcPr>
                <w:p w14:paraId="2C7CF949">
                  <w:pPr>
                    <w:tabs>
                      <w:tab w:val="left" w:pos="4357"/>
                    </w:tabs>
                    <w:spacing w:line="360" w:lineRule="exact"/>
                    <w:jc w:val="center"/>
                    <w:rPr>
                      <w:rFonts w:hint="default" w:ascii="Times New Roman" w:hAnsi="Times New Roman" w:eastAsia="宋体" w:cs="Times New Roman"/>
                      <w:bCs/>
                      <w:color w:val="auto"/>
                      <w:szCs w:val="21"/>
                    </w:rPr>
                  </w:pPr>
                  <w:r>
                    <w:rPr>
                      <w:rFonts w:hint="default" w:ascii="Times New Roman" w:hAnsi="Times New Roman" w:eastAsia="宋体" w:cs="Times New Roman"/>
                      <w:b/>
                      <w:color w:val="auto"/>
                      <w:szCs w:val="21"/>
                    </w:rPr>
                    <w:t>标准</w:t>
                  </w:r>
                </w:p>
              </w:tc>
            </w:tr>
            <w:tr w14:paraId="682FAC3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5D7D5D17">
                  <w:pPr>
                    <w:tabs>
                      <w:tab w:val="left" w:pos="4357"/>
                    </w:tabs>
                    <w:spacing w:line="360" w:lineRule="exact"/>
                    <w:jc w:val="center"/>
                    <w:rPr>
                      <w:rFonts w:hint="default" w:ascii="Times New Roman" w:hAnsi="Times New Roman" w:eastAsia="宋体" w:cs="Times New Roman"/>
                      <w:bCs/>
                      <w:color w:val="auto"/>
                      <w:szCs w:val="21"/>
                    </w:rPr>
                  </w:pPr>
                </w:p>
              </w:tc>
              <w:tc>
                <w:tcPr>
                  <w:tcW w:w="818" w:type="pct"/>
                  <w:vMerge w:val="continue"/>
                  <w:tcBorders>
                    <w:tl2br w:val="nil"/>
                    <w:tr2bl w:val="nil"/>
                  </w:tcBorders>
                  <w:vAlign w:val="center"/>
                </w:tcPr>
                <w:p w14:paraId="72C95D84">
                  <w:pPr>
                    <w:tabs>
                      <w:tab w:val="left" w:pos="4357"/>
                    </w:tabs>
                    <w:spacing w:line="360" w:lineRule="exact"/>
                    <w:jc w:val="center"/>
                    <w:rPr>
                      <w:rFonts w:hint="default" w:ascii="Times New Roman" w:hAnsi="Times New Roman" w:eastAsia="宋体" w:cs="Times New Roman"/>
                      <w:bCs/>
                      <w:color w:val="auto"/>
                      <w:szCs w:val="21"/>
                    </w:rPr>
                  </w:pPr>
                </w:p>
              </w:tc>
              <w:tc>
                <w:tcPr>
                  <w:tcW w:w="511" w:type="pct"/>
                  <w:vMerge w:val="continue"/>
                  <w:tcBorders>
                    <w:tl2br w:val="nil"/>
                    <w:tr2bl w:val="nil"/>
                  </w:tcBorders>
                  <w:vAlign w:val="center"/>
                </w:tcPr>
                <w:p w14:paraId="286B64CD">
                  <w:pPr>
                    <w:tabs>
                      <w:tab w:val="left" w:pos="4357"/>
                    </w:tabs>
                    <w:spacing w:line="360" w:lineRule="exact"/>
                    <w:jc w:val="center"/>
                    <w:rPr>
                      <w:rFonts w:hint="default" w:ascii="Times New Roman" w:hAnsi="Times New Roman" w:eastAsia="宋体" w:cs="Times New Roman"/>
                      <w:bCs/>
                      <w:color w:val="auto"/>
                      <w:szCs w:val="21"/>
                    </w:rPr>
                  </w:pPr>
                </w:p>
              </w:tc>
              <w:tc>
                <w:tcPr>
                  <w:tcW w:w="723" w:type="pct"/>
                  <w:tcBorders>
                    <w:tl2br w:val="nil"/>
                    <w:tr2bl w:val="nil"/>
                  </w:tcBorders>
                  <w:vAlign w:val="center"/>
                </w:tcPr>
                <w:p w14:paraId="11A6B9EA">
                  <w:pPr>
                    <w:spacing w:line="360" w:lineRule="exact"/>
                    <w:jc w:val="center"/>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浓度（mg/m</w:t>
                  </w:r>
                  <w:r>
                    <w:rPr>
                      <w:rFonts w:hint="default" w:ascii="Times New Roman" w:hAnsi="Times New Roman" w:eastAsia="宋体" w:cs="Times New Roman"/>
                      <w:b/>
                      <w:color w:val="auto"/>
                      <w:kern w:val="0"/>
                      <w:szCs w:val="21"/>
                      <w:vertAlign w:val="superscript"/>
                    </w:rPr>
                    <w:t>3</w:t>
                  </w:r>
                  <w:r>
                    <w:rPr>
                      <w:rFonts w:hint="default" w:ascii="Times New Roman" w:hAnsi="Times New Roman" w:eastAsia="宋体" w:cs="Times New Roman"/>
                      <w:b/>
                      <w:color w:val="auto"/>
                      <w:kern w:val="0"/>
                      <w:szCs w:val="21"/>
                    </w:rPr>
                    <w:t>）</w:t>
                  </w:r>
                </w:p>
              </w:tc>
              <w:tc>
                <w:tcPr>
                  <w:tcW w:w="654" w:type="pct"/>
                  <w:tcBorders>
                    <w:tl2br w:val="nil"/>
                    <w:tr2bl w:val="nil"/>
                  </w:tcBorders>
                  <w:vAlign w:val="center"/>
                </w:tcPr>
                <w:p w14:paraId="71928009">
                  <w:pPr>
                    <w:spacing w:line="360" w:lineRule="exact"/>
                    <w:jc w:val="center"/>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速率（kg/h）</w:t>
                  </w:r>
                </w:p>
              </w:tc>
              <w:tc>
                <w:tcPr>
                  <w:tcW w:w="679" w:type="pct"/>
                  <w:tcBorders>
                    <w:tl2br w:val="nil"/>
                    <w:tr2bl w:val="nil"/>
                  </w:tcBorders>
                  <w:vAlign w:val="center"/>
                </w:tcPr>
                <w:p w14:paraId="20D72F3D">
                  <w:pPr>
                    <w:spacing w:line="360" w:lineRule="exact"/>
                    <w:jc w:val="center"/>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排放量（t/a）</w:t>
                  </w:r>
                </w:p>
              </w:tc>
              <w:tc>
                <w:tcPr>
                  <w:tcW w:w="668" w:type="pct"/>
                  <w:tcBorders>
                    <w:tl2br w:val="nil"/>
                    <w:tr2bl w:val="nil"/>
                  </w:tcBorders>
                  <w:vAlign w:val="center"/>
                </w:tcPr>
                <w:p w14:paraId="102E341D">
                  <w:pPr>
                    <w:spacing w:line="360" w:lineRule="exact"/>
                    <w:jc w:val="center"/>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浓度（mg/m</w:t>
                  </w:r>
                  <w:r>
                    <w:rPr>
                      <w:rFonts w:hint="default" w:ascii="Times New Roman" w:hAnsi="Times New Roman" w:eastAsia="宋体" w:cs="Times New Roman"/>
                      <w:b/>
                      <w:color w:val="auto"/>
                      <w:kern w:val="0"/>
                      <w:szCs w:val="21"/>
                      <w:vertAlign w:val="superscript"/>
                    </w:rPr>
                    <w:t>3</w:t>
                  </w:r>
                  <w:r>
                    <w:rPr>
                      <w:rFonts w:hint="default" w:ascii="Times New Roman" w:hAnsi="Times New Roman" w:eastAsia="宋体" w:cs="Times New Roman"/>
                      <w:b/>
                      <w:color w:val="auto"/>
                      <w:kern w:val="0"/>
                      <w:szCs w:val="21"/>
                    </w:rPr>
                    <w:t>）</w:t>
                  </w:r>
                </w:p>
              </w:tc>
              <w:tc>
                <w:tcPr>
                  <w:tcW w:w="536" w:type="pct"/>
                  <w:tcBorders>
                    <w:tl2br w:val="nil"/>
                    <w:tr2bl w:val="nil"/>
                  </w:tcBorders>
                  <w:vAlign w:val="center"/>
                </w:tcPr>
                <w:p w14:paraId="1EAFA691">
                  <w:pPr>
                    <w:spacing w:line="360" w:lineRule="exact"/>
                    <w:jc w:val="center"/>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速率（kg/h）</w:t>
                  </w:r>
                </w:p>
              </w:tc>
            </w:tr>
            <w:tr w14:paraId="05E19A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restart"/>
                  <w:tcBorders>
                    <w:tl2br w:val="nil"/>
                    <w:tr2bl w:val="nil"/>
                  </w:tcBorders>
                  <w:vAlign w:val="center"/>
                </w:tcPr>
                <w:p w14:paraId="4D1250CF">
                  <w:pPr>
                    <w:spacing w:line="36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DA001</w:t>
                  </w:r>
                </w:p>
              </w:tc>
              <w:tc>
                <w:tcPr>
                  <w:tcW w:w="818" w:type="pct"/>
                  <w:tcBorders>
                    <w:tl2br w:val="nil"/>
                    <w:tr2bl w:val="nil"/>
                  </w:tcBorders>
                  <w:shd w:val="clear" w:color="auto" w:fill="auto"/>
                  <w:vAlign w:val="center"/>
                </w:tcPr>
                <w:p w14:paraId="4950F5C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511" w:type="pct"/>
                  <w:vMerge w:val="restart"/>
                  <w:tcBorders>
                    <w:tl2br w:val="nil"/>
                    <w:tr2bl w:val="nil"/>
                  </w:tcBorders>
                  <w:vAlign w:val="center"/>
                </w:tcPr>
                <w:p w14:paraId="26D8EA09">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3FD75915">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7.202</w:t>
                  </w:r>
                </w:p>
              </w:tc>
              <w:tc>
                <w:tcPr>
                  <w:tcW w:w="654" w:type="pct"/>
                  <w:tcBorders>
                    <w:tl2br w:val="nil"/>
                    <w:tr2bl w:val="nil"/>
                  </w:tcBorders>
                  <w:shd w:val="clear" w:color="auto" w:fill="auto"/>
                  <w:vAlign w:val="center"/>
                </w:tcPr>
                <w:p w14:paraId="3C9BD7CF">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0.072</w:t>
                  </w:r>
                </w:p>
              </w:tc>
              <w:tc>
                <w:tcPr>
                  <w:tcW w:w="679" w:type="pct"/>
                  <w:tcBorders>
                    <w:tl2br w:val="nil"/>
                    <w:tr2bl w:val="nil"/>
                  </w:tcBorders>
                  <w:shd w:val="clear" w:color="auto" w:fill="auto"/>
                  <w:vAlign w:val="center"/>
                </w:tcPr>
                <w:p w14:paraId="698C9626">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0.519</w:t>
                  </w:r>
                </w:p>
              </w:tc>
              <w:tc>
                <w:tcPr>
                  <w:tcW w:w="668" w:type="pct"/>
                  <w:tcBorders>
                    <w:tl2br w:val="nil"/>
                    <w:tr2bl w:val="nil"/>
                  </w:tcBorders>
                  <w:shd w:val="clear" w:color="auto" w:fill="auto"/>
                  <w:vAlign w:val="center"/>
                </w:tcPr>
                <w:p w14:paraId="42C9F97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10</w:t>
                  </w:r>
                </w:p>
              </w:tc>
              <w:tc>
                <w:tcPr>
                  <w:tcW w:w="536" w:type="pct"/>
                  <w:tcBorders>
                    <w:tl2br w:val="nil"/>
                    <w:tr2bl w:val="nil"/>
                  </w:tcBorders>
                  <w:shd w:val="clear" w:color="auto" w:fill="auto"/>
                  <w:vAlign w:val="center"/>
                </w:tcPr>
                <w:p w14:paraId="12A0EDA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r>
            <w:tr w14:paraId="076F37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14785FCB">
                  <w:pPr>
                    <w:spacing w:line="360" w:lineRule="exact"/>
                    <w:jc w:val="center"/>
                    <w:rPr>
                      <w:rFonts w:hint="default" w:ascii="Times New Roman" w:hAnsi="Times New Roman" w:eastAsia="宋体" w:cs="Times New Roman"/>
                      <w:color w:val="auto"/>
                      <w:szCs w:val="21"/>
                    </w:rPr>
                  </w:pPr>
                </w:p>
              </w:tc>
              <w:tc>
                <w:tcPr>
                  <w:tcW w:w="818" w:type="pct"/>
                  <w:tcBorders>
                    <w:tl2br w:val="nil"/>
                    <w:tr2bl w:val="nil"/>
                  </w:tcBorders>
                  <w:shd w:val="clear" w:color="auto" w:fill="auto"/>
                  <w:vAlign w:val="center"/>
                </w:tcPr>
                <w:p w14:paraId="2C9E367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乙醇</w:t>
                  </w:r>
                </w:p>
              </w:tc>
              <w:tc>
                <w:tcPr>
                  <w:tcW w:w="511" w:type="pct"/>
                  <w:vMerge w:val="continue"/>
                  <w:tcBorders>
                    <w:tl2br w:val="nil"/>
                    <w:tr2bl w:val="nil"/>
                  </w:tcBorders>
                  <w:vAlign w:val="center"/>
                </w:tcPr>
                <w:p w14:paraId="42C8ACF8">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6D8E587F">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2.375 </w:t>
                  </w:r>
                </w:p>
              </w:tc>
              <w:tc>
                <w:tcPr>
                  <w:tcW w:w="654" w:type="pct"/>
                  <w:tcBorders>
                    <w:tl2br w:val="nil"/>
                    <w:tr2bl w:val="nil"/>
                  </w:tcBorders>
                  <w:shd w:val="clear" w:color="auto" w:fill="auto"/>
                  <w:vAlign w:val="center"/>
                </w:tcPr>
                <w:p w14:paraId="236FF9D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0.024 </w:t>
                  </w:r>
                </w:p>
              </w:tc>
              <w:tc>
                <w:tcPr>
                  <w:tcW w:w="679" w:type="pct"/>
                  <w:tcBorders>
                    <w:tl2br w:val="nil"/>
                    <w:tr2bl w:val="nil"/>
                  </w:tcBorders>
                  <w:shd w:val="clear" w:color="auto" w:fill="auto"/>
                  <w:vAlign w:val="center"/>
                </w:tcPr>
                <w:p w14:paraId="6A76966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0.171 </w:t>
                  </w:r>
                </w:p>
              </w:tc>
              <w:tc>
                <w:tcPr>
                  <w:tcW w:w="668" w:type="pct"/>
                  <w:tcBorders>
                    <w:tl2br w:val="nil"/>
                    <w:tr2bl w:val="nil"/>
                  </w:tcBorders>
                  <w:shd w:val="clear" w:color="auto" w:fill="auto"/>
                  <w:vAlign w:val="center"/>
                </w:tcPr>
                <w:p w14:paraId="077A9730">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10</w:t>
                  </w:r>
                </w:p>
              </w:tc>
              <w:tc>
                <w:tcPr>
                  <w:tcW w:w="536" w:type="pct"/>
                  <w:tcBorders>
                    <w:tl2br w:val="nil"/>
                    <w:tr2bl w:val="nil"/>
                  </w:tcBorders>
                  <w:shd w:val="clear" w:color="auto" w:fill="auto"/>
                  <w:vAlign w:val="center"/>
                </w:tcPr>
                <w:p w14:paraId="5371F3A5">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r>
            <w:tr w14:paraId="15F97E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1A9140F0">
                  <w:pPr>
                    <w:spacing w:line="360" w:lineRule="exact"/>
                    <w:jc w:val="center"/>
                    <w:rPr>
                      <w:rFonts w:hint="default" w:ascii="Times New Roman" w:hAnsi="Times New Roman" w:eastAsia="宋体" w:cs="Times New Roman"/>
                      <w:color w:val="auto"/>
                      <w:szCs w:val="21"/>
                    </w:rPr>
                  </w:pPr>
                </w:p>
              </w:tc>
              <w:tc>
                <w:tcPr>
                  <w:tcW w:w="818" w:type="pct"/>
                  <w:tcBorders>
                    <w:tl2br w:val="nil"/>
                    <w:tr2bl w:val="nil"/>
                  </w:tcBorders>
                  <w:shd w:val="clear" w:color="auto" w:fill="auto"/>
                  <w:vAlign w:val="center"/>
                </w:tcPr>
                <w:p w14:paraId="6665A828">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511" w:type="pct"/>
                  <w:vMerge w:val="continue"/>
                  <w:tcBorders>
                    <w:tl2br w:val="nil"/>
                    <w:tr2bl w:val="nil"/>
                  </w:tcBorders>
                  <w:vAlign w:val="center"/>
                </w:tcPr>
                <w:p w14:paraId="06B66190">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29DC2F60">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8.309 </w:t>
                  </w:r>
                </w:p>
              </w:tc>
              <w:tc>
                <w:tcPr>
                  <w:tcW w:w="654" w:type="pct"/>
                  <w:tcBorders>
                    <w:tl2br w:val="nil"/>
                    <w:tr2bl w:val="nil"/>
                  </w:tcBorders>
                  <w:shd w:val="clear" w:color="auto" w:fill="auto"/>
                  <w:vAlign w:val="center"/>
                </w:tcPr>
                <w:p w14:paraId="3A7A9693">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0.083 </w:t>
                  </w:r>
                </w:p>
              </w:tc>
              <w:tc>
                <w:tcPr>
                  <w:tcW w:w="679" w:type="pct"/>
                  <w:tcBorders>
                    <w:tl2br w:val="nil"/>
                    <w:tr2bl w:val="nil"/>
                  </w:tcBorders>
                  <w:shd w:val="clear" w:color="auto" w:fill="auto"/>
                  <w:vAlign w:val="center"/>
                </w:tcPr>
                <w:p w14:paraId="1C7FA432">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0.399 </w:t>
                  </w:r>
                </w:p>
              </w:tc>
              <w:tc>
                <w:tcPr>
                  <w:tcW w:w="668" w:type="pct"/>
                  <w:tcBorders>
                    <w:tl2br w:val="nil"/>
                    <w:tr2bl w:val="nil"/>
                  </w:tcBorders>
                  <w:shd w:val="clear" w:color="auto" w:fill="auto"/>
                  <w:vAlign w:val="center"/>
                </w:tcPr>
                <w:p w14:paraId="5095152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12</w:t>
                  </w:r>
                </w:p>
              </w:tc>
              <w:tc>
                <w:tcPr>
                  <w:tcW w:w="536" w:type="pct"/>
                  <w:tcBorders>
                    <w:tl2br w:val="nil"/>
                    <w:tr2bl w:val="nil"/>
                  </w:tcBorders>
                  <w:shd w:val="clear" w:color="auto" w:fill="auto"/>
                  <w:vAlign w:val="center"/>
                </w:tcPr>
                <w:p w14:paraId="41A3E5B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r>
            <w:tr w14:paraId="4502E4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restart"/>
                  <w:tcBorders>
                    <w:tl2br w:val="nil"/>
                    <w:tr2bl w:val="nil"/>
                  </w:tcBorders>
                  <w:vAlign w:val="center"/>
                </w:tcPr>
                <w:p w14:paraId="0A34C294">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2</w:t>
                  </w:r>
                </w:p>
              </w:tc>
              <w:tc>
                <w:tcPr>
                  <w:tcW w:w="818" w:type="pct"/>
                  <w:tcBorders>
                    <w:tl2br w:val="nil"/>
                    <w:tr2bl w:val="nil"/>
                  </w:tcBorders>
                  <w:shd w:val="clear" w:color="auto" w:fill="auto"/>
                  <w:vAlign w:val="center"/>
                </w:tcPr>
                <w:p w14:paraId="5BDB9D7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511" w:type="pct"/>
                  <w:vMerge w:val="restart"/>
                  <w:tcBorders>
                    <w:tl2br w:val="nil"/>
                    <w:tr2bl w:val="nil"/>
                  </w:tcBorders>
                  <w:vAlign w:val="center"/>
                </w:tcPr>
                <w:p w14:paraId="04E3CB62">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20000</w:t>
                  </w:r>
                </w:p>
              </w:tc>
              <w:tc>
                <w:tcPr>
                  <w:tcW w:w="723" w:type="pct"/>
                  <w:tcBorders>
                    <w:tl2br w:val="nil"/>
                    <w:tr2bl w:val="nil"/>
                  </w:tcBorders>
                  <w:shd w:val="clear" w:color="auto" w:fill="auto"/>
                  <w:vAlign w:val="center"/>
                </w:tcPr>
                <w:p w14:paraId="5C264BF6">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2.740 </w:t>
                  </w:r>
                </w:p>
              </w:tc>
              <w:tc>
                <w:tcPr>
                  <w:tcW w:w="654" w:type="pct"/>
                  <w:tcBorders>
                    <w:tl2br w:val="nil"/>
                    <w:tr2bl w:val="nil"/>
                  </w:tcBorders>
                  <w:shd w:val="clear" w:color="auto" w:fill="auto"/>
                  <w:vAlign w:val="center"/>
                </w:tcPr>
                <w:p w14:paraId="00952444">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0.055 </w:t>
                  </w:r>
                </w:p>
              </w:tc>
              <w:tc>
                <w:tcPr>
                  <w:tcW w:w="679" w:type="pct"/>
                  <w:tcBorders>
                    <w:tl2br w:val="nil"/>
                    <w:tr2bl w:val="nil"/>
                  </w:tcBorders>
                  <w:shd w:val="clear" w:color="auto" w:fill="auto"/>
                  <w:vAlign w:val="center"/>
                </w:tcPr>
                <w:p w14:paraId="24ED60D2">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0.263 </w:t>
                  </w:r>
                </w:p>
              </w:tc>
              <w:tc>
                <w:tcPr>
                  <w:tcW w:w="668" w:type="pct"/>
                  <w:tcBorders>
                    <w:tl2br w:val="nil"/>
                    <w:tr2bl w:val="nil"/>
                  </w:tcBorders>
                  <w:shd w:val="clear" w:color="auto" w:fill="auto"/>
                  <w:vAlign w:val="center"/>
                </w:tcPr>
                <w:p w14:paraId="0C6C795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10</w:t>
                  </w:r>
                </w:p>
              </w:tc>
              <w:tc>
                <w:tcPr>
                  <w:tcW w:w="536" w:type="pct"/>
                  <w:tcBorders>
                    <w:tl2br w:val="nil"/>
                    <w:tr2bl w:val="nil"/>
                  </w:tcBorders>
                  <w:shd w:val="clear" w:color="auto" w:fill="auto"/>
                  <w:vAlign w:val="center"/>
                </w:tcPr>
                <w:p w14:paraId="247069ED">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12878A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5DFC40FF">
                  <w:pPr>
                    <w:spacing w:line="360" w:lineRule="exact"/>
                    <w:jc w:val="center"/>
                    <w:rPr>
                      <w:rFonts w:hint="default" w:ascii="Times New Roman" w:hAnsi="Times New Roman" w:eastAsia="宋体" w:cs="Times New Roman"/>
                      <w:color w:val="auto"/>
                      <w:szCs w:val="21"/>
                    </w:rPr>
                  </w:pPr>
                </w:p>
              </w:tc>
              <w:tc>
                <w:tcPr>
                  <w:tcW w:w="818" w:type="pct"/>
                  <w:tcBorders>
                    <w:tl2br w:val="nil"/>
                    <w:tr2bl w:val="nil"/>
                  </w:tcBorders>
                  <w:shd w:val="clear" w:color="auto" w:fill="auto"/>
                  <w:vAlign w:val="center"/>
                </w:tcPr>
                <w:p w14:paraId="654670F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511" w:type="pct"/>
                  <w:vMerge w:val="continue"/>
                  <w:tcBorders>
                    <w:tl2br w:val="nil"/>
                    <w:tr2bl w:val="nil"/>
                  </w:tcBorders>
                  <w:vAlign w:val="center"/>
                </w:tcPr>
                <w:p w14:paraId="3CE7C95C">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3AE63D37">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0.178 </w:t>
                  </w:r>
                </w:p>
              </w:tc>
              <w:tc>
                <w:tcPr>
                  <w:tcW w:w="654" w:type="pct"/>
                  <w:tcBorders>
                    <w:tl2br w:val="nil"/>
                    <w:tr2bl w:val="nil"/>
                  </w:tcBorders>
                  <w:shd w:val="clear" w:color="auto" w:fill="auto"/>
                  <w:vAlign w:val="center"/>
                </w:tcPr>
                <w:p w14:paraId="737D131D">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0.004 </w:t>
                  </w:r>
                </w:p>
              </w:tc>
              <w:tc>
                <w:tcPr>
                  <w:tcW w:w="679" w:type="pct"/>
                  <w:tcBorders>
                    <w:tl2br w:val="nil"/>
                    <w:tr2bl w:val="nil"/>
                  </w:tcBorders>
                  <w:shd w:val="clear" w:color="auto" w:fill="auto"/>
                  <w:vAlign w:val="center"/>
                </w:tcPr>
                <w:p w14:paraId="4BAF362C">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0.017 </w:t>
                  </w:r>
                </w:p>
              </w:tc>
              <w:tc>
                <w:tcPr>
                  <w:tcW w:w="668" w:type="pct"/>
                  <w:tcBorders>
                    <w:tl2br w:val="nil"/>
                    <w:tr2bl w:val="nil"/>
                  </w:tcBorders>
                  <w:shd w:val="clear" w:color="auto" w:fill="auto"/>
                  <w:vAlign w:val="center"/>
                </w:tcPr>
                <w:p w14:paraId="1A7C0D7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15</w:t>
                  </w:r>
                </w:p>
              </w:tc>
              <w:tc>
                <w:tcPr>
                  <w:tcW w:w="536" w:type="pct"/>
                  <w:tcBorders>
                    <w:tl2br w:val="nil"/>
                    <w:tr2bl w:val="nil"/>
                  </w:tcBorders>
                  <w:shd w:val="clear" w:color="auto" w:fill="auto"/>
                  <w:vAlign w:val="center"/>
                </w:tcPr>
                <w:p w14:paraId="5E1D321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24D236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1347B5C9">
                  <w:pPr>
                    <w:spacing w:line="360" w:lineRule="exact"/>
                    <w:jc w:val="center"/>
                    <w:rPr>
                      <w:rFonts w:hint="default" w:ascii="Times New Roman" w:hAnsi="Times New Roman" w:eastAsia="宋体" w:cs="Times New Roman"/>
                      <w:color w:val="auto"/>
                      <w:szCs w:val="21"/>
                    </w:rPr>
                  </w:pPr>
                </w:p>
              </w:tc>
              <w:tc>
                <w:tcPr>
                  <w:tcW w:w="818" w:type="pct"/>
                  <w:tcBorders>
                    <w:tl2br w:val="nil"/>
                    <w:tr2bl w:val="nil"/>
                  </w:tcBorders>
                  <w:shd w:val="clear" w:color="auto" w:fill="auto"/>
                  <w:vAlign w:val="center"/>
                </w:tcPr>
                <w:p w14:paraId="1B260E3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511" w:type="pct"/>
                  <w:vMerge w:val="continue"/>
                  <w:tcBorders>
                    <w:tl2br w:val="nil"/>
                    <w:tr2bl w:val="nil"/>
                  </w:tcBorders>
                  <w:vAlign w:val="center"/>
                </w:tcPr>
                <w:p w14:paraId="23DB4AD5">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483AA4CF">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0.080 </w:t>
                  </w:r>
                </w:p>
              </w:tc>
              <w:tc>
                <w:tcPr>
                  <w:tcW w:w="654" w:type="pct"/>
                  <w:tcBorders>
                    <w:tl2br w:val="nil"/>
                    <w:tr2bl w:val="nil"/>
                  </w:tcBorders>
                  <w:shd w:val="clear" w:color="auto" w:fill="auto"/>
                  <w:vAlign w:val="center"/>
                </w:tcPr>
                <w:p w14:paraId="6047F78D">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0.002 </w:t>
                  </w:r>
                </w:p>
              </w:tc>
              <w:tc>
                <w:tcPr>
                  <w:tcW w:w="679" w:type="pct"/>
                  <w:tcBorders>
                    <w:tl2br w:val="nil"/>
                    <w:tr2bl w:val="nil"/>
                  </w:tcBorders>
                  <w:shd w:val="clear" w:color="auto" w:fill="auto"/>
                  <w:vAlign w:val="center"/>
                </w:tcPr>
                <w:p w14:paraId="70B7F937">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0.008 </w:t>
                  </w:r>
                </w:p>
              </w:tc>
              <w:tc>
                <w:tcPr>
                  <w:tcW w:w="668" w:type="pct"/>
                  <w:tcBorders>
                    <w:tl2br w:val="nil"/>
                    <w:tr2bl w:val="nil"/>
                  </w:tcBorders>
                  <w:shd w:val="clear" w:color="auto" w:fill="auto"/>
                  <w:vAlign w:val="center"/>
                </w:tcPr>
                <w:p w14:paraId="244DBC8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c>
                <w:tcPr>
                  <w:tcW w:w="536" w:type="pct"/>
                  <w:tcBorders>
                    <w:tl2br w:val="nil"/>
                    <w:tr2bl w:val="nil"/>
                  </w:tcBorders>
                  <w:shd w:val="clear" w:color="auto" w:fill="auto"/>
                  <w:vAlign w:val="center"/>
                </w:tcPr>
                <w:p w14:paraId="534096AC">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0.33</w:t>
                  </w:r>
                </w:p>
              </w:tc>
            </w:tr>
            <w:tr w14:paraId="7F71E43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687F6B81">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3</w:t>
                  </w:r>
                </w:p>
              </w:tc>
              <w:tc>
                <w:tcPr>
                  <w:tcW w:w="818" w:type="pct"/>
                  <w:tcBorders>
                    <w:tl2br w:val="nil"/>
                    <w:tr2bl w:val="nil"/>
                  </w:tcBorders>
                  <w:shd w:val="clear" w:color="auto" w:fill="auto"/>
                  <w:vAlign w:val="center"/>
                </w:tcPr>
                <w:p w14:paraId="7F155EC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511" w:type="pct"/>
                  <w:tcBorders>
                    <w:tl2br w:val="nil"/>
                    <w:tr2bl w:val="nil"/>
                  </w:tcBorders>
                  <w:vAlign w:val="center"/>
                </w:tcPr>
                <w:p w14:paraId="03595011">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09ED8B95">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33.270 </w:t>
                  </w:r>
                </w:p>
              </w:tc>
              <w:tc>
                <w:tcPr>
                  <w:tcW w:w="654" w:type="pct"/>
                  <w:tcBorders>
                    <w:tl2br w:val="nil"/>
                    <w:tr2bl w:val="nil"/>
                  </w:tcBorders>
                  <w:shd w:val="clear" w:color="auto" w:fill="auto"/>
                  <w:vAlign w:val="center"/>
                </w:tcPr>
                <w:p w14:paraId="49A2C426">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0.333 </w:t>
                  </w:r>
                </w:p>
              </w:tc>
              <w:tc>
                <w:tcPr>
                  <w:tcW w:w="679" w:type="pct"/>
                  <w:tcBorders>
                    <w:tl2br w:val="nil"/>
                    <w:tr2bl w:val="nil"/>
                  </w:tcBorders>
                  <w:shd w:val="clear" w:color="auto" w:fill="auto"/>
                  <w:vAlign w:val="center"/>
                </w:tcPr>
                <w:p w14:paraId="01913034">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1.597 </w:t>
                  </w:r>
                </w:p>
              </w:tc>
              <w:tc>
                <w:tcPr>
                  <w:tcW w:w="668" w:type="pct"/>
                  <w:tcBorders>
                    <w:tl2br w:val="nil"/>
                    <w:tr2bl w:val="nil"/>
                  </w:tcBorders>
                  <w:shd w:val="clear" w:color="auto" w:fill="auto"/>
                  <w:vAlign w:val="center"/>
                </w:tcPr>
                <w:p w14:paraId="59C1686A">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100</w:t>
                  </w:r>
                </w:p>
              </w:tc>
              <w:tc>
                <w:tcPr>
                  <w:tcW w:w="536" w:type="pct"/>
                  <w:tcBorders>
                    <w:tl2br w:val="nil"/>
                    <w:tr2bl w:val="nil"/>
                  </w:tcBorders>
                  <w:shd w:val="clear" w:color="auto" w:fill="auto"/>
                  <w:vAlign w:val="center"/>
                </w:tcPr>
                <w:p w14:paraId="1DB0478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r>
            <w:tr w14:paraId="77AF38C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4C43DD0C">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4</w:t>
                  </w:r>
                </w:p>
              </w:tc>
              <w:tc>
                <w:tcPr>
                  <w:tcW w:w="818" w:type="pct"/>
                  <w:tcBorders>
                    <w:tl2br w:val="nil"/>
                    <w:tr2bl w:val="nil"/>
                  </w:tcBorders>
                  <w:shd w:val="clear" w:color="auto" w:fill="auto"/>
                  <w:vAlign w:val="center"/>
                </w:tcPr>
                <w:p w14:paraId="4BEBFD9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511" w:type="pct"/>
                  <w:tcBorders>
                    <w:tl2br w:val="nil"/>
                    <w:tr2bl w:val="nil"/>
                  </w:tcBorders>
                  <w:vAlign w:val="center"/>
                </w:tcPr>
                <w:p w14:paraId="4862F303">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0D71E2A5">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654" w:type="pct"/>
                  <w:tcBorders>
                    <w:tl2br w:val="nil"/>
                    <w:tr2bl w:val="nil"/>
                  </w:tcBorders>
                  <w:shd w:val="clear" w:color="auto" w:fill="auto"/>
                  <w:vAlign w:val="center"/>
                </w:tcPr>
                <w:p w14:paraId="1B5ED4AE">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679" w:type="pct"/>
                  <w:tcBorders>
                    <w:tl2br w:val="nil"/>
                    <w:tr2bl w:val="nil"/>
                  </w:tcBorders>
                  <w:shd w:val="clear" w:color="auto" w:fill="auto"/>
                  <w:vAlign w:val="center"/>
                </w:tcPr>
                <w:p w14:paraId="08C04583">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668" w:type="pct"/>
                  <w:tcBorders>
                    <w:tl2br w:val="nil"/>
                    <w:tr2bl w:val="nil"/>
                  </w:tcBorders>
                  <w:shd w:val="clear" w:color="auto" w:fill="auto"/>
                  <w:vAlign w:val="center"/>
                </w:tcPr>
                <w:p w14:paraId="0DC16191">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6A0DD78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r w14:paraId="4BBBCE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61EAA1C2">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5</w:t>
                  </w:r>
                </w:p>
              </w:tc>
              <w:tc>
                <w:tcPr>
                  <w:tcW w:w="818" w:type="pct"/>
                  <w:tcBorders>
                    <w:tl2br w:val="nil"/>
                    <w:tr2bl w:val="nil"/>
                  </w:tcBorders>
                  <w:vAlign w:val="center"/>
                </w:tcPr>
                <w:p w14:paraId="512FAB65">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w w:val="100"/>
                      <w:kern w:val="2"/>
                      <w:sz w:val="21"/>
                      <w:szCs w:val="21"/>
                      <w:lang w:eastAsia="zh-CN"/>
                    </w:rPr>
                    <w:t>颗粒物</w:t>
                  </w:r>
                </w:p>
              </w:tc>
              <w:tc>
                <w:tcPr>
                  <w:tcW w:w="511" w:type="pct"/>
                  <w:tcBorders>
                    <w:tl2br w:val="nil"/>
                    <w:tr2bl w:val="nil"/>
                  </w:tcBorders>
                  <w:vAlign w:val="center"/>
                </w:tcPr>
                <w:p w14:paraId="551C948E">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61A4C083">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654" w:type="pct"/>
                  <w:tcBorders>
                    <w:tl2br w:val="nil"/>
                    <w:tr2bl w:val="nil"/>
                  </w:tcBorders>
                  <w:shd w:val="clear" w:color="auto" w:fill="auto"/>
                  <w:vAlign w:val="center"/>
                </w:tcPr>
                <w:p w14:paraId="0D57E68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679" w:type="pct"/>
                  <w:tcBorders>
                    <w:tl2br w:val="nil"/>
                    <w:tr2bl w:val="nil"/>
                  </w:tcBorders>
                  <w:shd w:val="clear" w:color="auto" w:fill="auto"/>
                  <w:vAlign w:val="center"/>
                </w:tcPr>
                <w:p w14:paraId="6511735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668" w:type="pct"/>
                  <w:tcBorders>
                    <w:tl2br w:val="nil"/>
                    <w:tr2bl w:val="nil"/>
                  </w:tcBorders>
                  <w:shd w:val="clear" w:color="auto" w:fill="auto"/>
                  <w:vAlign w:val="center"/>
                </w:tcPr>
                <w:p w14:paraId="2FBFB44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4F76B11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r w14:paraId="57F7B7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5409A909">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6</w:t>
                  </w:r>
                </w:p>
              </w:tc>
              <w:tc>
                <w:tcPr>
                  <w:tcW w:w="818" w:type="pct"/>
                  <w:tcBorders>
                    <w:tl2br w:val="nil"/>
                    <w:tr2bl w:val="nil"/>
                  </w:tcBorders>
                  <w:vAlign w:val="center"/>
                </w:tcPr>
                <w:p w14:paraId="61F4BF86">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w w:val="100"/>
                      <w:kern w:val="2"/>
                      <w:sz w:val="21"/>
                      <w:szCs w:val="21"/>
                      <w:lang w:eastAsia="zh-CN"/>
                    </w:rPr>
                    <w:t>颗粒物</w:t>
                  </w:r>
                </w:p>
              </w:tc>
              <w:tc>
                <w:tcPr>
                  <w:tcW w:w="511" w:type="pct"/>
                  <w:tcBorders>
                    <w:tl2br w:val="nil"/>
                    <w:tr2bl w:val="nil"/>
                  </w:tcBorders>
                  <w:vAlign w:val="center"/>
                </w:tcPr>
                <w:p w14:paraId="1A10BA9F">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3E54E99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654" w:type="pct"/>
                  <w:tcBorders>
                    <w:tl2br w:val="nil"/>
                    <w:tr2bl w:val="nil"/>
                  </w:tcBorders>
                  <w:shd w:val="clear" w:color="auto" w:fill="auto"/>
                  <w:vAlign w:val="center"/>
                </w:tcPr>
                <w:p w14:paraId="06D4BE9F">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679" w:type="pct"/>
                  <w:tcBorders>
                    <w:tl2br w:val="nil"/>
                    <w:tr2bl w:val="nil"/>
                  </w:tcBorders>
                  <w:shd w:val="clear" w:color="auto" w:fill="auto"/>
                  <w:vAlign w:val="center"/>
                </w:tcPr>
                <w:p w14:paraId="41E8E5A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668" w:type="pct"/>
                  <w:tcBorders>
                    <w:tl2br w:val="nil"/>
                    <w:tr2bl w:val="nil"/>
                  </w:tcBorders>
                  <w:shd w:val="clear" w:color="auto" w:fill="auto"/>
                  <w:vAlign w:val="center"/>
                </w:tcPr>
                <w:p w14:paraId="642068C7">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53DC2E39">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r w14:paraId="66AF1D4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00720DBA">
                  <w:pPr>
                    <w:spacing w:line="360" w:lineRule="exact"/>
                    <w:jc w:val="center"/>
                    <w:rPr>
                      <w:rFonts w:hint="default" w:ascii="Times New Roman" w:hAnsi="Times New Roman" w:eastAsia="宋体" w:cs="Times New Roman"/>
                      <w:color w:val="auto"/>
                      <w:szCs w:val="21"/>
                      <w:lang w:val="en-US"/>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7</w:t>
                  </w:r>
                </w:p>
              </w:tc>
              <w:tc>
                <w:tcPr>
                  <w:tcW w:w="818" w:type="pct"/>
                  <w:tcBorders>
                    <w:tl2br w:val="nil"/>
                    <w:tr2bl w:val="nil"/>
                  </w:tcBorders>
                  <w:vAlign w:val="center"/>
                </w:tcPr>
                <w:p w14:paraId="555C0EA1">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w w:val="100"/>
                      <w:kern w:val="2"/>
                      <w:sz w:val="21"/>
                      <w:szCs w:val="21"/>
                      <w:lang w:eastAsia="zh-CN"/>
                    </w:rPr>
                    <w:t>颗粒物</w:t>
                  </w:r>
                </w:p>
              </w:tc>
              <w:tc>
                <w:tcPr>
                  <w:tcW w:w="511" w:type="pct"/>
                  <w:tcBorders>
                    <w:tl2br w:val="nil"/>
                    <w:tr2bl w:val="nil"/>
                  </w:tcBorders>
                  <w:vAlign w:val="center"/>
                </w:tcPr>
                <w:p w14:paraId="340EBDB7">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3254FBCE">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654" w:type="pct"/>
                  <w:tcBorders>
                    <w:tl2br w:val="nil"/>
                    <w:tr2bl w:val="nil"/>
                  </w:tcBorders>
                  <w:shd w:val="clear" w:color="auto" w:fill="auto"/>
                  <w:vAlign w:val="center"/>
                </w:tcPr>
                <w:p w14:paraId="61DA9A4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679" w:type="pct"/>
                  <w:tcBorders>
                    <w:tl2br w:val="nil"/>
                    <w:tr2bl w:val="nil"/>
                  </w:tcBorders>
                  <w:shd w:val="clear" w:color="auto" w:fill="auto"/>
                  <w:vAlign w:val="center"/>
                </w:tcPr>
                <w:p w14:paraId="4ADB2053">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668" w:type="pct"/>
                  <w:tcBorders>
                    <w:tl2br w:val="nil"/>
                    <w:tr2bl w:val="nil"/>
                  </w:tcBorders>
                  <w:shd w:val="clear" w:color="auto" w:fill="auto"/>
                  <w:vAlign w:val="center"/>
                </w:tcPr>
                <w:p w14:paraId="2C46F203">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710D69F2">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r w14:paraId="42AF88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tcBorders>
                    <w:tl2br w:val="nil"/>
                    <w:tr2bl w:val="nil"/>
                  </w:tcBorders>
                  <w:vAlign w:val="center"/>
                </w:tcPr>
                <w:p w14:paraId="359F25C4">
                  <w:pPr>
                    <w:spacing w:line="360" w:lineRule="exact"/>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8</w:t>
                  </w:r>
                </w:p>
              </w:tc>
              <w:tc>
                <w:tcPr>
                  <w:tcW w:w="818" w:type="pct"/>
                  <w:tcBorders>
                    <w:tl2br w:val="nil"/>
                    <w:tr2bl w:val="nil"/>
                  </w:tcBorders>
                  <w:vAlign w:val="center"/>
                </w:tcPr>
                <w:p w14:paraId="1B7B12EE">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w w:val="100"/>
                      <w:kern w:val="2"/>
                      <w:sz w:val="21"/>
                      <w:szCs w:val="21"/>
                      <w:lang w:eastAsia="zh-CN"/>
                    </w:rPr>
                    <w:t>颗粒物</w:t>
                  </w:r>
                </w:p>
              </w:tc>
              <w:tc>
                <w:tcPr>
                  <w:tcW w:w="511" w:type="pct"/>
                  <w:tcBorders>
                    <w:tl2br w:val="nil"/>
                    <w:tr2bl w:val="nil"/>
                  </w:tcBorders>
                  <w:vAlign w:val="center"/>
                </w:tcPr>
                <w:p w14:paraId="4FA575E0">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10000</w:t>
                  </w:r>
                </w:p>
              </w:tc>
              <w:tc>
                <w:tcPr>
                  <w:tcW w:w="723" w:type="pct"/>
                  <w:tcBorders>
                    <w:tl2br w:val="nil"/>
                    <w:tr2bl w:val="nil"/>
                  </w:tcBorders>
                  <w:shd w:val="clear" w:color="auto" w:fill="auto"/>
                  <w:vAlign w:val="center"/>
                </w:tcPr>
                <w:p w14:paraId="40CD0CF0">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0.648</w:t>
                  </w:r>
                </w:p>
              </w:tc>
              <w:tc>
                <w:tcPr>
                  <w:tcW w:w="654" w:type="pct"/>
                  <w:tcBorders>
                    <w:tl2br w:val="nil"/>
                    <w:tr2bl w:val="nil"/>
                  </w:tcBorders>
                  <w:shd w:val="clear" w:color="auto" w:fill="auto"/>
                  <w:vAlign w:val="center"/>
                </w:tcPr>
                <w:p w14:paraId="257A1399">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679" w:type="pct"/>
                  <w:tcBorders>
                    <w:tl2br w:val="nil"/>
                    <w:tr2bl w:val="nil"/>
                  </w:tcBorders>
                  <w:shd w:val="clear" w:color="auto" w:fill="auto"/>
                  <w:vAlign w:val="center"/>
                </w:tcPr>
                <w:p w14:paraId="3138D90C">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0.031</w:t>
                  </w:r>
                </w:p>
              </w:tc>
              <w:tc>
                <w:tcPr>
                  <w:tcW w:w="668" w:type="pct"/>
                  <w:tcBorders>
                    <w:tl2br w:val="nil"/>
                    <w:tr2bl w:val="nil"/>
                  </w:tcBorders>
                  <w:shd w:val="clear" w:color="auto" w:fill="auto"/>
                  <w:vAlign w:val="center"/>
                </w:tcPr>
                <w:p w14:paraId="62195AC4">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0429044E">
                  <w:pPr>
                    <w:keepNext w:val="0"/>
                    <w:keepLines w:val="0"/>
                    <w:pageBreakBefore w:val="0"/>
                    <w:widowControl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r w14:paraId="400B926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restart"/>
                  <w:tcBorders>
                    <w:tl2br w:val="nil"/>
                    <w:tr2bl w:val="nil"/>
                  </w:tcBorders>
                  <w:vAlign w:val="center"/>
                </w:tcPr>
                <w:p w14:paraId="200EDE27">
                  <w:pPr>
                    <w:spacing w:line="360" w:lineRule="exact"/>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DA00</w:t>
                  </w:r>
                  <w:r>
                    <w:rPr>
                      <w:rFonts w:hint="eastAsia" w:ascii="Times New Roman" w:hAnsi="Times New Roman" w:eastAsia="宋体" w:cs="Times New Roman"/>
                      <w:color w:val="auto"/>
                      <w:szCs w:val="21"/>
                      <w:lang w:val="en-US" w:eastAsia="zh-CN"/>
                    </w:rPr>
                    <w:t>9</w:t>
                  </w:r>
                </w:p>
              </w:tc>
              <w:tc>
                <w:tcPr>
                  <w:tcW w:w="818" w:type="pct"/>
                  <w:tcBorders>
                    <w:tl2br w:val="nil"/>
                    <w:tr2bl w:val="nil"/>
                  </w:tcBorders>
                  <w:shd w:val="clear" w:color="auto" w:fill="auto"/>
                  <w:vAlign w:val="center"/>
                </w:tcPr>
                <w:p w14:paraId="6E39D43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val="en-US" w:eastAsia="zh-CN" w:bidi="ar-SA"/>
                    </w:rPr>
                    <w:t>挥发性有机物</w:t>
                  </w:r>
                </w:p>
              </w:tc>
              <w:tc>
                <w:tcPr>
                  <w:tcW w:w="511" w:type="pct"/>
                  <w:vMerge w:val="restart"/>
                  <w:tcBorders>
                    <w:tl2br w:val="nil"/>
                    <w:tr2bl w:val="nil"/>
                  </w:tcBorders>
                  <w:vAlign w:val="center"/>
                </w:tcPr>
                <w:p w14:paraId="2FF7422D">
                  <w:pPr>
                    <w:spacing w:line="360" w:lineRule="exact"/>
                    <w:jc w:val="center"/>
                    <w:rPr>
                      <w:rFonts w:hint="default" w:ascii="Times New Roman" w:hAnsi="Times New Roman" w:eastAsia="宋体" w:cs="Times New Roman"/>
                      <w:color w:val="auto"/>
                      <w:kern w:val="0"/>
                      <w:szCs w:val="21"/>
                    </w:rPr>
                  </w:pPr>
                  <w:r>
                    <w:rPr>
                      <w:rFonts w:hint="eastAsia" w:ascii="Times New Roman" w:hAnsi="Times New Roman" w:eastAsia="宋体" w:cs="Times New Roman"/>
                      <w:color w:val="auto"/>
                      <w:kern w:val="0"/>
                      <w:szCs w:val="21"/>
                      <w:lang w:val="en-US" w:eastAsia="zh-CN"/>
                    </w:rPr>
                    <w:t>20000</w:t>
                  </w:r>
                </w:p>
              </w:tc>
              <w:tc>
                <w:tcPr>
                  <w:tcW w:w="723" w:type="pct"/>
                  <w:tcBorders>
                    <w:tl2br w:val="nil"/>
                    <w:tr2bl w:val="nil"/>
                  </w:tcBorders>
                  <w:shd w:val="clear" w:color="auto" w:fill="auto"/>
                  <w:vAlign w:val="center"/>
                </w:tcPr>
                <w:p w14:paraId="220FE043">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5.534 </w:t>
                  </w:r>
                </w:p>
              </w:tc>
              <w:tc>
                <w:tcPr>
                  <w:tcW w:w="654" w:type="pct"/>
                  <w:tcBorders>
                    <w:tl2br w:val="nil"/>
                    <w:tr2bl w:val="nil"/>
                  </w:tcBorders>
                  <w:shd w:val="clear" w:color="auto" w:fill="auto"/>
                  <w:vAlign w:val="center"/>
                </w:tcPr>
                <w:p w14:paraId="5346391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0.111 </w:t>
                  </w:r>
                </w:p>
              </w:tc>
              <w:tc>
                <w:tcPr>
                  <w:tcW w:w="679" w:type="pct"/>
                  <w:tcBorders>
                    <w:tl2br w:val="nil"/>
                    <w:tr2bl w:val="nil"/>
                  </w:tcBorders>
                  <w:shd w:val="clear" w:color="auto" w:fill="auto"/>
                  <w:vAlign w:val="center"/>
                </w:tcPr>
                <w:p w14:paraId="61493E6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0.531 </w:t>
                  </w:r>
                </w:p>
              </w:tc>
              <w:tc>
                <w:tcPr>
                  <w:tcW w:w="668" w:type="pct"/>
                  <w:tcBorders>
                    <w:tl2br w:val="nil"/>
                    <w:tr2bl w:val="nil"/>
                  </w:tcBorders>
                  <w:shd w:val="clear" w:color="auto" w:fill="auto"/>
                  <w:vAlign w:val="center"/>
                </w:tcPr>
                <w:p w14:paraId="318EA899">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10</w:t>
                  </w:r>
                </w:p>
              </w:tc>
              <w:tc>
                <w:tcPr>
                  <w:tcW w:w="536" w:type="pct"/>
                  <w:tcBorders>
                    <w:tl2br w:val="nil"/>
                    <w:tr2bl w:val="nil"/>
                  </w:tcBorders>
                  <w:shd w:val="clear" w:color="auto" w:fill="auto"/>
                  <w:vAlign w:val="center"/>
                </w:tcPr>
                <w:p w14:paraId="4D11A94B">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42E617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3B012A29">
                  <w:pPr>
                    <w:spacing w:line="360" w:lineRule="exact"/>
                    <w:jc w:val="center"/>
                    <w:rPr>
                      <w:rFonts w:hint="default" w:ascii="Times New Roman" w:hAnsi="Times New Roman" w:eastAsia="宋体" w:cs="Times New Roman"/>
                      <w:color w:val="auto"/>
                      <w:szCs w:val="21"/>
                      <w:lang w:val="en-US" w:eastAsia="zh-CN"/>
                    </w:rPr>
                  </w:pPr>
                </w:p>
              </w:tc>
              <w:tc>
                <w:tcPr>
                  <w:tcW w:w="818" w:type="pct"/>
                  <w:tcBorders>
                    <w:tl2br w:val="nil"/>
                    <w:tr2bl w:val="nil"/>
                  </w:tcBorders>
                  <w:shd w:val="clear" w:color="auto" w:fill="auto"/>
                  <w:vAlign w:val="center"/>
                </w:tcPr>
                <w:p w14:paraId="0681F830">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甲苯</w:t>
                  </w:r>
                </w:p>
              </w:tc>
              <w:tc>
                <w:tcPr>
                  <w:tcW w:w="511" w:type="pct"/>
                  <w:vMerge w:val="continue"/>
                  <w:tcBorders>
                    <w:tl2br w:val="nil"/>
                    <w:tr2bl w:val="nil"/>
                  </w:tcBorders>
                  <w:vAlign w:val="center"/>
                </w:tcPr>
                <w:p w14:paraId="6F3182E8">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2205BADC">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4.008 </w:t>
                  </w:r>
                </w:p>
              </w:tc>
              <w:tc>
                <w:tcPr>
                  <w:tcW w:w="654" w:type="pct"/>
                  <w:tcBorders>
                    <w:tl2br w:val="nil"/>
                    <w:tr2bl w:val="nil"/>
                  </w:tcBorders>
                  <w:shd w:val="clear" w:color="auto" w:fill="auto"/>
                  <w:vAlign w:val="center"/>
                </w:tcPr>
                <w:p w14:paraId="4CAC564B">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0.080 </w:t>
                  </w:r>
                </w:p>
              </w:tc>
              <w:tc>
                <w:tcPr>
                  <w:tcW w:w="679" w:type="pct"/>
                  <w:tcBorders>
                    <w:tl2br w:val="nil"/>
                    <w:tr2bl w:val="nil"/>
                  </w:tcBorders>
                  <w:shd w:val="clear" w:color="auto" w:fill="auto"/>
                  <w:vAlign w:val="center"/>
                </w:tcPr>
                <w:p w14:paraId="5024AB18">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0.385 </w:t>
                  </w:r>
                </w:p>
              </w:tc>
              <w:tc>
                <w:tcPr>
                  <w:tcW w:w="668" w:type="pct"/>
                  <w:tcBorders>
                    <w:tl2br w:val="nil"/>
                    <w:tr2bl w:val="nil"/>
                  </w:tcBorders>
                  <w:shd w:val="clear" w:color="auto" w:fill="auto"/>
                  <w:vAlign w:val="center"/>
                </w:tcPr>
                <w:p w14:paraId="21D2C227">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15</w:t>
                  </w:r>
                </w:p>
              </w:tc>
              <w:tc>
                <w:tcPr>
                  <w:tcW w:w="536" w:type="pct"/>
                  <w:tcBorders>
                    <w:tl2br w:val="nil"/>
                    <w:tr2bl w:val="nil"/>
                  </w:tcBorders>
                  <w:shd w:val="clear" w:color="auto" w:fill="auto"/>
                  <w:vAlign w:val="center"/>
                </w:tcPr>
                <w:p w14:paraId="023F11B1">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w:t>
                  </w:r>
                </w:p>
              </w:tc>
            </w:tr>
            <w:tr w14:paraId="744131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1704C3D5">
                  <w:pPr>
                    <w:spacing w:line="360" w:lineRule="exact"/>
                    <w:jc w:val="center"/>
                    <w:rPr>
                      <w:rFonts w:hint="default" w:ascii="Times New Roman" w:hAnsi="Times New Roman" w:eastAsia="宋体" w:cs="Times New Roman"/>
                      <w:color w:val="auto"/>
                      <w:szCs w:val="21"/>
                      <w:lang w:val="en-US" w:eastAsia="zh-CN"/>
                    </w:rPr>
                  </w:pPr>
                </w:p>
              </w:tc>
              <w:tc>
                <w:tcPr>
                  <w:tcW w:w="818" w:type="pct"/>
                  <w:tcBorders>
                    <w:tl2br w:val="nil"/>
                    <w:tr2bl w:val="nil"/>
                  </w:tcBorders>
                  <w:shd w:val="clear" w:color="auto" w:fill="auto"/>
                  <w:vAlign w:val="center"/>
                </w:tcPr>
                <w:p w14:paraId="6308F86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511" w:type="pct"/>
                  <w:vMerge w:val="continue"/>
                  <w:tcBorders>
                    <w:tl2br w:val="nil"/>
                    <w:tr2bl w:val="nil"/>
                  </w:tcBorders>
                  <w:vAlign w:val="center"/>
                </w:tcPr>
                <w:p w14:paraId="09BB2738">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037AB21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0.094 </w:t>
                  </w:r>
                </w:p>
              </w:tc>
              <w:tc>
                <w:tcPr>
                  <w:tcW w:w="654" w:type="pct"/>
                  <w:tcBorders>
                    <w:tl2br w:val="nil"/>
                    <w:tr2bl w:val="nil"/>
                  </w:tcBorders>
                  <w:shd w:val="clear" w:color="auto" w:fill="auto"/>
                  <w:vAlign w:val="center"/>
                </w:tcPr>
                <w:p w14:paraId="509AFB4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0.002 </w:t>
                  </w:r>
                </w:p>
              </w:tc>
              <w:tc>
                <w:tcPr>
                  <w:tcW w:w="679" w:type="pct"/>
                  <w:tcBorders>
                    <w:tl2br w:val="nil"/>
                    <w:tr2bl w:val="nil"/>
                  </w:tcBorders>
                  <w:shd w:val="clear" w:color="auto" w:fill="auto"/>
                  <w:vAlign w:val="center"/>
                </w:tcPr>
                <w:p w14:paraId="06131E1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0.009 </w:t>
                  </w:r>
                </w:p>
              </w:tc>
              <w:tc>
                <w:tcPr>
                  <w:tcW w:w="668" w:type="pct"/>
                  <w:tcBorders>
                    <w:tl2br w:val="nil"/>
                    <w:tr2bl w:val="nil"/>
                  </w:tcBorders>
                  <w:shd w:val="clear" w:color="auto" w:fill="auto"/>
                  <w:vAlign w:val="center"/>
                </w:tcPr>
                <w:p w14:paraId="30B50AC3">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w:t>
                  </w:r>
                </w:p>
              </w:tc>
              <w:tc>
                <w:tcPr>
                  <w:tcW w:w="536" w:type="pct"/>
                  <w:tcBorders>
                    <w:tl2br w:val="nil"/>
                    <w:tr2bl w:val="nil"/>
                  </w:tcBorders>
                  <w:shd w:val="clear" w:color="auto" w:fill="auto"/>
                  <w:vAlign w:val="center"/>
                </w:tcPr>
                <w:p w14:paraId="5DE3B333">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0.33</w:t>
                  </w:r>
                </w:p>
              </w:tc>
            </w:tr>
            <w:tr w14:paraId="6A192AD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407" w:type="pct"/>
                  <w:vMerge w:val="continue"/>
                  <w:tcBorders>
                    <w:tl2br w:val="nil"/>
                    <w:tr2bl w:val="nil"/>
                  </w:tcBorders>
                  <w:vAlign w:val="center"/>
                </w:tcPr>
                <w:p w14:paraId="315368A2">
                  <w:pPr>
                    <w:spacing w:line="360" w:lineRule="exact"/>
                    <w:jc w:val="center"/>
                    <w:rPr>
                      <w:rFonts w:hint="default" w:ascii="Times New Roman" w:hAnsi="Times New Roman" w:eastAsia="宋体" w:cs="Times New Roman"/>
                      <w:color w:val="auto"/>
                      <w:szCs w:val="21"/>
                      <w:lang w:val="en-US" w:eastAsia="zh-CN"/>
                    </w:rPr>
                  </w:pPr>
                </w:p>
              </w:tc>
              <w:tc>
                <w:tcPr>
                  <w:tcW w:w="818" w:type="pct"/>
                  <w:tcBorders>
                    <w:tl2br w:val="nil"/>
                    <w:tr2bl w:val="nil"/>
                  </w:tcBorders>
                  <w:shd w:val="clear" w:color="auto" w:fill="auto"/>
                  <w:vAlign w:val="center"/>
                </w:tcPr>
                <w:p w14:paraId="054A5E9C">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val="en-US" w:eastAsia="zh-CN" w:bidi="ar-SA"/>
                    </w:rPr>
                    <w:t>颗粒物</w:t>
                  </w:r>
                </w:p>
              </w:tc>
              <w:tc>
                <w:tcPr>
                  <w:tcW w:w="511" w:type="pct"/>
                  <w:vMerge w:val="continue"/>
                  <w:tcBorders>
                    <w:tl2br w:val="nil"/>
                    <w:tr2bl w:val="nil"/>
                  </w:tcBorders>
                  <w:vAlign w:val="center"/>
                </w:tcPr>
                <w:p w14:paraId="0FF9B40E">
                  <w:pPr>
                    <w:spacing w:line="360" w:lineRule="exact"/>
                    <w:jc w:val="center"/>
                    <w:rPr>
                      <w:rFonts w:hint="default" w:ascii="Times New Roman" w:hAnsi="Times New Roman" w:eastAsia="宋体" w:cs="Times New Roman"/>
                      <w:color w:val="auto"/>
                      <w:kern w:val="0"/>
                      <w:szCs w:val="21"/>
                    </w:rPr>
                  </w:pPr>
                </w:p>
              </w:tc>
              <w:tc>
                <w:tcPr>
                  <w:tcW w:w="723" w:type="pct"/>
                  <w:tcBorders>
                    <w:tl2br w:val="nil"/>
                    <w:tr2bl w:val="nil"/>
                  </w:tcBorders>
                  <w:shd w:val="clear" w:color="auto" w:fill="auto"/>
                  <w:vAlign w:val="center"/>
                </w:tcPr>
                <w:p w14:paraId="28C3744D">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1.165 </w:t>
                  </w:r>
                </w:p>
              </w:tc>
              <w:tc>
                <w:tcPr>
                  <w:tcW w:w="654" w:type="pct"/>
                  <w:tcBorders>
                    <w:tl2br w:val="nil"/>
                    <w:tr2bl w:val="nil"/>
                  </w:tcBorders>
                  <w:shd w:val="clear" w:color="auto" w:fill="auto"/>
                  <w:vAlign w:val="center"/>
                </w:tcPr>
                <w:p w14:paraId="773484F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0.023 </w:t>
                  </w:r>
                </w:p>
              </w:tc>
              <w:tc>
                <w:tcPr>
                  <w:tcW w:w="679" w:type="pct"/>
                  <w:tcBorders>
                    <w:tl2br w:val="nil"/>
                    <w:tr2bl w:val="nil"/>
                  </w:tcBorders>
                  <w:shd w:val="clear" w:color="auto" w:fill="auto"/>
                  <w:vAlign w:val="center"/>
                </w:tcPr>
                <w:p w14:paraId="6EBF0443">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0.112 </w:t>
                  </w:r>
                </w:p>
              </w:tc>
              <w:tc>
                <w:tcPr>
                  <w:tcW w:w="668" w:type="pct"/>
                  <w:tcBorders>
                    <w:tl2br w:val="nil"/>
                    <w:tr2bl w:val="nil"/>
                  </w:tcBorders>
                  <w:shd w:val="clear" w:color="auto" w:fill="auto"/>
                  <w:vAlign w:val="center"/>
                </w:tcPr>
                <w:p w14:paraId="0F06ACDD">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20</w:t>
                  </w:r>
                </w:p>
              </w:tc>
              <w:tc>
                <w:tcPr>
                  <w:tcW w:w="536" w:type="pct"/>
                  <w:tcBorders>
                    <w:tl2br w:val="nil"/>
                    <w:tr2bl w:val="nil"/>
                  </w:tcBorders>
                  <w:shd w:val="clear" w:color="auto" w:fill="auto"/>
                  <w:vAlign w:val="center"/>
                </w:tcPr>
                <w:p w14:paraId="13D9C09D">
                  <w:pPr>
                    <w:keepNext w:val="0"/>
                    <w:keepLines w:val="0"/>
                    <w:pageBreakBefore w:val="0"/>
                    <w:widowControl w:val="0"/>
                    <w:kinsoku/>
                    <w:wordWrap/>
                    <w:overflowPunct/>
                    <w:topLinePunct w:val="0"/>
                    <w:autoSpaceDE/>
                    <w:autoSpaceDN/>
                    <w:bidi w:val="0"/>
                    <w:spacing w:line="360" w:lineRule="exac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kern w:val="0"/>
                      <w:sz w:val="21"/>
                      <w:szCs w:val="21"/>
                      <w:lang w:val="en-US" w:eastAsia="zh-CN"/>
                    </w:rPr>
                    <w:t>1</w:t>
                  </w:r>
                </w:p>
              </w:tc>
            </w:tr>
          </w:tbl>
          <w:p w14:paraId="6244FCA8">
            <w:pPr>
              <w:widowControl w:val="0"/>
              <w:spacing w:beforeLines="0" w:afterLines="0" w:line="500" w:lineRule="exact"/>
              <w:ind w:firstLine="440" w:firstLineChars="200"/>
              <w:jc w:val="left"/>
              <w:rPr>
                <w:rFonts w:hint="default" w:ascii="Times New Roman" w:hAnsi="Times New Roman" w:eastAsia="宋体" w:cs="Times New Roman"/>
                <w:b w:val="0"/>
                <w:bCs w:val="0"/>
                <w:color w:val="auto"/>
                <w:kern w:val="24"/>
                <w:sz w:val="22"/>
                <w:szCs w:val="22"/>
                <w:lang w:val="en-US" w:eastAsia="zh-CN" w:bidi="ar-SA"/>
              </w:rPr>
            </w:pPr>
            <w:r>
              <w:rPr>
                <w:rFonts w:hint="default" w:ascii="Times New Roman" w:hAnsi="Times New Roman" w:eastAsia="宋体" w:cs="Times New Roman"/>
                <w:b w:val="0"/>
                <w:bCs w:val="0"/>
                <w:color w:val="auto"/>
                <w:kern w:val="24"/>
                <w:sz w:val="22"/>
                <w:szCs w:val="22"/>
                <w:lang w:val="en-US" w:eastAsia="zh-CN" w:bidi="ar-SA"/>
              </w:rPr>
              <w:t>由上表可以看出，技改项目产生的</w:t>
            </w:r>
            <w:r>
              <w:rPr>
                <w:rFonts w:hint="eastAsia" w:cs="Times New Roman"/>
                <w:color w:val="auto"/>
                <w:sz w:val="22"/>
                <w:szCs w:val="22"/>
                <w:lang w:eastAsia="zh-CN"/>
              </w:rPr>
              <w:t>挥发性有机物</w:t>
            </w:r>
            <w:r>
              <w:rPr>
                <w:rFonts w:hint="default" w:ascii="Times New Roman" w:hAnsi="Times New Roman" w:eastAsia="宋体" w:cs="Times New Roman"/>
                <w:b w:val="0"/>
                <w:bCs w:val="0"/>
                <w:color w:val="auto"/>
                <w:kern w:val="24"/>
                <w:sz w:val="22"/>
                <w:szCs w:val="22"/>
                <w:lang w:val="en-US" w:eastAsia="zh-CN" w:bidi="ar-SA"/>
              </w:rPr>
              <w:t>、</w:t>
            </w:r>
            <w:r>
              <w:rPr>
                <w:rFonts w:hint="eastAsia" w:cs="Times New Roman"/>
                <w:b w:val="0"/>
                <w:bCs w:val="0"/>
                <w:color w:val="auto"/>
                <w:kern w:val="24"/>
                <w:sz w:val="22"/>
                <w:szCs w:val="22"/>
                <w:lang w:val="en-US" w:eastAsia="zh-CN" w:bidi="ar-SA"/>
              </w:rPr>
              <w:t>甲苯、</w:t>
            </w:r>
            <w:r>
              <w:rPr>
                <w:rFonts w:hint="default" w:ascii="Times New Roman" w:hAnsi="Times New Roman" w:eastAsia="宋体" w:cs="Times New Roman"/>
                <w:b w:val="0"/>
                <w:bCs w:val="0"/>
                <w:color w:val="auto"/>
                <w:kern w:val="24"/>
                <w:sz w:val="22"/>
                <w:szCs w:val="22"/>
                <w:lang w:val="en-US" w:eastAsia="zh-CN" w:bidi="ar-SA"/>
              </w:rPr>
              <w:t>二甲苯以及</w:t>
            </w:r>
            <w:r>
              <w:rPr>
                <w:rFonts w:hint="eastAsia" w:cs="Times New Roman"/>
                <w:b w:val="0"/>
                <w:bCs w:val="0"/>
                <w:color w:val="auto"/>
                <w:kern w:val="24"/>
                <w:sz w:val="22"/>
                <w:szCs w:val="22"/>
                <w:lang w:val="en-US" w:eastAsia="zh-CN" w:bidi="ar-SA"/>
              </w:rPr>
              <w:t>配</w:t>
            </w:r>
            <w:r>
              <w:rPr>
                <w:rFonts w:hint="default" w:ascii="Times New Roman" w:hAnsi="Times New Roman" w:eastAsia="宋体" w:cs="Times New Roman"/>
                <w:b w:val="0"/>
                <w:bCs w:val="0"/>
                <w:color w:val="auto"/>
                <w:kern w:val="24"/>
                <w:sz w:val="22"/>
                <w:szCs w:val="22"/>
                <w:lang w:val="en-US" w:eastAsia="zh-CN" w:bidi="ar-SA"/>
              </w:rPr>
              <w:t>料、混炼产生的颗粒物</w:t>
            </w:r>
            <w:r>
              <w:rPr>
                <w:rFonts w:hint="default" w:ascii="Times New Roman" w:hAnsi="Times New Roman" w:cs="Times New Roman"/>
                <w:b w:val="0"/>
                <w:bCs w:val="0"/>
                <w:color w:val="auto"/>
                <w:kern w:val="24"/>
                <w:sz w:val="22"/>
                <w:szCs w:val="22"/>
                <w:lang w:val="en-US" w:eastAsia="zh-CN" w:bidi="ar-SA"/>
              </w:rPr>
              <w:t>满足</w:t>
            </w:r>
            <w:r>
              <w:rPr>
                <w:rFonts w:hint="default" w:ascii="Times New Roman" w:hAnsi="Times New Roman" w:eastAsia="宋体" w:cs="Times New Roman"/>
                <w:b w:val="0"/>
                <w:bCs w:val="0"/>
                <w:color w:val="auto"/>
                <w:kern w:val="24"/>
                <w:sz w:val="22"/>
                <w:szCs w:val="22"/>
                <w:lang w:val="en-US" w:eastAsia="zh-CN" w:bidi="ar-SA"/>
              </w:rPr>
              <w:t>《橡胶制品工业污染物排放标准》（GB27632-2011）表5中排放限值要求，硫化氢</w:t>
            </w:r>
            <w:r>
              <w:rPr>
                <w:rFonts w:hint="default" w:ascii="Times New Roman" w:hAnsi="Times New Roman" w:cs="Times New Roman"/>
                <w:b w:val="0"/>
                <w:bCs w:val="0"/>
                <w:color w:val="auto"/>
                <w:kern w:val="24"/>
                <w:sz w:val="22"/>
                <w:szCs w:val="22"/>
                <w:lang w:val="en-US" w:eastAsia="zh-CN" w:bidi="ar-SA"/>
              </w:rPr>
              <w:t>满足</w:t>
            </w:r>
            <w:r>
              <w:rPr>
                <w:rFonts w:hint="default" w:ascii="Times New Roman" w:hAnsi="Times New Roman" w:eastAsia="宋体" w:cs="Times New Roman"/>
                <w:b w:val="0"/>
                <w:bCs w:val="0"/>
                <w:color w:val="auto"/>
                <w:kern w:val="24"/>
                <w:sz w:val="22"/>
                <w:szCs w:val="22"/>
                <w:lang w:val="en-US" w:eastAsia="zh-CN" w:bidi="ar-SA"/>
              </w:rPr>
              <w:t>《恶臭污染物排放标准》（GB14554-93）表2中排放限值要求，</w:t>
            </w:r>
            <w:r>
              <w:rPr>
                <w:rFonts w:hint="eastAsia" w:cs="Times New Roman"/>
                <w:b w:val="0"/>
                <w:bCs w:val="0"/>
                <w:color w:val="auto"/>
                <w:kern w:val="24"/>
                <w:sz w:val="22"/>
                <w:szCs w:val="22"/>
                <w:lang w:val="en-US" w:eastAsia="zh-CN" w:bidi="ar-SA"/>
              </w:rPr>
              <w:t>磨边、</w:t>
            </w:r>
            <w:r>
              <w:rPr>
                <w:rFonts w:hint="default" w:ascii="Times New Roman" w:hAnsi="Times New Roman" w:eastAsia="宋体" w:cs="Times New Roman"/>
                <w:b w:val="0"/>
                <w:bCs w:val="0"/>
                <w:color w:val="auto"/>
                <w:kern w:val="24"/>
                <w:sz w:val="22"/>
                <w:szCs w:val="22"/>
                <w:lang w:val="en-US" w:eastAsia="zh-CN" w:bidi="ar-SA"/>
              </w:rPr>
              <w:t>粗磨和精磨过程中产生的颗粒物</w:t>
            </w:r>
            <w:r>
              <w:rPr>
                <w:rFonts w:hint="default" w:ascii="Times New Roman" w:hAnsi="Times New Roman" w:cs="Times New Roman"/>
                <w:b w:val="0"/>
                <w:bCs w:val="0"/>
                <w:color w:val="auto"/>
                <w:kern w:val="24"/>
                <w:sz w:val="22"/>
                <w:szCs w:val="22"/>
                <w:lang w:val="en-US" w:eastAsia="zh-CN" w:bidi="ar-SA"/>
              </w:rPr>
              <w:t>满足</w:t>
            </w:r>
            <w:r>
              <w:rPr>
                <w:rFonts w:hint="default" w:ascii="Times New Roman" w:hAnsi="Times New Roman" w:eastAsia="宋体" w:cs="Times New Roman"/>
                <w:b w:val="0"/>
                <w:bCs w:val="0"/>
                <w:color w:val="auto"/>
                <w:kern w:val="24"/>
                <w:sz w:val="22"/>
                <w:szCs w:val="22"/>
                <w:lang w:val="en-US" w:eastAsia="zh-CN" w:bidi="ar-SA"/>
              </w:rPr>
              <w:t>《大气污染物综合排放标准》（DB32/4041-2021</w:t>
            </w:r>
            <w:r>
              <w:rPr>
                <w:rFonts w:hint="eastAsia" w:cs="Times New Roman"/>
                <w:b w:val="0"/>
                <w:bCs w:val="0"/>
                <w:color w:val="auto"/>
                <w:kern w:val="24"/>
                <w:sz w:val="22"/>
                <w:szCs w:val="22"/>
                <w:lang w:val="en-US" w:eastAsia="zh-CN" w:bidi="ar-SA"/>
              </w:rPr>
              <w:t>）</w:t>
            </w:r>
            <w:r>
              <w:rPr>
                <w:rFonts w:hint="default" w:ascii="Times New Roman" w:hAnsi="Times New Roman" w:eastAsia="宋体" w:cs="Times New Roman"/>
                <w:b w:val="0"/>
                <w:bCs w:val="0"/>
                <w:color w:val="auto"/>
                <w:kern w:val="24"/>
                <w:sz w:val="22"/>
                <w:szCs w:val="22"/>
                <w:lang w:val="en-US" w:eastAsia="zh-CN" w:bidi="ar-SA"/>
              </w:rPr>
              <w:t>表1中排放限值要求</w:t>
            </w:r>
            <w:r>
              <w:rPr>
                <w:rFonts w:hint="default" w:ascii="Times New Roman" w:hAnsi="Times New Roman" w:cs="Times New Roman"/>
                <w:b w:val="0"/>
                <w:bCs w:val="0"/>
                <w:color w:val="auto"/>
                <w:kern w:val="24"/>
                <w:sz w:val="22"/>
                <w:szCs w:val="22"/>
                <w:lang w:val="en-US" w:eastAsia="zh-CN" w:bidi="ar-SA"/>
              </w:rPr>
              <w:t>。</w:t>
            </w:r>
          </w:p>
          <w:p w14:paraId="03D04421">
            <w:pPr>
              <w:widowControl w:val="0"/>
              <w:spacing w:before="0" w:after="0" w:line="500" w:lineRule="exact"/>
              <w:ind w:firstLine="442"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⑵无组织废气</w:t>
            </w:r>
          </w:p>
          <w:p w14:paraId="535F9195">
            <w:pPr>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default" w:ascii="Times New Roman" w:hAnsi="Times New Roman" w:eastAsia="宋体" w:cs="Times New Roman"/>
                <w:color w:val="auto"/>
                <w:sz w:val="22"/>
                <w:szCs w:val="22"/>
              </w:rPr>
              <w:t>本项目无组织排放的废气主要是生产过程中未被收集的废气，在加强管理，加强车间密闭，规范设置原料库等措施的前提下，可确保</w:t>
            </w:r>
            <w:r>
              <w:rPr>
                <w:rFonts w:hint="eastAsia" w:cs="Times New Roman"/>
                <w:color w:val="auto"/>
                <w:sz w:val="22"/>
                <w:szCs w:val="22"/>
                <w:lang w:eastAsia="zh-CN"/>
              </w:rPr>
              <w:t>挥发性有机物、</w:t>
            </w:r>
            <w:r>
              <w:rPr>
                <w:rFonts w:hint="eastAsia" w:ascii="Times New Roman" w:hAnsi="Times New Roman" w:eastAsia="宋体" w:cs="Times New Roman"/>
                <w:color w:val="auto"/>
                <w:sz w:val="22"/>
                <w:szCs w:val="22"/>
                <w:lang w:eastAsia="zh-CN"/>
              </w:rPr>
              <w:t>硫化氢</w:t>
            </w:r>
            <w:r>
              <w:rPr>
                <w:rFonts w:hint="default" w:ascii="Times New Roman" w:hAnsi="Times New Roman" w:eastAsia="宋体" w:cs="Times New Roman"/>
                <w:color w:val="auto"/>
                <w:sz w:val="22"/>
                <w:szCs w:val="22"/>
              </w:rPr>
              <w:t>、</w:t>
            </w:r>
            <w:r>
              <w:rPr>
                <w:rFonts w:hint="eastAsia" w:cs="Times New Roman"/>
                <w:color w:val="auto"/>
                <w:sz w:val="22"/>
                <w:szCs w:val="22"/>
                <w:lang w:eastAsia="zh-CN"/>
              </w:rPr>
              <w:t>甲苯、</w:t>
            </w:r>
            <w:r>
              <w:rPr>
                <w:rFonts w:hint="eastAsia" w:ascii="Times New Roman" w:hAnsi="Times New Roman" w:eastAsia="宋体" w:cs="Times New Roman"/>
                <w:color w:val="auto"/>
                <w:sz w:val="22"/>
                <w:szCs w:val="22"/>
                <w:lang w:eastAsia="zh-CN"/>
              </w:rPr>
              <w:t>二甲苯、颗粒物</w:t>
            </w:r>
            <w:r>
              <w:rPr>
                <w:rFonts w:hint="default" w:ascii="Times New Roman" w:hAnsi="Times New Roman" w:eastAsia="宋体" w:cs="Times New Roman"/>
                <w:color w:val="auto"/>
                <w:sz w:val="22"/>
                <w:szCs w:val="22"/>
              </w:rPr>
              <w:t>厂界无组织排放达到</w:t>
            </w:r>
            <w:r>
              <w:rPr>
                <w:rFonts w:hint="default" w:ascii="Times New Roman" w:hAnsi="Times New Roman" w:eastAsia="宋体" w:cs="Times New Roman"/>
                <w:color w:val="auto"/>
                <w:sz w:val="22"/>
                <w:szCs w:val="22"/>
                <w:lang w:val="en-US" w:eastAsia="zh-CN"/>
              </w:rPr>
              <w:t>《橡胶制品工业污染物排放标准》（GB27632-2011）表6中排放限值要求</w:t>
            </w:r>
            <w:r>
              <w:rPr>
                <w:rFonts w:hint="eastAsia" w:cs="Times New Roman"/>
                <w:color w:val="auto"/>
                <w:sz w:val="22"/>
                <w:szCs w:val="22"/>
                <w:lang w:val="en-US" w:eastAsia="zh-CN"/>
              </w:rPr>
              <w:t>；硫化氢厂界无组织排放达到《恶臭污染物排放标准》（GB14554-93）表1中“二级 新改扩建”排放限值要求</w:t>
            </w:r>
            <w:r>
              <w:rPr>
                <w:rFonts w:hint="default" w:ascii="Times New Roman" w:hAnsi="Times New Roman" w:eastAsia="宋体" w:cs="Times New Roman"/>
                <w:color w:val="auto"/>
                <w:sz w:val="22"/>
                <w:szCs w:val="22"/>
              </w:rPr>
              <w:t>。</w:t>
            </w:r>
          </w:p>
          <w:p w14:paraId="38262B45">
            <w:pPr>
              <w:keepNext w:val="0"/>
              <w:keepLines w:val="0"/>
              <w:pageBreakBefore w:val="0"/>
              <w:widowControl w:val="0"/>
              <w:tabs>
                <w:tab w:val="left" w:pos="425"/>
              </w:tabs>
              <w:kinsoku/>
              <w:wordWrap/>
              <w:overflowPunct/>
              <w:topLinePunct w:val="0"/>
              <w:bidi w:val="0"/>
              <w:adjustRightInd w:val="0"/>
              <w:snapToGrid w:val="0"/>
              <w:spacing w:after="0" w:afterLines="0" w:line="500" w:lineRule="exact"/>
              <w:ind w:left="0" w:leftChars="0" w:firstLine="482"/>
              <w:jc w:val="left"/>
              <w:textAlignment w:val="auto"/>
              <w:outlineLvl w:val="9"/>
              <w:rPr>
                <w:rFonts w:hint="default" w:ascii="Times New Roman" w:hAnsi="Times New Roman" w:cs="Times New Roman" w:eastAsiaTheme="minorEastAsia"/>
                <w:b/>
                <w:color w:val="auto"/>
                <w:w w:val="100"/>
                <w:kern w:val="2"/>
                <w:sz w:val="22"/>
                <w:szCs w:val="22"/>
                <w:lang w:val="en-US" w:eastAsia="zh-CN" w:bidi="ar-SA"/>
              </w:rPr>
            </w:pPr>
            <w:r>
              <w:rPr>
                <w:rFonts w:hint="eastAsia" w:ascii="Times New Roman" w:hAnsi="Times New Roman" w:cs="Times New Roman" w:eastAsiaTheme="minorEastAsia"/>
                <w:b/>
                <w:color w:val="auto"/>
                <w:w w:val="100"/>
                <w:kern w:val="2"/>
                <w:sz w:val="22"/>
                <w:szCs w:val="22"/>
                <w:lang w:val="en-US" w:eastAsia="zh-CN" w:bidi="ar-SA"/>
              </w:rPr>
              <w:t>5.</w:t>
            </w:r>
            <w:r>
              <w:rPr>
                <w:rFonts w:hint="default" w:ascii="Times New Roman" w:hAnsi="Times New Roman" w:cs="Times New Roman" w:eastAsiaTheme="minorEastAsia"/>
                <w:b/>
                <w:color w:val="auto"/>
                <w:w w:val="100"/>
                <w:kern w:val="2"/>
                <w:sz w:val="22"/>
                <w:szCs w:val="22"/>
                <w:lang w:val="en-US" w:eastAsia="zh-CN" w:bidi="ar-SA"/>
              </w:rPr>
              <w:t>非正常工况废气排放量核算</w:t>
            </w:r>
          </w:p>
          <w:p w14:paraId="3AE9581D">
            <w:pPr>
              <w:keepNext w:val="0"/>
              <w:keepLines w:val="0"/>
              <w:pageBreakBefore w:val="0"/>
              <w:widowControl w:val="0"/>
              <w:kinsoku/>
              <w:wordWrap/>
              <w:overflowPunct/>
              <w:topLinePunct w:val="0"/>
              <w:bidi w:val="0"/>
              <w:adjustRightInd w:val="0"/>
              <w:snapToGrid w:val="0"/>
              <w:spacing w:line="500" w:lineRule="exact"/>
              <w:ind w:left="0" w:leftChars="0" w:firstLine="440" w:firstLineChars="200"/>
              <w:jc w:val="left"/>
              <w:textAlignment w:val="auto"/>
              <w:outlineLvl w:val="9"/>
              <w:rPr>
                <w:rFonts w:hint="default" w:ascii="Times New Roman" w:hAnsi="Times New Roman" w:cs="Times New Roman" w:eastAsiaTheme="minorEastAsia"/>
                <w:color w:val="auto"/>
                <w:w w:val="100"/>
                <w:sz w:val="22"/>
                <w:szCs w:val="22"/>
              </w:rPr>
            </w:pPr>
            <w:r>
              <w:rPr>
                <w:rFonts w:hint="default" w:ascii="Times New Roman" w:hAnsi="Times New Roman" w:cs="Times New Roman" w:eastAsiaTheme="minorEastAsia"/>
                <w:color w:val="auto"/>
                <w:w w:val="100"/>
                <w:sz w:val="22"/>
                <w:szCs w:val="22"/>
              </w:rPr>
              <w:t>本项目废气治理措施主要为布袋除尘装置和二级活性炭吸附装置，考虑布袋除尘装置破损、活性炭吸附饱和等非正常工况，废气未经处理即排入环境中，具体排放情况见表4.1-</w:t>
            </w:r>
            <w:r>
              <w:rPr>
                <w:rFonts w:hint="eastAsia" w:ascii="Times New Roman" w:hAnsi="Times New Roman" w:cs="Times New Roman" w:eastAsiaTheme="minorEastAsia"/>
                <w:color w:val="auto"/>
                <w:w w:val="100"/>
                <w:sz w:val="22"/>
                <w:szCs w:val="22"/>
                <w:lang w:val="en-US" w:eastAsia="zh-CN"/>
              </w:rPr>
              <w:t>5</w:t>
            </w:r>
            <w:r>
              <w:rPr>
                <w:rFonts w:hint="default" w:ascii="Times New Roman" w:hAnsi="Times New Roman" w:cs="Times New Roman" w:eastAsiaTheme="minorEastAsia"/>
                <w:color w:val="auto"/>
                <w:w w:val="100"/>
                <w:sz w:val="22"/>
                <w:szCs w:val="22"/>
              </w:rPr>
              <w:t>。</w:t>
            </w:r>
          </w:p>
          <w:p w14:paraId="33B27A42">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center"/>
              <w:textAlignment w:val="auto"/>
              <w:outlineLvl w:val="9"/>
              <w:rPr>
                <w:rFonts w:hint="default" w:ascii="Times New Roman" w:hAnsi="Times New Roman" w:cs="Times New Roman" w:eastAsiaTheme="minorEastAsia"/>
                <w:b/>
                <w:color w:val="auto"/>
                <w:w w:val="100"/>
                <w:kern w:val="0"/>
                <w:sz w:val="22"/>
                <w:szCs w:val="22"/>
                <w:lang w:val="en-US" w:eastAsia="zh-CN" w:bidi="ar-SA"/>
              </w:rPr>
            </w:pPr>
            <w:r>
              <w:rPr>
                <w:rFonts w:hint="default" w:ascii="Times New Roman" w:hAnsi="Times New Roman" w:cs="Times New Roman" w:eastAsiaTheme="minorEastAsia"/>
                <w:b/>
                <w:color w:val="auto"/>
                <w:w w:val="100"/>
                <w:kern w:val="0"/>
                <w:sz w:val="22"/>
                <w:szCs w:val="22"/>
                <w:lang w:val="en-US" w:eastAsia="zh-CN" w:bidi="ar-SA"/>
              </w:rPr>
              <w:t>表4</w:t>
            </w:r>
            <w:r>
              <w:rPr>
                <w:rFonts w:hint="eastAsia" w:ascii="Times New Roman" w:hAnsi="Times New Roman" w:cs="Times New Roman" w:eastAsiaTheme="minorEastAsia"/>
                <w:b/>
                <w:color w:val="auto"/>
                <w:w w:val="100"/>
                <w:kern w:val="0"/>
                <w:sz w:val="22"/>
                <w:szCs w:val="22"/>
                <w:lang w:val="en-US" w:eastAsia="zh-CN" w:bidi="ar-SA"/>
              </w:rPr>
              <w:t>.1</w:t>
            </w:r>
            <w:r>
              <w:rPr>
                <w:rFonts w:hint="default" w:ascii="Times New Roman" w:hAnsi="Times New Roman" w:cs="Times New Roman" w:eastAsiaTheme="minorEastAsia"/>
                <w:b/>
                <w:color w:val="auto"/>
                <w:w w:val="100"/>
                <w:kern w:val="0"/>
                <w:sz w:val="22"/>
                <w:szCs w:val="22"/>
                <w:lang w:val="en-US" w:eastAsia="zh-CN" w:bidi="ar-SA"/>
              </w:rPr>
              <w:t>-</w:t>
            </w:r>
            <w:r>
              <w:rPr>
                <w:rFonts w:hint="eastAsia" w:ascii="Times New Roman" w:hAnsi="Times New Roman" w:cs="Times New Roman" w:eastAsiaTheme="minorEastAsia"/>
                <w:b/>
                <w:color w:val="auto"/>
                <w:w w:val="100"/>
                <w:kern w:val="0"/>
                <w:sz w:val="22"/>
                <w:szCs w:val="22"/>
                <w:lang w:val="en-US" w:eastAsia="zh-CN" w:bidi="ar-SA"/>
              </w:rPr>
              <w:t>5</w:t>
            </w:r>
            <w:r>
              <w:rPr>
                <w:rFonts w:hint="default" w:ascii="Times New Roman" w:hAnsi="Times New Roman" w:cs="Times New Roman" w:eastAsiaTheme="minorEastAsia"/>
                <w:b/>
                <w:color w:val="auto"/>
                <w:w w:val="100"/>
                <w:kern w:val="0"/>
                <w:sz w:val="22"/>
                <w:szCs w:val="22"/>
                <w:lang w:val="en-US" w:eastAsia="zh-CN" w:bidi="ar-SA"/>
              </w:rPr>
              <w:t xml:space="preserve">  非正常排放参数表</w:t>
            </w:r>
          </w:p>
          <w:tbl>
            <w:tblPr>
              <w:tblStyle w:val="44"/>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832"/>
              <w:gridCol w:w="1359"/>
              <w:gridCol w:w="1614"/>
              <w:gridCol w:w="1385"/>
              <w:gridCol w:w="1094"/>
              <w:gridCol w:w="1004"/>
              <w:gridCol w:w="1076"/>
              <w:gridCol w:w="790"/>
            </w:tblGrid>
            <w:tr w14:paraId="4B271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top w:val="single" w:color="auto" w:sz="12" w:space="0"/>
                  </w:tcBorders>
                  <w:vAlign w:val="center"/>
                </w:tcPr>
                <w:p w14:paraId="0532A87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排放源</w:t>
                  </w:r>
                </w:p>
              </w:tc>
              <w:tc>
                <w:tcPr>
                  <w:tcW w:w="742" w:type="pct"/>
                  <w:tcBorders>
                    <w:top w:val="single" w:color="auto" w:sz="12" w:space="0"/>
                  </w:tcBorders>
                  <w:vAlign w:val="center"/>
                </w:tcPr>
                <w:p w14:paraId="0A889F05">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非正常排放原因</w:t>
                  </w:r>
                </w:p>
              </w:tc>
              <w:tc>
                <w:tcPr>
                  <w:tcW w:w="881" w:type="pct"/>
                  <w:tcBorders>
                    <w:top w:val="single" w:color="auto" w:sz="12" w:space="0"/>
                  </w:tcBorders>
                  <w:vAlign w:val="center"/>
                </w:tcPr>
                <w:p w14:paraId="451F83AB">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w:t>
                  </w:r>
                </w:p>
              </w:tc>
              <w:tc>
                <w:tcPr>
                  <w:tcW w:w="756" w:type="pct"/>
                  <w:tcBorders>
                    <w:top w:val="single" w:color="auto" w:sz="12" w:space="0"/>
                  </w:tcBorders>
                  <w:vAlign w:val="center"/>
                </w:tcPr>
                <w:p w14:paraId="0AA992B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非正常排放（mg/m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w:t>
                  </w:r>
                </w:p>
              </w:tc>
              <w:tc>
                <w:tcPr>
                  <w:tcW w:w="597" w:type="pct"/>
                  <w:tcBorders>
                    <w:top w:val="single" w:color="auto" w:sz="12" w:space="0"/>
                  </w:tcBorders>
                  <w:vAlign w:val="center"/>
                </w:tcPr>
                <w:p w14:paraId="6A3F214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非正常排放量（kg）</w:t>
                  </w:r>
                </w:p>
              </w:tc>
              <w:tc>
                <w:tcPr>
                  <w:tcW w:w="548" w:type="pct"/>
                  <w:tcBorders>
                    <w:top w:val="single" w:color="auto" w:sz="12" w:space="0"/>
                  </w:tcBorders>
                  <w:vAlign w:val="center"/>
                </w:tcPr>
                <w:p w14:paraId="08985A46">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单次持续时间（h）</w:t>
                  </w:r>
                </w:p>
              </w:tc>
              <w:tc>
                <w:tcPr>
                  <w:tcW w:w="587" w:type="pct"/>
                  <w:tcBorders>
                    <w:top w:val="single" w:color="auto" w:sz="12" w:space="0"/>
                  </w:tcBorders>
                  <w:vAlign w:val="center"/>
                </w:tcPr>
                <w:p w14:paraId="4BA6BED7">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年发生频次（次）</w:t>
                  </w:r>
                </w:p>
              </w:tc>
              <w:tc>
                <w:tcPr>
                  <w:tcW w:w="431" w:type="pct"/>
                  <w:tcBorders>
                    <w:top w:val="single" w:color="auto" w:sz="12" w:space="0"/>
                    <w:right w:val="nil"/>
                  </w:tcBorders>
                  <w:vAlign w:val="center"/>
                </w:tcPr>
                <w:p w14:paraId="6205E86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措施</w:t>
                  </w:r>
                </w:p>
              </w:tc>
            </w:tr>
            <w:tr w14:paraId="1F087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restart"/>
                  <w:tcBorders>
                    <w:left w:val="nil"/>
                  </w:tcBorders>
                  <w:vAlign w:val="center"/>
                </w:tcPr>
                <w:p w14:paraId="21C55D5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DA001</w:t>
                  </w:r>
                </w:p>
              </w:tc>
              <w:tc>
                <w:tcPr>
                  <w:tcW w:w="742" w:type="pct"/>
                  <w:vMerge w:val="restart"/>
                  <w:vAlign w:val="center"/>
                </w:tcPr>
                <w:p w14:paraId="494843D7">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活性炭吸附饱和</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25DFFB6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756" w:type="pct"/>
                  <w:shd w:val="clear" w:color="auto" w:fill="auto"/>
                  <w:vAlign w:val="center"/>
                </w:tcPr>
                <w:p w14:paraId="11C93C0F">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80.024</w:t>
                  </w:r>
                </w:p>
              </w:tc>
              <w:tc>
                <w:tcPr>
                  <w:tcW w:w="597" w:type="pct"/>
                  <w:shd w:val="clear" w:color="auto" w:fill="auto"/>
                  <w:vAlign w:val="center"/>
                </w:tcPr>
                <w:p w14:paraId="5AFEC972">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0.800</w:t>
                  </w:r>
                </w:p>
              </w:tc>
              <w:tc>
                <w:tcPr>
                  <w:tcW w:w="548" w:type="pct"/>
                  <w:vAlign w:val="center"/>
                </w:tcPr>
                <w:p w14:paraId="727F75BB">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vAlign w:val="center"/>
                </w:tcPr>
                <w:p w14:paraId="1F588767">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restart"/>
                  <w:tcBorders>
                    <w:right w:val="nil"/>
                  </w:tcBorders>
                  <w:vAlign w:val="center"/>
                </w:tcPr>
                <w:p w14:paraId="5585456B">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增加保养频次、每天安排专人检查，及时更换</w:t>
                  </w:r>
                </w:p>
              </w:tc>
            </w:tr>
            <w:tr w14:paraId="2C633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tcBorders>
                  <w:vAlign w:val="center"/>
                </w:tcPr>
                <w:p w14:paraId="383E1E0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vAlign w:val="center"/>
                </w:tcPr>
                <w:p w14:paraId="7AC9F16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881" w:type="pct"/>
                  <w:shd w:val="clear" w:color="auto" w:fill="auto"/>
                  <w:vAlign w:val="center"/>
                </w:tcPr>
                <w:p w14:paraId="58CEA975">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乙醇</w:t>
                  </w:r>
                </w:p>
              </w:tc>
              <w:tc>
                <w:tcPr>
                  <w:tcW w:w="756" w:type="pct"/>
                  <w:shd w:val="clear" w:color="auto" w:fill="auto"/>
                  <w:vAlign w:val="center"/>
                </w:tcPr>
                <w:p w14:paraId="56C9473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26.389 </w:t>
                  </w:r>
                </w:p>
              </w:tc>
              <w:tc>
                <w:tcPr>
                  <w:tcW w:w="597" w:type="pct"/>
                  <w:shd w:val="clear" w:color="auto" w:fill="auto"/>
                  <w:vAlign w:val="center"/>
                </w:tcPr>
                <w:p w14:paraId="583934A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0.264 </w:t>
                  </w:r>
                </w:p>
              </w:tc>
              <w:tc>
                <w:tcPr>
                  <w:tcW w:w="548" w:type="pct"/>
                  <w:shd w:val="clear" w:color="auto" w:fill="auto"/>
                  <w:vAlign w:val="center"/>
                </w:tcPr>
                <w:p w14:paraId="410F5F3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6260AD8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34F3C08D">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4E993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tcBorders>
                  <w:vAlign w:val="center"/>
                </w:tcPr>
                <w:p w14:paraId="589A95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vAlign w:val="center"/>
                </w:tcPr>
                <w:p w14:paraId="5108FF1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881" w:type="pct"/>
                  <w:shd w:val="clear" w:color="auto" w:fill="auto"/>
                  <w:vAlign w:val="center"/>
                </w:tcPr>
                <w:p w14:paraId="3B823A5A">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756" w:type="pct"/>
                  <w:shd w:val="clear" w:color="auto" w:fill="auto"/>
                  <w:vAlign w:val="center"/>
                </w:tcPr>
                <w:p w14:paraId="0EEBCC01">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166.171 </w:t>
                  </w:r>
                </w:p>
              </w:tc>
              <w:tc>
                <w:tcPr>
                  <w:tcW w:w="597" w:type="pct"/>
                  <w:shd w:val="clear" w:color="auto" w:fill="auto"/>
                  <w:vAlign w:val="center"/>
                </w:tcPr>
                <w:p w14:paraId="37D8E2D0">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1.662 </w:t>
                  </w:r>
                </w:p>
              </w:tc>
              <w:tc>
                <w:tcPr>
                  <w:tcW w:w="548" w:type="pct"/>
                  <w:vAlign w:val="center"/>
                </w:tcPr>
                <w:p w14:paraId="17EDCB8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vAlign w:val="center"/>
                </w:tcPr>
                <w:p w14:paraId="420595DC">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6D24875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54B7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restart"/>
                  <w:tcBorders>
                    <w:left w:val="nil"/>
                  </w:tcBorders>
                  <w:vAlign w:val="center"/>
                </w:tcPr>
                <w:p w14:paraId="19D1A6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DA002</w:t>
                  </w:r>
                </w:p>
              </w:tc>
              <w:tc>
                <w:tcPr>
                  <w:tcW w:w="742" w:type="pct"/>
                  <w:vMerge w:val="restart"/>
                  <w:vAlign w:val="center"/>
                </w:tcPr>
                <w:p w14:paraId="45F12902">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活性炭吸附饱和等</w:t>
                  </w:r>
                </w:p>
              </w:tc>
              <w:tc>
                <w:tcPr>
                  <w:tcW w:w="881" w:type="pct"/>
                  <w:shd w:val="clear" w:color="auto" w:fill="auto"/>
                  <w:vAlign w:val="center"/>
                </w:tcPr>
                <w:p w14:paraId="2201B15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756" w:type="pct"/>
                  <w:shd w:val="clear" w:color="auto" w:fill="auto"/>
                  <w:vAlign w:val="center"/>
                </w:tcPr>
                <w:p w14:paraId="5A673BE3">
                  <w:pPr>
                    <w:keepNext w:val="0"/>
                    <w:keepLines w:val="0"/>
                    <w:widowControl/>
                    <w:suppressLineNumbers w:val="0"/>
                    <w:jc w:val="center"/>
                    <w:textAlignment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30.440 </w:t>
                  </w:r>
                </w:p>
              </w:tc>
              <w:tc>
                <w:tcPr>
                  <w:tcW w:w="597" w:type="pct"/>
                  <w:shd w:val="clear" w:color="auto" w:fill="auto"/>
                  <w:vAlign w:val="center"/>
                </w:tcPr>
                <w:p w14:paraId="19D0EC4B">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0.609 </w:t>
                  </w:r>
                </w:p>
              </w:tc>
              <w:tc>
                <w:tcPr>
                  <w:tcW w:w="548" w:type="pct"/>
                  <w:vAlign w:val="center"/>
                </w:tcPr>
                <w:p w14:paraId="0A1BADC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vAlign w:val="center"/>
                </w:tcPr>
                <w:p w14:paraId="63C956F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28D8077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45C1D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tcBorders>
                  <w:vAlign w:val="center"/>
                </w:tcPr>
                <w:p w14:paraId="65F9E5F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vAlign w:val="center"/>
                </w:tcPr>
                <w:p w14:paraId="66868DF2">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eastAsia="zh-CN"/>
                    </w:rPr>
                  </w:pPr>
                </w:p>
              </w:tc>
              <w:tc>
                <w:tcPr>
                  <w:tcW w:w="881" w:type="pct"/>
                  <w:shd w:val="clear" w:color="auto" w:fill="auto"/>
                  <w:vAlign w:val="center"/>
                </w:tcPr>
                <w:p w14:paraId="728DEC5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756" w:type="pct"/>
                  <w:shd w:val="clear" w:color="auto" w:fill="auto"/>
                  <w:vAlign w:val="center"/>
                </w:tcPr>
                <w:p w14:paraId="1818E7A9">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1.979 </w:t>
                  </w:r>
                </w:p>
              </w:tc>
              <w:tc>
                <w:tcPr>
                  <w:tcW w:w="597" w:type="pct"/>
                  <w:shd w:val="clear" w:color="auto" w:fill="auto"/>
                  <w:vAlign w:val="center"/>
                </w:tcPr>
                <w:p w14:paraId="57925A9A">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0.040 </w:t>
                  </w:r>
                </w:p>
              </w:tc>
              <w:tc>
                <w:tcPr>
                  <w:tcW w:w="548" w:type="pct"/>
                  <w:shd w:val="clear" w:color="auto" w:fill="auto"/>
                  <w:vAlign w:val="center"/>
                </w:tcPr>
                <w:p w14:paraId="4C3763A7">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15E4C4D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690075F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09652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tcBorders>
                  <w:vAlign w:val="center"/>
                </w:tcPr>
                <w:p w14:paraId="652891FE">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vAlign w:val="center"/>
                </w:tcPr>
                <w:p w14:paraId="30E562ED">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881" w:type="pct"/>
                  <w:shd w:val="clear" w:color="auto" w:fill="auto"/>
                  <w:vAlign w:val="center"/>
                </w:tcPr>
                <w:p w14:paraId="77AADDD5">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756" w:type="pct"/>
                  <w:shd w:val="clear" w:color="auto" w:fill="auto"/>
                  <w:vAlign w:val="center"/>
                </w:tcPr>
                <w:p w14:paraId="236D73B0">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0.891 </w:t>
                  </w:r>
                </w:p>
              </w:tc>
              <w:tc>
                <w:tcPr>
                  <w:tcW w:w="597" w:type="pct"/>
                  <w:shd w:val="clear" w:color="auto" w:fill="auto"/>
                  <w:vAlign w:val="center"/>
                </w:tcPr>
                <w:p w14:paraId="7E1A846C">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0.018 </w:t>
                  </w:r>
                </w:p>
              </w:tc>
              <w:tc>
                <w:tcPr>
                  <w:tcW w:w="548" w:type="pct"/>
                  <w:shd w:val="clear" w:color="auto" w:fill="auto"/>
                  <w:vAlign w:val="center"/>
                </w:tcPr>
                <w:p w14:paraId="1ACF1777">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60168A3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31F611CE">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58A2C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18A9260E">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3</w:t>
                  </w:r>
                </w:p>
              </w:tc>
              <w:tc>
                <w:tcPr>
                  <w:tcW w:w="742" w:type="pct"/>
                  <w:vAlign w:val="center"/>
                </w:tcPr>
                <w:p w14:paraId="4C881A2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活性炭吸附饱和等</w:t>
                  </w:r>
                </w:p>
              </w:tc>
              <w:tc>
                <w:tcPr>
                  <w:tcW w:w="881" w:type="pct"/>
                  <w:shd w:val="clear" w:color="auto" w:fill="auto"/>
                  <w:vAlign w:val="center"/>
                </w:tcPr>
                <w:p w14:paraId="16B9A267">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756" w:type="pct"/>
                  <w:shd w:val="clear" w:color="auto" w:fill="auto"/>
                  <w:vAlign w:val="center"/>
                </w:tcPr>
                <w:p w14:paraId="1337E156">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415.882</w:t>
                  </w:r>
                </w:p>
              </w:tc>
              <w:tc>
                <w:tcPr>
                  <w:tcW w:w="597" w:type="pct"/>
                  <w:shd w:val="clear" w:color="auto" w:fill="auto"/>
                  <w:vAlign w:val="center"/>
                </w:tcPr>
                <w:p w14:paraId="7BBD23DD">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4.159</w:t>
                  </w:r>
                </w:p>
              </w:tc>
              <w:tc>
                <w:tcPr>
                  <w:tcW w:w="548" w:type="pct"/>
                  <w:shd w:val="clear" w:color="auto" w:fill="auto"/>
                  <w:vAlign w:val="center"/>
                </w:tcPr>
                <w:p w14:paraId="6937F07F">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4BE06ED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326594D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18C87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167A15F9">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4</w:t>
                  </w:r>
                </w:p>
              </w:tc>
              <w:tc>
                <w:tcPr>
                  <w:tcW w:w="742" w:type="pct"/>
                  <w:vAlign w:val="center"/>
                </w:tcPr>
                <w:p w14:paraId="1F664038">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755E82F6">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756" w:type="pct"/>
                  <w:shd w:val="clear" w:color="auto" w:fill="auto"/>
                  <w:vAlign w:val="center"/>
                </w:tcPr>
                <w:p w14:paraId="5375F2D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597" w:type="pct"/>
                  <w:shd w:val="clear" w:color="auto" w:fill="auto"/>
                  <w:vAlign w:val="center"/>
                </w:tcPr>
                <w:p w14:paraId="1A8650B8">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548" w:type="pct"/>
                  <w:shd w:val="clear" w:color="auto" w:fill="auto"/>
                  <w:vAlign w:val="center"/>
                </w:tcPr>
                <w:p w14:paraId="0429322E">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114D1516">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489ED3F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050F1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5F6EF8CF">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5</w:t>
                  </w:r>
                </w:p>
              </w:tc>
              <w:tc>
                <w:tcPr>
                  <w:tcW w:w="742" w:type="pct"/>
                  <w:vAlign w:val="center"/>
                </w:tcPr>
                <w:p w14:paraId="3D18DFA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7E372AC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756" w:type="pct"/>
                  <w:shd w:val="clear" w:color="auto" w:fill="auto"/>
                  <w:vAlign w:val="center"/>
                </w:tcPr>
                <w:p w14:paraId="1A7D18D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597" w:type="pct"/>
                  <w:shd w:val="clear" w:color="auto" w:fill="auto"/>
                  <w:vAlign w:val="center"/>
                </w:tcPr>
                <w:p w14:paraId="360D7FA1">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548" w:type="pct"/>
                  <w:shd w:val="clear" w:color="auto" w:fill="auto"/>
                  <w:vAlign w:val="center"/>
                </w:tcPr>
                <w:p w14:paraId="4E2A9C9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74929B7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3F159706">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04269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4201E5DB">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6</w:t>
                  </w:r>
                </w:p>
              </w:tc>
              <w:tc>
                <w:tcPr>
                  <w:tcW w:w="742" w:type="pct"/>
                  <w:vAlign w:val="center"/>
                </w:tcPr>
                <w:p w14:paraId="690F038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761AEFC3">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756" w:type="pct"/>
                  <w:shd w:val="clear" w:color="auto" w:fill="auto"/>
                  <w:vAlign w:val="center"/>
                </w:tcPr>
                <w:p w14:paraId="59721474">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597" w:type="pct"/>
                  <w:shd w:val="clear" w:color="auto" w:fill="auto"/>
                  <w:vAlign w:val="center"/>
                </w:tcPr>
                <w:p w14:paraId="631758AE">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548" w:type="pct"/>
                  <w:shd w:val="clear" w:color="auto" w:fill="auto"/>
                  <w:vAlign w:val="center"/>
                </w:tcPr>
                <w:p w14:paraId="7680870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53D0466C">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2B121F35">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4AB5E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6DDF4AC7">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7</w:t>
                  </w:r>
                </w:p>
              </w:tc>
              <w:tc>
                <w:tcPr>
                  <w:tcW w:w="742" w:type="pct"/>
                  <w:vAlign w:val="center"/>
                </w:tcPr>
                <w:p w14:paraId="7A569C4D">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0AE5CC8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756" w:type="pct"/>
                  <w:shd w:val="clear" w:color="auto" w:fill="auto"/>
                  <w:vAlign w:val="center"/>
                </w:tcPr>
                <w:p w14:paraId="5DD21CA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597" w:type="pct"/>
                  <w:shd w:val="clear" w:color="auto" w:fill="auto"/>
                  <w:vAlign w:val="center"/>
                </w:tcPr>
                <w:p w14:paraId="31483922">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548" w:type="pct"/>
                  <w:shd w:val="clear" w:color="auto" w:fill="auto"/>
                  <w:vAlign w:val="center"/>
                </w:tcPr>
                <w:p w14:paraId="6971DBA5">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7753DC5C">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30FDAD65">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0E2F8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tcBorders>
                    <w:left w:val="nil"/>
                  </w:tcBorders>
                  <w:vAlign w:val="center"/>
                </w:tcPr>
                <w:p w14:paraId="21897587">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8</w:t>
                  </w:r>
                </w:p>
              </w:tc>
              <w:tc>
                <w:tcPr>
                  <w:tcW w:w="742" w:type="pct"/>
                  <w:vAlign w:val="center"/>
                </w:tcPr>
                <w:p w14:paraId="4A825C6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布袋破损</w:t>
                  </w:r>
                  <w:r>
                    <w:rPr>
                      <w:rFonts w:hint="eastAsia" w:ascii="Times New Roman" w:hAnsi="Times New Roman" w:eastAsia="宋体" w:cs="Times New Roman"/>
                      <w:color w:val="auto"/>
                      <w:sz w:val="21"/>
                      <w:szCs w:val="21"/>
                      <w:lang w:eastAsia="zh-CN"/>
                    </w:rPr>
                    <w:t>等</w:t>
                  </w:r>
                </w:p>
              </w:tc>
              <w:tc>
                <w:tcPr>
                  <w:tcW w:w="881" w:type="pct"/>
                  <w:shd w:val="clear" w:color="auto" w:fill="auto"/>
                  <w:vAlign w:val="center"/>
                </w:tcPr>
                <w:p w14:paraId="729B20D9">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val="en-US" w:eastAsia="zh-CN" w:bidi="ar-SA"/>
                    </w:rPr>
                    <w:t>颗粒物</w:t>
                  </w:r>
                </w:p>
              </w:tc>
              <w:tc>
                <w:tcPr>
                  <w:tcW w:w="756" w:type="pct"/>
                  <w:shd w:val="clear" w:color="auto" w:fill="auto"/>
                  <w:vAlign w:val="center"/>
                </w:tcPr>
                <w:p w14:paraId="47A27240">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32.400</w:t>
                  </w:r>
                </w:p>
              </w:tc>
              <w:tc>
                <w:tcPr>
                  <w:tcW w:w="597" w:type="pct"/>
                  <w:shd w:val="clear" w:color="auto" w:fill="auto"/>
                  <w:vAlign w:val="center"/>
                </w:tcPr>
                <w:p w14:paraId="63D7245B">
                  <w:pPr>
                    <w:keepNext w:val="0"/>
                    <w:keepLines w:val="0"/>
                    <w:pageBreakBefore w:val="0"/>
                    <w:widowControl/>
                    <w:suppressLineNumbers w:val="0"/>
                    <w:kinsoku/>
                    <w:wordWrap/>
                    <w:overflowPunct/>
                    <w:topLinePunct w:val="0"/>
                    <w:autoSpaceDE/>
                    <w:autoSpaceDN/>
                    <w:bidi w:val="0"/>
                    <w:spacing w:line="360" w:lineRule="exac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0.324</w:t>
                  </w:r>
                </w:p>
              </w:tc>
              <w:tc>
                <w:tcPr>
                  <w:tcW w:w="548" w:type="pct"/>
                  <w:shd w:val="clear" w:color="auto" w:fill="auto"/>
                  <w:vAlign w:val="center"/>
                </w:tcPr>
                <w:p w14:paraId="6494408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62DC526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1F03CEAF">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66995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restart"/>
                  <w:tcBorders>
                    <w:left w:val="nil"/>
                  </w:tcBorders>
                  <w:vAlign w:val="center"/>
                </w:tcPr>
                <w:p w14:paraId="44B4C6CE">
                  <w:pPr>
                    <w:keepNext w:val="0"/>
                    <w:keepLines w:val="0"/>
                    <w:pageBreakBefore w:val="0"/>
                    <w:widowControl w:val="0"/>
                    <w:kinsoku/>
                    <w:wordWrap/>
                    <w:overflowPunct/>
                    <w:topLinePunct w:val="0"/>
                    <w:autoSpaceDE/>
                    <w:autoSpaceDN/>
                    <w:bidi w:val="0"/>
                    <w:spacing w:line="360" w:lineRule="exact"/>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DA00</w:t>
                  </w:r>
                  <w:r>
                    <w:rPr>
                      <w:rFonts w:hint="eastAsia" w:ascii="Times New Roman" w:hAnsi="Times New Roman" w:eastAsia="宋体" w:cs="Times New Roman"/>
                      <w:color w:val="auto"/>
                      <w:sz w:val="21"/>
                      <w:szCs w:val="21"/>
                      <w:lang w:val="en-US" w:eastAsia="zh-CN"/>
                    </w:rPr>
                    <w:t>9</w:t>
                  </w:r>
                </w:p>
              </w:tc>
              <w:tc>
                <w:tcPr>
                  <w:tcW w:w="742" w:type="pct"/>
                  <w:vMerge w:val="restart"/>
                  <w:vAlign w:val="center"/>
                </w:tcPr>
                <w:p w14:paraId="66FE205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活性炭吸附饱和等</w:t>
                  </w:r>
                </w:p>
              </w:tc>
              <w:tc>
                <w:tcPr>
                  <w:tcW w:w="881" w:type="pct"/>
                  <w:shd w:val="clear" w:color="auto" w:fill="auto"/>
                  <w:vAlign w:val="center"/>
                </w:tcPr>
                <w:p w14:paraId="6AEE45E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756" w:type="pct"/>
                  <w:shd w:val="clear" w:color="auto" w:fill="auto"/>
                  <w:vAlign w:val="center"/>
                </w:tcPr>
                <w:p w14:paraId="331644C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61.493 </w:t>
                  </w:r>
                </w:p>
              </w:tc>
              <w:tc>
                <w:tcPr>
                  <w:tcW w:w="597" w:type="pct"/>
                  <w:shd w:val="clear" w:color="auto" w:fill="auto"/>
                  <w:vAlign w:val="center"/>
                </w:tcPr>
                <w:p w14:paraId="0ED1307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1.230 </w:t>
                  </w:r>
                </w:p>
              </w:tc>
              <w:tc>
                <w:tcPr>
                  <w:tcW w:w="548" w:type="pct"/>
                  <w:shd w:val="clear" w:color="auto" w:fill="auto"/>
                  <w:vAlign w:val="center"/>
                </w:tcPr>
                <w:p w14:paraId="06905E0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38CE324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2553036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1E093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tcBorders>
                  <w:vAlign w:val="center"/>
                </w:tcPr>
                <w:p w14:paraId="3074B21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vAlign w:val="center"/>
                </w:tcPr>
                <w:p w14:paraId="46C6CF6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881" w:type="pct"/>
                  <w:shd w:val="clear" w:color="auto" w:fill="auto"/>
                  <w:vAlign w:val="center"/>
                </w:tcPr>
                <w:p w14:paraId="0DB589FD">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甲苯</w:t>
                  </w:r>
                </w:p>
              </w:tc>
              <w:tc>
                <w:tcPr>
                  <w:tcW w:w="756" w:type="pct"/>
                  <w:shd w:val="clear" w:color="auto" w:fill="auto"/>
                  <w:vAlign w:val="center"/>
                </w:tcPr>
                <w:p w14:paraId="16ACD69D">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44.531 </w:t>
                  </w:r>
                </w:p>
              </w:tc>
              <w:tc>
                <w:tcPr>
                  <w:tcW w:w="597" w:type="pct"/>
                  <w:shd w:val="clear" w:color="auto" w:fill="auto"/>
                  <w:vAlign w:val="center"/>
                </w:tcPr>
                <w:p w14:paraId="3C9E53D9">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0.891 </w:t>
                  </w:r>
                </w:p>
              </w:tc>
              <w:tc>
                <w:tcPr>
                  <w:tcW w:w="548" w:type="pct"/>
                  <w:shd w:val="clear" w:color="auto" w:fill="auto"/>
                  <w:vAlign w:val="center"/>
                </w:tcPr>
                <w:p w14:paraId="50FE11A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shd w:val="clear" w:color="auto" w:fill="auto"/>
                  <w:vAlign w:val="center"/>
                </w:tcPr>
                <w:p w14:paraId="3342F98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continue"/>
                  <w:tcBorders>
                    <w:right w:val="nil"/>
                  </w:tcBorders>
                  <w:vAlign w:val="center"/>
                </w:tcPr>
                <w:p w14:paraId="0B9D1A0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r w14:paraId="205E6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454" w:type="pct"/>
                  <w:vMerge w:val="continue"/>
                  <w:tcBorders>
                    <w:left w:val="nil"/>
                    <w:bottom w:val="single" w:color="auto" w:sz="12" w:space="0"/>
                  </w:tcBorders>
                  <w:vAlign w:val="center"/>
                </w:tcPr>
                <w:p w14:paraId="1F69C1F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742" w:type="pct"/>
                  <w:vMerge w:val="continue"/>
                  <w:tcBorders>
                    <w:bottom w:val="single" w:color="auto" w:sz="12" w:space="0"/>
                  </w:tcBorders>
                  <w:vAlign w:val="center"/>
                </w:tcPr>
                <w:p w14:paraId="46C0668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c>
                <w:tcPr>
                  <w:tcW w:w="881" w:type="pct"/>
                  <w:tcBorders>
                    <w:bottom w:val="single" w:color="auto" w:sz="12" w:space="0"/>
                  </w:tcBorders>
                  <w:shd w:val="clear" w:color="auto" w:fill="auto"/>
                  <w:vAlign w:val="center"/>
                </w:tcPr>
                <w:p w14:paraId="3133A30B">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756" w:type="pct"/>
                  <w:tcBorders>
                    <w:bottom w:val="single" w:color="auto" w:sz="12" w:space="0"/>
                  </w:tcBorders>
                  <w:shd w:val="clear" w:color="auto" w:fill="auto"/>
                  <w:vAlign w:val="center"/>
                </w:tcPr>
                <w:p w14:paraId="47CC39C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1.039 </w:t>
                  </w:r>
                </w:p>
              </w:tc>
              <w:tc>
                <w:tcPr>
                  <w:tcW w:w="597" w:type="pct"/>
                  <w:tcBorders>
                    <w:bottom w:val="single" w:color="auto" w:sz="12" w:space="0"/>
                  </w:tcBorders>
                  <w:shd w:val="clear" w:color="auto" w:fill="auto"/>
                  <w:vAlign w:val="center"/>
                </w:tcPr>
                <w:p w14:paraId="46E4757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0.021 </w:t>
                  </w:r>
                </w:p>
              </w:tc>
              <w:tc>
                <w:tcPr>
                  <w:tcW w:w="548" w:type="pct"/>
                  <w:tcBorders>
                    <w:bottom w:val="single" w:color="auto" w:sz="12" w:space="0"/>
                  </w:tcBorders>
                  <w:shd w:val="clear" w:color="auto" w:fill="auto"/>
                  <w:vAlign w:val="center"/>
                </w:tcPr>
                <w:p w14:paraId="3EAA399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587" w:type="pct"/>
                  <w:tcBorders>
                    <w:bottom w:val="single" w:color="auto" w:sz="12" w:space="0"/>
                  </w:tcBorders>
                  <w:shd w:val="clear" w:color="auto" w:fill="auto"/>
                  <w:vAlign w:val="center"/>
                </w:tcPr>
                <w:p w14:paraId="624ADD3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431" w:type="pct"/>
                  <w:vMerge w:val="continue"/>
                  <w:tcBorders>
                    <w:bottom w:val="single" w:color="auto" w:sz="12" w:space="0"/>
                    <w:right w:val="nil"/>
                  </w:tcBorders>
                  <w:vAlign w:val="center"/>
                </w:tcPr>
                <w:p w14:paraId="0292BA5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sz w:val="21"/>
                      <w:szCs w:val="21"/>
                    </w:rPr>
                  </w:pPr>
                </w:p>
              </w:tc>
            </w:tr>
          </w:tbl>
          <w:p w14:paraId="570F87B4">
            <w:pPr>
              <w:keepNext w:val="0"/>
              <w:keepLines w:val="0"/>
              <w:pageBreakBefore w:val="0"/>
              <w:widowControl w:val="0"/>
              <w:kinsoku/>
              <w:wordWrap/>
              <w:overflowPunct/>
              <w:topLinePunct w:val="0"/>
              <w:autoSpaceDE/>
              <w:autoSpaceDN/>
              <w:bidi w:val="0"/>
              <w:adjustRightInd/>
              <w:snapToGrid/>
              <w:spacing w:line="500" w:lineRule="exact"/>
              <w:ind w:firstLine="442"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
                <w:bCs/>
                <w:color w:val="auto"/>
                <w:sz w:val="22"/>
                <w:szCs w:val="22"/>
              </w:rPr>
              <w:t>本项目拟采取以下措施减少非正常工况的发生：</w:t>
            </w:r>
          </w:p>
          <w:p w14:paraId="0746336B">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①加强管理，对员工进行岗位培训，做好维护检查记录，实行岗位责任制；安排专人进行废气处理设施的日常维护，检查废气处理装置的有效性和设备的运行情况，确保废气处理系统正常运行；</w:t>
            </w:r>
          </w:p>
          <w:p w14:paraId="4A7F61E1">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②开、停、检修要有预案，有严密周全的维护计划，降低非正常排放几率，并使影响降至最小；</w:t>
            </w:r>
          </w:p>
          <w:p w14:paraId="5052E6F3">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③生产装置开启过程中，应先运行废气处理设施，后运行生产装置；停止过程中，应先停止生产装置，后停止废气处理设施，在确保废气能有效处理后再关闭废气处理设施；</w:t>
            </w:r>
          </w:p>
          <w:p w14:paraId="294ECBD7">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④车间应有备用电源及齐全的设备零部件，以确保停电或设备出现故障时，能够应急并及时更换，使废气做到达标排放；</w:t>
            </w:r>
          </w:p>
          <w:p w14:paraId="490F23A6">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⑤当发现废气处理装置异常时，应立即停产并及时采取应急处理措施，应尽量在1h内解决故障，确保不会对环境造成持续性影响。</w:t>
            </w:r>
          </w:p>
          <w:p w14:paraId="7C12F3E6">
            <w:pPr>
              <w:spacing w:line="500" w:lineRule="exact"/>
              <w:ind w:firstLine="442" w:firstLineChars="200"/>
              <w:jc w:val="left"/>
              <w:rPr>
                <w:rFonts w:hint="default" w:ascii="Times New Roman" w:hAnsi="Times New Roman" w:eastAsia="宋体" w:cs="Times New Roman"/>
                <w:color w:val="auto"/>
                <w:sz w:val="22"/>
                <w:szCs w:val="22"/>
              </w:rPr>
            </w:pPr>
            <w:r>
              <w:rPr>
                <w:rFonts w:hint="eastAsia" w:ascii="Times New Roman" w:hAnsi="Times New Roman" w:eastAsia="宋体" w:cs="Times New Roman"/>
                <w:b/>
                <w:bCs/>
                <w:color w:val="auto"/>
                <w:sz w:val="22"/>
                <w:szCs w:val="22"/>
                <w:lang w:val="en-US" w:eastAsia="zh-CN"/>
              </w:rPr>
              <w:t>6.</w:t>
            </w:r>
            <w:r>
              <w:rPr>
                <w:rFonts w:hint="default" w:ascii="Times New Roman" w:hAnsi="Times New Roman" w:eastAsia="宋体" w:cs="Times New Roman"/>
                <w:b/>
                <w:bCs/>
                <w:color w:val="auto"/>
                <w:sz w:val="22"/>
                <w:szCs w:val="22"/>
              </w:rPr>
              <w:t>卫生防护距离</w:t>
            </w:r>
          </w:p>
          <w:p w14:paraId="69CAC1F1">
            <w:pPr>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采用《大气有害物质无组织排放卫生防护距离推导技术导则》（GB/T39499-2020）中卫生防护距离初值的计算公式，计算本项目需要设置的卫生防护距离，以供参考。计算公式为：</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49"/>
            </w:tblGrid>
            <w:tr w14:paraId="028DE2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4" w:hRule="atLeast"/>
              </w:trPr>
              <w:tc>
                <w:tcPr>
                  <w:tcW w:w="8249" w:type="dxa"/>
                  <w:tcBorders>
                    <w:tl2br w:val="nil"/>
                    <w:tr2bl w:val="nil"/>
                  </w:tcBorders>
                </w:tcPr>
                <w:p w14:paraId="629DE0EB">
                  <w:pPr>
                    <w:widowControl w:val="0"/>
                    <w:spacing w:after="0" w:line="40" w:lineRule="exact"/>
                    <w:ind w:left="0" w:leftChars="0" w:firstLine="0"/>
                    <w:jc w:val="left"/>
                    <w:rPr>
                      <w:rFonts w:hint="default" w:ascii="Times New Roman" w:hAnsi="Times New Roman" w:eastAsia="宋体" w:cs="Times New Roman"/>
                      <w:color w:val="auto"/>
                      <w:kern w:val="0"/>
                      <w:sz w:val="22"/>
                      <w:szCs w:val="22"/>
                      <w:lang w:val="en-US" w:eastAsia="zh-CN" w:bidi="ar-SA"/>
                    </w:rPr>
                  </w:pPr>
                  <w:r>
                    <w:rPr>
                      <w:rFonts w:hint="default" w:ascii="Times New Roman" w:hAnsi="Times New Roman" w:eastAsia="宋体" w:cs="Times New Roman"/>
                      <w:b/>
                      <w:color w:val="auto"/>
                      <w:kern w:val="2"/>
                      <w:sz w:val="24"/>
                      <w:szCs w:val="22"/>
                      <w:lang w:val="en-US" w:eastAsia="zh-CN" w:bidi="ar-SA"/>
                    </w:rPr>
                    <w:pict>
                      <v:shape id="对象 61" o:spid="_x0000_s1060" o:spt="75" type="#_x0000_t75" style="position:absolute;left:0pt;margin-left:130.55pt;margin-top:4.9pt;height:36.7pt;width:128.35pt;mso-wrap-distance-bottom:0pt;mso-wrap-distance-top:0pt;z-index:251664384;mso-width-relative:page;mso-height-relative:page;" o:ole="t" filled="f" o:preferrelative="t" stroked="f" coordsize="21600,21600">
                        <v:path/>
                        <v:fill on="f" focussize="0,0"/>
                        <v:stroke on="f" joinstyle="miter"/>
                        <v:imagedata r:id="rId21" croptop="-8200f" cropbottom="-1269f" o:title=""/>
                        <o:lock v:ext="edit" aspectratio="t"/>
                        <w10:wrap type="topAndBottom"/>
                      </v:shape>
                      <o:OLEObject Type="Embed" ProgID="Equation.3" ShapeID="对象 61" DrawAspect="Content" ObjectID="_1468075730" r:id="rId20">
                        <o:LockedField>false</o:LockedField>
                      </o:OLEObject>
                    </w:pict>
                  </w:r>
                </w:p>
              </w:tc>
            </w:tr>
          </w:tbl>
          <w:p w14:paraId="4F7366E3">
            <w:pPr>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式中：Qc—大气有害物质的无组织排放量，kg/h；</w:t>
            </w:r>
          </w:p>
          <w:p w14:paraId="70CCB136">
            <w:pPr>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 xml:space="preserve">      C</w:t>
            </w:r>
            <w:r>
              <w:rPr>
                <w:rFonts w:hint="default" w:ascii="Times New Roman" w:hAnsi="Times New Roman" w:eastAsia="宋体" w:cs="Times New Roman"/>
                <w:color w:val="auto"/>
                <w:kern w:val="0"/>
                <w:sz w:val="22"/>
                <w:szCs w:val="22"/>
                <w:vertAlign w:val="subscript"/>
              </w:rPr>
              <w:t>m</w:t>
            </w:r>
            <w:r>
              <w:rPr>
                <w:rFonts w:hint="default" w:ascii="Times New Roman" w:hAnsi="Times New Roman" w:eastAsia="宋体" w:cs="Times New Roman"/>
                <w:color w:val="auto"/>
                <w:kern w:val="0"/>
                <w:sz w:val="22"/>
                <w:szCs w:val="22"/>
              </w:rPr>
              <w:t>—大气有害物质环境空气质量的标准限值，mg/m</w:t>
            </w:r>
            <w:r>
              <w:rPr>
                <w:rFonts w:hint="default" w:ascii="Times New Roman" w:hAnsi="Times New Roman" w:eastAsia="宋体" w:cs="Times New Roman"/>
                <w:color w:val="auto"/>
                <w:kern w:val="0"/>
                <w:sz w:val="22"/>
                <w:szCs w:val="22"/>
                <w:vertAlign w:val="superscript"/>
              </w:rPr>
              <w:t>3</w:t>
            </w:r>
            <w:r>
              <w:rPr>
                <w:rFonts w:hint="default" w:ascii="Times New Roman" w:hAnsi="Times New Roman" w:eastAsia="宋体" w:cs="Times New Roman"/>
                <w:color w:val="auto"/>
                <w:kern w:val="0"/>
                <w:sz w:val="22"/>
                <w:szCs w:val="22"/>
              </w:rPr>
              <w:t>；</w:t>
            </w:r>
          </w:p>
          <w:p w14:paraId="3CD1ACC8">
            <w:pPr>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 xml:space="preserve">      L—大气有害物质卫生防护距离初值，m；</w:t>
            </w:r>
          </w:p>
          <w:p w14:paraId="39F93968">
            <w:pPr>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 xml:space="preserve">      r—大气有害物质无组织排放源所在生产单元的等效半径，m；根据该生产单元占地面积S（m</w:t>
            </w:r>
            <w:r>
              <w:rPr>
                <w:rFonts w:hint="default" w:ascii="Times New Roman" w:hAnsi="Times New Roman" w:eastAsia="宋体" w:cs="Times New Roman"/>
                <w:color w:val="auto"/>
                <w:kern w:val="0"/>
                <w:sz w:val="22"/>
                <w:szCs w:val="22"/>
                <w:vertAlign w:val="superscript"/>
              </w:rPr>
              <w:t>2</w:t>
            </w:r>
            <w:r>
              <w:rPr>
                <w:rFonts w:hint="default" w:ascii="Times New Roman" w:hAnsi="Times New Roman" w:eastAsia="宋体" w:cs="Times New Roman"/>
                <w:color w:val="auto"/>
                <w:kern w:val="0"/>
                <w:sz w:val="22"/>
                <w:szCs w:val="22"/>
              </w:rPr>
              <w:t>）计算，见下式：</w:t>
            </w:r>
          </w:p>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314"/>
            </w:tblGrid>
            <w:tr w14:paraId="29F1A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314" w:type="dxa"/>
                  <w:tcBorders>
                    <w:tl2br w:val="nil"/>
                    <w:tr2bl w:val="nil"/>
                  </w:tcBorders>
                </w:tcPr>
                <w:p w14:paraId="3F7163AF">
                  <w:pPr>
                    <w:spacing w:line="500" w:lineRule="exact"/>
                    <w:jc w:val="left"/>
                    <w:rPr>
                      <w:rFonts w:hint="default" w:ascii="Times New Roman" w:hAnsi="Times New Roman" w:eastAsia="宋体" w:cs="Times New Roman"/>
                      <w:b/>
                      <w:color w:val="auto"/>
                      <w:sz w:val="24"/>
                    </w:rPr>
                  </w:pPr>
                  <w:r>
                    <w:rPr>
                      <w:rFonts w:hint="default" w:ascii="Times New Roman" w:hAnsi="Times New Roman" w:eastAsia="宋体" w:cs="Times New Roman"/>
                      <w:b/>
                      <w:color w:val="auto"/>
                      <w:sz w:val="24"/>
                    </w:rPr>
                    <w:pict>
                      <v:shape id="_x0000_s1061" o:spid="_x0000_s1061" o:spt="75" type="#_x0000_t75" style="position:absolute;left:0pt;margin-left:156.3pt;margin-top:2.65pt;height:43.25pt;width:44.85pt;mso-wrap-distance-bottom:0pt;mso-wrap-distance-left:9pt;mso-wrap-distance-right:9pt;mso-wrap-distance-top:0pt;z-index:251665408;mso-width-relative:page;mso-height-relative:page;" o:ole="t" filled="f" o:preferrelative="t" stroked="f" coordsize="21600,21600">
                        <v:path/>
                        <v:fill on="f" focussize="0,0"/>
                        <v:stroke on="f" joinstyle="miter"/>
                        <v:imagedata r:id="rId23" croptop="-8200f" cropbottom="-1269f" o:title=""/>
                        <o:lock v:ext="edit" aspectratio="t"/>
                        <w10:wrap type="square"/>
                      </v:shape>
                      <o:OLEObject Type="Embed" ProgID="Equation.3" ShapeID="_x0000_s1061" DrawAspect="Content" ObjectID="_1468075731" r:id="rId22">
                        <o:LockedField>false</o:LockedField>
                      </o:OLEObject>
                    </w:pict>
                  </w:r>
                </w:p>
              </w:tc>
            </w:tr>
          </w:tbl>
          <w:p w14:paraId="1FFB9DB5">
            <w:pPr>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A、B、C、D—卫生防护距离初值计算系数，无因次，根据工业企业所在地近5年平均风速及大气污染源构成类别从表4.1-</w:t>
            </w:r>
            <w:r>
              <w:rPr>
                <w:rFonts w:hint="eastAsia" w:ascii="Times New Roman" w:hAnsi="Times New Roman" w:eastAsia="宋体" w:cs="Times New Roman"/>
                <w:color w:val="auto"/>
                <w:kern w:val="0"/>
                <w:sz w:val="22"/>
                <w:szCs w:val="22"/>
                <w:lang w:val="en-US" w:eastAsia="zh-CN"/>
              </w:rPr>
              <w:t>6</w:t>
            </w:r>
            <w:r>
              <w:rPr>
                <w:rFonts w:hint="default" w:ascii="Times New Roman" w:hAnsi="Times New Roman" w:eastAsia="宋体" w:cs="Times New Roman"/>
                <w:color w:val="auto"/>
                <w:kern w:val="0"/>
                <w:sz w:val="22"/>
                <w:szCs w:val="22"/>
              </w:rPr>
              <w:t>查取。</w:t>
            </w:r>
          </w:p>
          <w:p w14:paraId="45850F4D">
            <w:pPr>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表4.1-</w:t>
            </w:r>
            <w:r>
              <w:rPr>
                <w:rFonts w:hint="eastAsia" w:ascii="Times New Roman" w:hAnsi="Times New Roman" w:eastAsia="宋体" w:cs="Times New Roman"/>
                <w:b/>
                <w:bCs/>
                <w:color w:val="auto"/>
                <w:kern w:val="0"/>
                <w:sz w:val="22"/>
                <w:szCs w:val="22"/>
                <w:lang w:val="en-US" w:eastAsia="zh-CN"/>
              </w:rPr>
              <w:t>6</w:t>
            </w:r>
            <w:r>
              <w:rPr>
                <w:rFonts w:hint="default" w:ascii="Times New Roman" w:hAnsi="Times New Roman" w:eastAsia="宋体" w:cs="Times New Roman"/>
                <w:b/>
                <w:bCs/>
                <w:color w:val="auto"/>
                <w:kern w:val="0"/>
                <w:sz w:val="22"/>
                <w:szCs w:val="22"/>
              </w:rPr>
              <w:t xml:space="preserve"> 卫生防护距离计算系数表</w:t>
            </w:r>
          </w:p>
          <w:tbl>
            <w:tblPr>
              <w:tblStyle w:val="44"/>
              <w:tblpPr w:leftFromText="180" w:rightFromText="180" w:vertAnchor="text" w:tblpXSpec="center" w:tblpY="1"/>
              <w:tblOverlap w:val="never"/>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546"/>
              <w:gridCol w:w="1115"/>
              <w:gridCol w:w="816"/>
              <w:gridCol w:w="822"/>
              <w:gridCol w:w="827"/>
              <w:gridCol w:w="823"/>
              <w:gridCol w:w="823"/>
              <w:gridCol w:w="823"/>
              <w:gridCol w:w="823"/>
              <w:gridCol w:w="824"/>
              <w:gridCol w:w="927"/>
            </w:tblGrid>
            <w:tr w14:paraId="107F88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restart"/>
                  <w:tcBorders>
                    <w:tl2br w:val="nil"/>
                    <w:tr2bl w:val="nil"/>
                  </w:tcBorders>
                  <w:vAlign w:val="center"/>
                </w:tcPr>
                <w:p w14:paraId="5D49EAA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计算系数</w:t>
                  </w:r>
                </w:p>
              </w:tc>
              <w:tc>
                <w:tcPr>
                  <w:tcW w:w="608" w:type="pct"/>
                  <w:vMerge w:val="restart"/>
                  <w:tcBorders>
                    <w:tl2br w:val="nil"/>
                    <w:tr2bl w:val="nil"/>
                  </w:tcBorders>
                  <w:vAlign w:val="center"/>
                </w:tcPr>
                <w:p w14:paraId="5BC33E7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工业企业所在地区近五年平</w:t>
                  </w:r>
                </w:p>
                <w:p w14:paraId="4610BD5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均风速</w:t>
                  </w:r>
                </w:p>
                <w:p w14:paraId="06BE5FA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（m/s）</w:t>
                  </w:r>
                </w:p>
              </w:tc>
              <w:tc>
                <w:tcPr>
                  <w:tcW w:w="4093" w:type="pct"/>
                  <w:gridSpan w:val="9"/>
                  <w:tcBorders>
                    <w:tl2br w:val="nil"/>
                    <w:tr2bl w:val="nil"/>
                  </w:tcBorders>
                  <w:vAlign w:val="center"/>
                </w:tcPr>
                <w:p w14:paraId="2E4E051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卫生防护距离</w:t>
                  </w:r>
                </w:p>
              </w:tc>
            </w:tr>
            <w:tr w14:paraId="13009D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28F3BD6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608" w:type="pct"/>
                  <w:vMerge w:val="continue"/>
                  <w:tcBorders>
                    <w:tl2br w:val="nil"/>
                    <w:tr2bl w:val="nil"/>
                  </w:tcBorders>
                  <w:vAlign w:val="center"/>
                </w:tcPr>
                <w:p w14:paraId="3E787DE8">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1344" w:type="pct"/>
                  <w:gridSpan w:val="3"/>
                  <w:tcBorders>
                    <w:tl2br w:val="nil"/>
                    <w:tr2bl w:val="nil"/>
                  </w:tcBorders>
                  <w:vAlign w:val="center"/>
                </w:tcPr>
                <w:p w14:paraId="1F86179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L≤1000</w:t>
                  </w:r>
                </w:p>
              </w:tc>
              <w:tc>
                <w:tcPr>
                  <w:tcW w:w="1347" w:type="pct"/>
                  <w:gridSpan w:val="3"/>
                  <w:tcBorders>
                    <w:tl2br w:val="nil"/>
                    <w:tr2bl w:val="nil"/>
                  </w:tcBorders>
                  <w:vAlign w:val="center"/>
                </w:tcPr>
                <w:p w14:paraId="2B3E2C0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1000＜L≤2000</w:t>
                  </w:r>
                </w:p>
              </w:tc>
              <w:tc>
                <w:tcPr>
                  <w:tcW w:w="1401" w:type="pct"/>
                  <w:gridSpan w:val="3"/>
                  <w:tcBorders>
                    <w:tl2br w:val="nil"/>
                    <w:tr2bl w:val="nil"/>
                  </w:tcBorders>
                  <w:vAlign w:val="center"/>
                </w:tcPr>
                <w:p w14:paraId="34F7322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&gt;2000</w:t>
                  </w:r>
                </w:p>
              </w:tc>
            </w:tr>
            <w:tr w14:paraId="097BC2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79D0AF9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608" w:type="pct"/>
                  <w:vMerge w:val="continue"/>
                  <w:tcBorders>
                    <w:tl2br w:val="nil"/>
                    <w:tr2bl w:val="nil"/>
                  </w:tcBorders>
                  <w:vAlign w:val="center"/>
                </w:tcPr>
                <w:p w14:paraId="4735280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4093" w:type="pct"/>
                  <w:gridSpan w:val="9"/>
                  <w:tcBorders>
                    <w:tl2br w:val="nil"/>
                    <w:tr2bl w:val="nil"/>
                  </w:tcBorders>
                  <w:vAlign w:val="center"/>
                </w:tcPr>
                <w:p w14:paraId="40DE4D0F">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工业企业大气污染源构成类别</w:t>
                  </w:r>
                </w:p>
              </w:tc>
            </w:tr>
            <w:tr w14:paraId="0A847E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32B1D1C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608" w:type="pct"/>
                  <w:vMerge w:val="continue"/>
                  <w:tcBorders>
                    <w:tl2br w:val="nil"/>
                    <w:tr2bl w:val="nil"/>
                  </w:tcBorders>
                  <w:vAlign w:val="center"/>
                </w:tcPr>
                <w:p w14:paraId="146E344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kern w:val="0"/>
                      <w:szCs w:val="21"/>
                    </w:rPr>
                  </w:pPr>
                </w:p>
              </w:tc>
              <w:tc>
                <w:tcPr>
                  <w:tcW w:w="445" w:type="pct"/>
                  <w:tcBorders>
                    <w:tl2br w:val="nil"/>
                    <w:tr2bl w:val="nil"/>
                  </w:tcBorders>
                  <w:vAlign w:val="center"/>
                </w:tcPr>
                <w:p w14:paraId="37D1C30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Ⅰ</w:t>
                  </w:r>
                </w:p>
              </w:tc>
              <w:tc>
                <w:tcPr>
                  <w:tcW w:w="448" w:type="pct"/>
                  <w:tcBorders>
                    <w:tl2br w:val="nil"/>
                    <w:tr2bl w:val="nil"/>
                  </w:tcBorders>
                  <w:vAlign w:val="center"/>
                </w:tcPr>
                <w:p w14:paraId="7933D81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Ⅱ</w:t>
                  </w:r>
                </w:p>
              </w:tc>
              <w:tc>
                <w:tcPr>
                  <w:tcW w:w="451" w:type="pct"/>
                  <w:tcBorders>
                    <w:tl2br w:val="nil"/>
                    <w:tr2bl w:val="nil"/>
                  </w:tcBorders>
                  <w:vAlign w:val="center"/>
                </w:tcPr>
                <w:p w14:paraId="1B697CFD">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Ⅲ</w:t>
                  </w:r>
                </w:p>
              </w:tc>
              <w:tc>
                <w:tcPr>
                  <w:tcW w:w="449" w:type="pct"/>
                  <w:tcBorders>
                    <w:tl2br w:val="nil"/>
                    <w:tr2bl w:val="nil"/>
                  </w:tcBorders>
                  <w:vAlign w:val="center"/>
                </w:tcPr>
                <w:p w14:paraId="15BD37C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Ⅰ</w:t>
                  </w:r>
                </w:p>
              </w:tc>
              <w:tc>
                <w:tcPr>
                  <w:tcW w:w="449" w:type="pct"/>
                  <w:tcBorders>
                    <w:tl2br w:val="nil"/>
                    <w:tr2bl w:val="nil"/>
                  </w:tcBorders>
                  <w:vAlign w:val="center"/>
                </w:tcPr>
                <w:p w14:paraId="7BFFFB6F">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Ⅱ</w:t>
                  </w:r>
                </w:p>
              </w:tc>
              <w:tc>
                <w:tcPr>
                  <w:tcW w:w="449" w:type="pct"/>
                  <w:tcBorders>
                    <w:tl2br w:val="nil"/>
                    <w:tr2bl w:val="nil"/>
                  </w:tcBorders>
                  <w:vAlign w:val="center"/>
                </w:tcPr>
                <w:p w14:paraId="5C36FC2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Ⅲ</w:t>
                  </w:r>
                </w:p>
              </w:tc>
              <w:tc>
                <w:tcPr>
                  <w:tcW w:w="449" w:type="pct"/>
                  <w:tcBorders>
                    <w:tl2br w:val="nil"/>
                    <w:tr2bl w:val="nil"/>
                  </w:tcBorders>
                  <w:vAlign w:val="center"/>
                </w:tcPr>
                <w:p w14:paraId="0A1732DF">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Ⅰ</w:t>
                  </w:r>
                </w:p>
              </w:tc>
              <w:tc>
                <w:tcPr>
                  <w:tcW w:w="449" w:type="pct"/>
                  <w:tcBorders>
                    <w:tl2br w:val="nil"/>
                    <w:tr2bl w:val="nil"/>
                  </w:tcBorders>
                  <w:vAlign w:val="center"/>
                </w:tcPr>
                <w:p w14:paraId="37B4E206">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Ⅱ</w:t>
                  </w:r>
                </w:p>
              </w:tc>
              <w:tc>
                <w:tcPr>
                  <w:tcW w:w="503" w:type="pct"/>
                  <w:tcBorders>
                    <w:tl2br w:val="nil"/>
                    <w:tr2bl w:val="nil"/>
                  </w:tcBorders>
                  <w:vAlign w:val="center"/>
                </w:tcPr>
                <w:p w14:paraId="09E301C3">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Ⅲ</w:t>
                  </w:r>
                </w:p>
              </w:tc>
            </w:tr>
            <w:tr w14:paraId="630995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restart"/>
                  <w:tcBorders>
                    <w:tl2br w:val="nil"/>
                    <w:tr2bl w:val="nil"/>
                  </w:tcBorders>
                  <w:vAlign w:val="center"/>
                </w:tcPr>
                <w:p w14:paraId="20D0CD30">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A</w:t>
                  </w:r>
                </w:p>
              </w:tc>
              <w:tc>
                <w:tcPr>
                  <w:tcW w:w="608" w:type="pct"/>
                  <w:tcBorders>
                    <w:tl2br w:val="nil"/>
                    <w:tr2bl w:val="nil"/>
                  </w:tcBorders>
                  <w:vAlign w:val="center"/>
                </w:tcPr>
                <w:p w14:paraId="5C01C48C">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26"/>
                      <w:kern w:val="2"/>
                      <w:sz w:val="21"/>
                      <w:szCs w:val="21"/>
                      <w:lang w:val="en-US" w:eastAsia="en-US" w:bidi="ar-SA"/>
                    </w:rPr>
                    <w:t>＜2</w:t>
                  </w:r>
                </w:p>
              </w:tc>
              <w:tc>
                <w:tcPr>
                  <w:tcW w:w="445" w:type="pct"/>
                  <w:tcBorders>
                    <w:tl2br w:val="nil"/>
                    <w:tr2bl w:val="nil"/>
                  </w:tcBorders>
                  <w:vAlign w:val="center"/>
                </w:tcPr>
                <w:p w14:paraId="010ABD26">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48" w:type="pct"/>
                  <w:tcBorders>
                    <w:tl2br w:val="nil"/>
                    <w:tr2bl w:val="nil"/>
                  </w:tcBorders>
                  <w:vAlign w:val="center"/>
                </w:tcPr>
                <w:p w14:paraId="70F82CFB">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51" w:type="pct"/>
                  <w:tcBorders>
                    <w:tl2br w:val="nil"/>
                    <w:tr2bl w:val="nil"/>
                  </w:tcBorders>
                  <w:vAlign w:val="center"/>
                </w:tcPr>
                <w:p w14:paraId="0E52755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49" w:type="pct"/>
                  <w:tcBorders>
                    <w:tl2br w:val="nil"/>
                    <w:tr2bl w:val="nil"/>
                  </w:tcBorders>
                  <w:vAlign w:val="center"/>
                </w:tcPr>
                <w:p w14:paraId="0624A185">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49" w:type="pct"/>
                  <w:tcBorders>
                    <w:tl2br w:val="nil"/>
                    <w:tr2bl w:val="nil"/>
                  </w:tcBorders>
                  <w:vAlign w:val="center"/>
                </w:tcPr>
                <w:p w14:paraId="2DE022E6">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49" w:type="pct"/>
                  <w:tcBorders>
                    <w:tl2br w:val="nil"/>
                    <w:tr2bl w:val="nil"/>
                  </w:tcBorders>
                  <w:vAlign w:val="center"/>
                </w:tcPr>
                <w:p w14:paraId="4671E989">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400</w:t>
                  </w:r>
                </w:p>
              </w:tc>
              <w:tc>
                <w:tcPr>
                  <w:tcW w:w="449" w:type="pct"/>
                  <w:tcBorders>
                    <w:tl2br w:val="nil"/>
                    <w:tr2bl w:val="nil"/>
                  </w:tcBorders>
                  <w:vAlign w:val="center"/>
                </w:tcPr>
                <w:p w14:paraId="7DF0D103">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3"/>
                      <w:szCs w:val="21"/>
                    </w:rPr>
                    <w:t>80</w:t>
                  </w:r>
                </w:p>
              </w:tc>
              <w:tc>
                <w:tcPr>
                  <w:tcW w:w="449" w:type="pct"/>
                  <w:tcBorders>
                    <w:tl2br w:val="nil"/>
                    <w:tr2bl w:val="nil"/>
                  </w:tcBorders>
                  <w:vAlign w:val="center"/>
                </w:tcPr>
                <w:p w14:paraId="00B2307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3"/>
                      <w:szCs w:val="21"/>
                    </w:rPr>
                    <w:t>80</w:t>
                  </w:r>
                </w:p>
              </w:tc>
              <w:tc>
                <w:tcPr>
                  <w:tcW w:w="503" w:type="pct"/>
                  <w:tcBorders>
                    <w:tl2br w:val="nil"/>
                    <w:tr2bl w:val="nil"/>
                  </w:tcBorders>
                  <w:vAlign w:val="center"/>
                </w:tcPr>
                <w:p w14:paraId="0124A74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3"/>
                      <w:szCs w:val="21"/>
                    </w:rPr>
                    <w:t>80</w:t>
                  </w:r>
                </w:p>
              </w:tc>
            </w:tr>
            <w:tr w14:paraId="3E5462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6E91FB9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p>
              </w:tc>
              <w:tc>
                <w:tcPr>
                  <w:tcW w:w="608" w:type="pct"/>
                  <w:tcBorders>
                    <w:tl2br w:val="nil"/>
                    <w:tr2bl w:val="nil"/>
                  </w:tcBorders>
                  <w:vAlign w:val="center"/>
                </w:tcPr>
                <w:p w14:paraId="76454D78">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2-4</w:t>
                  </w:r>
                </w:p>
              </w:tc>
              <w:tc>
                <w:tcPr>
                  <w:tcW w:w="445" w:type="pct"/>
                  <w:tcBorders>
                    <w:tl2br w:val="nil"/>
                    <w:tr2bl w:val="nil"/>
                  </w:tcBorders>
                  <w:vAlign w:val="center"/>
                </w:tcPr>
                <w:p w14:paraId="67EEAFAF">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700</w:t>
                  </w:r>
                </w:p>
              </w:tc>
              <w:tc>
                <w:tcPr>
                  <w:tcW w:w="448" w:type="pct"/>
                  <w:tcBorders>
                    <w:tl2br w:val="nil"/>
                    <w:tr2bl w:val="nil"/>
                  </w:tcBorders>
                  <w:vAlign w:val="center"/>
                </w:tcPr>
                <w:p w14:paraId="1560EA8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470</w:t>
                  </w:r>
                </w:p>
              </w:tc>
              <w:tc>
                <w:tcPr>
                  <w:tcW w:w="451" w:type="pct"/>
                  <w:tcBorders>
                    <w:tl2br w:val="nil"/>
                    <w:tr2bl w:val="nil"/>
                  </w:tcBorders>
                  <w:vAlign w:val="center"/>
                </w:tcPr>
                <w:p w14:paraId="520D9DE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350</w:t>
                  </w:r>
                </w:p>
              </w:tc>
              <w:tc>
                <w:tcPr>
                  <w:tcW w:w="449" w:type="pct"/>
                  <w:tcBorders>
                    <w:tl2br w:val="nil"/>
                    <w:tr2bl w:val="nil"/>
                  </w:tcBorders>
                  <w:vAlign w:val="center"/>
                </w:tcPr>
                <w:p w14:paraId="2BB2A5E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700</w:t>
                  </w:r>
                </w:p>
              </w:tc>
              <w:tc>
                <w:tcPr>
                  <w:tcW w:w="449" w:type="pct"/>
                  <w:tcBorders>
                    <w:tl2br w:val="nil"/>
                    <w:tr2bl w:val="nil"/>
                  </w:tcBorders>
                  <w:vAlign w:val="center"/>
                </w:tcPr>
                <w:p w14:paraId="3AEB7352">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470</w:t>
                  </w:r>
                </w:p>
              </w:tc>
              <w:tc>
                <w:tcPr>
                  <w:tcW w:w="449" w:type="pct"/>
                  <w:tcBorders>
                    <w:tl2br w:val="nil"/>
                    <w:tr2bl w:val="nil"/>
                  </w:tcBorders>
                  <w:vAlign w:val="center"/>
                </w:tcPr>
                <w:p w14:paraId="48DDC6E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350</w:t>
                  </w:r>
                </w:p>
              </w:tc>
              <w:tc>
                <w:tcPr>
                  <w:tcW w:w="449" w:type="pct"/>
                  <w:tcBorders>
                    <w:tl2br w:val="nil"/>
                    <w:tr2bl w:val="nil"/>
                  </w:tcBorders>
                  <w:vAlign w:val="center"/>
                </w:tcPr>
                <w:p w14:paraId="34FC4A0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380</w:t>
                  </w:r>
                </w:p>
              </w:tc>
              <w:tc>
                <w:tcPr>
                  <w:tcW w:w="449" w:type="pct"/>
                  <w:tcBorders>
                    <w:tl2br w:val="nil"/>
                    <w:tr2bl w:val="nil"/>
                  </w:tcBorders>
                  <w:vAlign w:val="center"/>
                </w:tcPr>
                <w:p w14:paraId="2C4B67BB">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250</w:t>
                  </w:r>
                </w:p>
              </w:tc>
              <w:tc>
                <w:tcPr>
                  <w:tcW w:w="503" w:type="pct"/>
                  <w:tcBorders>
                    <w:tl2br w:val="nil"/>
                    <w:tr2bl w:val="nil"/>
                  </w:tcBorders>
                  <w:vAlign w:val="center"/>
                </w:tcPr>
                <w:p w14:paraId="647F608B">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6"/>
                      <w:szCs w:val="21"/>
                    </w:rPr>
                    <w:t>190</w:t>
                  </w:r>
                </w:p>
              </w:tc>
            </w:tr>
            <w:tr w14:paraId="41D83C9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199E9A33">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p>
              </w:tc>
              <w:tc>
                <w:tcPr>
                  <w:tcW w:w="608" w:type="pct"/>
                  <w:tcBorders>
                    <w:tl2br w:val="nil"/>
                    <w:tr2bl w:val="nil"/>
                  </w:tcBorders>
                  <w:vAlign w:val="center"/>
                </w:tcPr>
                <w:p w14:paraId="3BB58E9C">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16"/>
                      <w:w w:val="110"/>
                      <w:kern w:val="2"/>
                      <w:sz w:val="21"/>
                      <w:szCs w:val="21"/>
                      <w:lang w:val="en-US" w:eastAsia="en-US" w:bidi="ar-SA"/>
                    </w:rPr>
                    <w:t>&gt;4</w:t>
                  </w:r>
                </w:p>
              </w:tc>
              <w:tc>
                <w:tcPr>
                  <w:tcW w:w="445" w:type="pct"/>
                  <w:tcBorders>
                    <w:tl2br w:val="nil"/>
                    <w:tr2bl w:val="nil"/>
                  </w:tcBorders>
                  <w:vAlign w:val="center"/>
                </w:tcPr>
                <w:p w14:paraId="3AF834F0">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530</w:t>
                  </w:r>
                </w:p>
              </w:tc>
              <w:tc>
                <w:tcPr>
                  <w:tcW w:w="448" w:type="pct"/>
                  <w:tcBorders>
                    <w:tl2br w:val="nil"/>
                    <w:tr2bl w:val="nil"/>
                  </w:tcBorders>
                  <w:vAlign w:val="center"/>
                </w:tcPr>
                <w:p w14:paraId="4685BBE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350</w:t>
                  </w:r>
                </w:p>
              </w:tc>
              <w:tc>
                <w:tcPr>
                  <w:tcW w:w="451" w:type="pct"/>
                  <w:tcBorders>
                    <w:tl2br w:val="nil"/>
                    <w:tr2bl w:val="nil"/>
                  </w:tcBorders>
                  <w:vAlign w:val="center"/>
                </w:tcPr>
                <w:p w14:paraId="7638D209">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260</w:t>
                  </w:r>
                </w:p>
              </w:tc>
              <w:tc>
                <w:tcPr>
                  <w:tcW w:w="449" w:type="pct"/>
                  <w:tcBorders>
                    <w:tl2br w:val="nil"/>
                    <w:tr2bl w:val="nil"/>
                  </w:tcBorders>
                  <w:vAlign w:val="center"/>
                </w:tcPr>
                <w:p w14:paraId="74B77F4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530</w:t>
                  </w:r>
                </w:p>
              </w:tc>
              <w:tc>
                <w:tcPr>
                  <w:tcW w:w="449" w:type="pct"/>
                  <w:tcBorders>
                    <w:tl2br w:val="nil"/>
                    <w:tr2bl w:val="nil"/>
                  </w:tcBorders>
                  <w:vAlign w:val="center"/>
                </w:tcPr>
                <w:p w14:paraId="769FFAC9">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350</w:t>
                  </w:r>
                </w:p>
              </w:tc>
              <w:tc>
                <w:tcPr>
                  <w:tcW w:w="449" w:type="pct"/>
                  <w:tcBorders>
                    <w:tl2br w:val="nil"/>
                    <w:tr2bl w:val="nil"/>
                  </w:tcBorders>
                  <w:vAlign w:val="center"/>
                </w:tcPr>
                <w:p w14:paraId="34BF6D4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260</w:t>
                  </w:r>
                </w:p>
              </w:tc>
              <w:tc>
                <w:tcPr>
                  <w:tcW w:w="449" w:type="pct"/>
                  <w:tcBorders>
                    <w:tl2br w:val="nil"/>
                    <w:tr2bl w:val="nil"/>
                  </w:tcBorders>
                  <w:vAlign w:val="center"/>
                </w:tcPr>
                <w:p w14:paraId="1819CEA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290</w:t>
                  </w:r>
                </w:p>
              </w:tc>
              <w:tc>
                <w:tcPr>
                  <w:tcW w:w="449" w:type="pct"/>
                  <w:tcBorders>
                    <w:tl2br w:val="nil"/>
                    <w:tr2bl w:val="nil"/>
                  </w:tcBorders>
                  <w:vAlign w:val="center"/>
                </w:tcPr>
                <w:p w14:paraId="114BCC0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290</w:t>
                  </w:r>
                </w:p>
              </w:tc>
              <w:tc>
                <w:tcPr>
                  <w:tcW w:w="503" w:type="pct"/>
                  <w:tcBorders>
                    <w:tl2br w:val="nil"/>
                    <w:tr2bl w:val="nil"/>
                  </w:tcBorders>
                  <w:vAlign w:val="center"/>
                </w:tcPr>
                <w:p w14:paraId="6B1F533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6"/>
                      <w:szCs w:val="21"/>
                    </w:rPr>
                    <w:t>140</w:t>
                  </w:r>
                </w:p>
              </w:tc>
            </w:tr>
            <w:tr w14:paraId="6511EB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restart"/>
                  <w:tcBorders>
                    <w:tl2br w:val="nil"/>
                    <w:tr2bl w:val="nil"/>
                  </w:tcBorders>
                  <w:vAlign w:val="center"/>
                </w:tcPr>
                <w:p w14:paraId="3B106C23">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B</w:t>
                  </w:r>
                </w:p>
              </w:tc>
              <w:tc>
                <w:tcPr>
                  <w:tcW w:w="608" w:type="pct"/>
                  <w:tcBorders>
                    <w:tl2br w:val="nil"/>
                    <w:tr2bl w:val="nil"/>
                  </w:tcBorders>
                  <w:vAlign w:val="center"/>
                </w:tcPr>
                <w:p w14:paraId="50BB573F">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26"/>
                      <w:kern w:val="2"/>
                      <w:sz w:val="21"/>
                      <w:szCs w:val="21"/>
                      <w:lang w:val="en-US" w:eastAsia="en-US" w:bidi="ar-SA"/>
                    </w:rPr>
                    <w:t>＜2</w:t>
                  </w:r>
                </w:p>
              </w:tc>
              <w:tc>
                <w:tcPr>
                  <w:tcW w:w="1344" w:type="pct"/>
                  <w:gridSpan w:val="3"/>
                  <w:tcBorders>
                    <w:tl2br w:val="nil"/>
                    <w:tr2bl w:val="nil"/>
                  </w:tcBorders>
                  <w:vAlign w:val="center"/>
                </w:tcPr>
                <w:p w14:paraId="4BC12D00">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0.01</w:t>
                  </w:r>
                </w:p>
              </w:tc>
              <w:tc>
                <w:tcPr>
                  <w:tcW w:w="1347" w:type="pct"/>
                  <w:gridSpan w:val="3"/>
                  <w:tcBorders>
                    <w:tl2br w:val="nil"/>
                    <w:tr2bl w:val="nil"/>
                  </w:tcBorders>
                  <w:vAlign w:val="center"/>
                </w:tcPr>
                <w:p w14:paraId="04EE23C3">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0.015</w:t>
                  </w:r>
                </w:p>
              </w:tc>
              <w:tc>
                <w:tcPr>
                  <w:tcW w:w="1401" w:type="pct"/>
                  <w:gridSpan w:val="3"/>
                  <w:tcBorders>
                    <w:tl2br w:val="nil"/>
                    <w:tr2bl w:val="nil"/>
                  </w:tcBorders>
                  <w:vAlign w:val="center"/>
                </w:tcPr>
                <w:p w14:paraId="3ADA9665">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0.015</w:t>
                  </w:r>
                </w:p>
              </w:tc>
            </w:tr>
            <w:tr w14:paraId="6F32DD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786AFC1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p>
              </w:tc>
              <w:tc>
                <w:tcPr>
                  <w:tcW w:w="608" w:type="pct"/>
                  <w:tcBorders>
                    <w:tl2br w:val="nil"/>
                    <w:tr2bl w:val="nil"/>
                  </w:tcBorders>
                  <w:vAlign w:val="center"/>
                </w:tcPr>
                <w:p w14:paraId="02CCF0F1">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16"/>
                      <w:w w:val="110"/>
                      <w:kern w:val="2"/>
                      <w:sz w:val="21"/>
                      <w:szCs w:val="21"/>
                      <w:lang w:val="en-US" w:eastAsia="en-US" w:bidi="ar-SA"/>
                    </w:rPr>
                    <w:t>&gt;</w:t>
                  </w:r>
                  <w:r>
                    <w:rPr>
                      <w:rFonts w:hint="default" w:ascii="Times New Roman" w:hAnsi="Times New Roman" w:eastAsia="宋体" w:cs="Times New Roman"/>
                      <w:color w:val="auto"/>
                      <w:spacing w:val="16"/>
                      <w:w w:val="110"/>
                      <w:kern w:val="2"/>
                      <w:sz w:val="21"/>
                      <w:szCs w:val="21"/>
                      <w:lang w:val="en-US" w:eastAsia="zh-CN" w:bidi="ar-SA"/>
                    </w:rPr>
                    <w:t>2</w:t>
                  </w:r>
                </w:p>
              </w:tc>
              <w:tc>
                <w:tcPr>
                  <w:tcW w:w="1344" w:type="pct"/>
                  <w:gridSpan w:val="3"/>
                  <w:tcBorders>
                    <w:tl2br w:val="nil"/>
                    <w:tr2bl w:val="nil"/>
                  </w:tcBorders>
                  <w:vAlign w:val="center"/>
                </w:tcPr>
                <w:p w14:paraId="76CCD0C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0.021</w:t>
                  </w:r>
                </w:p>
              </w:tc>
              <w:tc>
                <w:tcPr>
                  <w:tcW w:w="1347" w:type="pct"/>
                  <w:gridSpan w:val="3"/>
                  <w:tcBorders>
                    <w:tl2br w:val="nil"/>
                    <w:tr2bl w:val="nil"/>
                  </w:tcBorders>
                  <w:vAlign w:val="center"/>
                </w:tcPr>
                <w:p w14:paraId="68EB8C50">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0.036</w:t>
                  </w:r>
                </w:p>
              </w:tc>
              <w:tc>
                <w:tcPr>
                  <w:tcW w:w="1401" w:type="pct"/>
                  <w:gridSpan w:val="3"/>
                  <w:tcBorders>
                    <w:tl2br w:val="nil"/>
                    <w:tr2bl w:val="nil"/>
                  </w:tcBorders>
                  <w:vAlign w:val="center"/>
                </w:tcPr>
                <w:p w14:paraId="3CAC2CBD">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0.036</w:t>
                  </w:r>
                </w:p>
              </w:tc>
            </w:tr>
            <w:tr w14:paraId="683CBA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restart"/>
                  <w:tcBorders>
                    <w:tl2br w:val="nil"/>
                    <w:tr2bl w:val="nil"/>
                  </w:tcBorders>
                  <w:vAlign w:val="center"/>
                </w:tcPr>
                <w:p w14:paraId="777A2478">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C</w:t>
                  </w:r>
                </w:p>
              </w:tc>
              <w:tc>
                <w:tcPr>
                  <w:tcW w:w="608" w:type="pct"/>
                  <w:tcBorders>
                    <w:tl2br w:val="nil"/>
                    <w:tr2bl w:val="nil"/>
                  </w:tcBorders>
                  <w:vAlign w:val="center"/>
                </w:tcPr>
                <w:p w14:paraId="69B4596B">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26"/>
                      <w:kern w:val="2"/>
                      <w:sz w:val="21"/>
                      <w:szCs w:val="21"/>
                      <w:lang w:val="en-US" w:eastAsia="en-US" w:bidi="ar-SA"/>
                    </w:rPr>
                    <w:t>＜2</w:t>
                  </w:r>
                </w:p>
              </w:tc>
              <w:tc>
                <w:tcPr>
                  <w:tcW w:w="1344" w:type="pct"/>
                  <w:gridSpan w:val="3"/>
                  <w:tcBorders>
                    <w:tl2br w:val="nil"/>
                    <w:tr2bl w:val="nil"/>
                  </w:tcBorders>
                  <w:vAlign w:val="center"/>
                </w:tcPr>
                <w:p w14:paraId="477D116D">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1.85</w:t>
                  </w:r>
                </w:p>
              </w:tc>
              <w:tc>
                <w:tcPr>
                  <w:tcW w:w="1347" w:type="pct"/>
                  <w:gridSpan w:val="3"/>
                  <w:tcBorders>
                    <w:tl2br w:val="nil"/>
                    <w:tr2bl w:val="nil"/>
                  </w:tcBorders>
                  <w:vAlign w:val="center"/>
                </w:tcPr>
                <w:p w14:paraId="46C1F54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1.79</w:t>
                  </w:r>
                </w:p>
              </w:tc>
              <w:tc>
                <w:tcPr>
                  <w:tcW w:w="1401" w:type="pct"/>
                  <w:gridSpan w:val="3"/>
                  <w:tcBorders>
                    <w:tl2br w:val="nil"/>
                    <w:tr2bl w:val="nil"/>
                  </w:tcBorders>
                  <w:vAlign w:val="center"/>
                </w:tcPr>
                <w:p w14:paraId="00589369">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1.79</w:t>
                  </w:r>
                </w:p>
              </w:tc>
            </w:tr>
            <w:tr w14:paraId="71436D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0808896F">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p>
              </w:tc>
              <w:tc>
                <w:tcPr>
                  <w:tcW w:w="608" w:type="pct"/>
                  <w:tcBorders>
                    <w:tl2br w:val="nil"/>
                    <w:tr2bl w:val="nil"/>
                  </w:tcBorders>
                  <w:vAlign w:val="center"/>
                </w:tcPr>
                <w:p w14:paraId="11273336">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16"/>
                      <w:w w:val="110"/>
                      <w:kern w:val="2"/>
                      <w:sz w:val="21"/>
                      <w:szCs w:val="21"/>
                      <w:lang w:val="en-US" w:eastAsia="en-US" w:bidi="ar-SA"/>
                    </w:rPr>
                    <w:t>&gt;</w:t>
                  </w:r>
                  <w:r>
                    <w:rPr>
                      <w:rFonts w:hint="default" w:ascii="Times New Roman" w:hAnsi="Times New Roman" w:eastAsia="宋体" w:cs="Times New Roman"/>
                      <w:color w:val="auto"/>
                      <w:spacing w:val="16"/>
                      <w:w w:val="110"/>
                      <w:kern w:val="2"/>
                      <w:sz w:val="21"/>
                      <w:szCs w:val="21"/>
                      <w:lang w:val="en-US" w:eastAsia="zh-CN" w:bidi="ar-SA"/>
                    </w:rPr>
                    <w:t>2</w:t>
                  </w:r>
                </w:p>
              </w:tc>
              <w:tc>
                <w:tcPr>
                  <w:tcW w:w="1344" w:type="pct"/>
                  <w:gridSpan w:val="3"/>
                  <w:tcBorders>
                    <w:tl2br w:val="nil"/>
                    <w:tr2bl w:val="nil"/>
                  </w:tcBorders>
                  <w:vAlign w:val="center"/>
                </w:tcPr>
                <w:p w14:paraId="430AE4F6">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1.85</w:t>
                  </w:r>
                </w:p>
              </w:tc>
              <w:tc>
                <w:tcPr>
                  <w:tcW w:w="1347" w:type="pct"/>
                  <w:gridSpan w:val="3"/>
                  <w:tcBorders>
                    <w:tl2br w:val="nil"/>
                    <w:tr2bl w:val="nil"/>
                  </w:tcBorders>
                  <w:vAlign w:val="center"/>
                </w:tcPr>
                <w:p w14:paraId="2A19C935">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1.77</w:t>
                  </w:r>
                </w:p>
              </w:tc>
              <w:tc>
                <w:tcPr>
                  <w:tcW w:w="1401" w:type="pct"/>
                  <w:gridSpan w:val="3"/>
                  <w:tcBorders>
                    <w:tl2br w:val="nil"/>
                    <w:tr2bl w:val="nil"/>
                  </w:tcBorders>
                  <w:vAlign w:val="center"/>
                </w:tcPr>
                <w:p w14:paraId="26C4EE7C">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5"/>
                      <w:szCs w:val="21"/>
                    </w:rPr>
                    <w:t>1.77</w:t>
                  </w:r>
                </w:p>
              </w:tc>
            </w:tr>
            <w:tr w14:paraId="3BA6CE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restart"/>
                  <w:tcBorders>
                    <w:tl2br w:val="nil"/>
                    <w:tr2bl w:val="nil"/>
                  </w:tcBorders>
                  <w:vAlign w:val="center"/>
                </w:tcPr>
                <w:p w14:paraId="403485BB">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D</w:t>
                  </w:r>
                </w:p>
              </w:tc>
              <w:tc>
                <w:tcPr>
                  <w:tcW w:w="608" w:type="pct"/>
                  <w:tcBorders>
                    <w:tl2br w:val="nil"/>
                    <w:tr2bl w:val="nil"/>
                  </w:tcBorders>
                  <w:vAlign w:val="center"/>
                </w:tcPr>
                <w:p w14:paraId="4C78E3EB">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26"/>
                      <w:kern w:val="2"/>
                      <w:sz w:val="21"/>
                      <w:szCs w:val="21"/>
                      <w:lang w:val="en-US" w:eastAsia="en-US" w:bidi="ar-SA"/>
                    </w:rPr>
                    <w:t>＜2</w:t>
                  </w:r>
                </w:p>
              </w:tc>
              <w:tc>
                <w:tcPr>
                  <w:tcW w:w="1344" w:type="pct"/>
                  <w:gridSpan w:val="3"/>
                  <w:tcBorders>
                    <w:tl2br w:val="nil"/>
                    <w:tr2bl w:val="nil"/>
                  </w:tcBorders>
                  <w:vAlign w:val="center"/>
                </w:tcPr>
                <w:p w14:paraId="74FDD2D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0.78</w:t>
                  </w:r>
                </w:p>
              </w:tc>
              <w:tc>
                <w:tcPr>
                  <w:tcW w:w="1347" w:type="pct"/>
                  <w:gridSpan w:val="3"/>
                  <w:tcBorders>
                    <w:tl2br w:val="nil"/>
                    <w:tr2bl w:val="nil"/>
                  </w:tcBorders>
                  <w:vAlign w:val="center"/>
                </w:tcPr>
                <w:p w14:paraId="6E0E758A">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0.78</w:t>
                  </w:r>
                </w:p>
              </w:tc>
              <w:tc>
                <w:tcPr>
                  <w:tcW w:w="1401" w:type="pct"/>
                  <w:gridSpan w:val="3"/>
                  <w:tcBorders>
                    <w:tl2br w:val="nil"/>
                    <w:tr2bl w:val="nil"/>
                  </w:tcBorders>
                  <w:vAlign w:val="center"/>
                </w:tcPr>
                <w:p w14:paraId="3E76F099">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0.57</w:t>
                  </w:r>
                </w:p>
              </w:tc>
            </w:tr>
            <w:tr w14:paraId="65E74E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298" w:type="pct"/>
                  <w:vMerge w:val="continue"/>
                  <w:tcBorders>
                    <w:tl2br w:val="nil"/>
                    <w:tr2bl w:val="nil"/>
                  </w:tcBorders>
                  <w:vAlign w:val="center"/>
                </w:tcPr>
                <w:p w14:paraId="75AD1BEE">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kern w:val="0"/>
                      <w:szCs w:val="21"/>
                    </w:rPr>
                  </w:pPr>
                </w:p>
              </w:tc>
              <w:tc>
                <w:tcPr>
                  <w:tcW w:w="608" w:type="pct"/>
                  <w:tcBorders>
                    <w:tl2br w:val="nil"/>
                    <w:tr2bl w:val="nil"/>
                  </w:tcBorders>
                  <w:vAlign w:val="center"/>
                </w:tcPr>
                <w:p w14:paraId="24F8AB8A">
                  <w:pPr>
                    <w:keepNext w:val="0"/>
                    <w:keepLines w:val="0"/>
                    <w:pageBreakBefore w:val="0"/>
                    <w:widowControl w:val="0"/>
                    <w:kinsoku/>
                    <w:wordWrap/>
                    <w:overflowPunct/>
                    <w:topLinePunct w:val="0"/>
                    <w:autoSpaceDE/>
                    <w:autoSpaceDN/>
                    <w:bidi w:val="0"/>
                    <w:adjustRightInd/>
                    <w:snapToGrid/>
                    <w:spacing w:before="0" w:line="360" w:lineRule="exact"/>
                    <w:ind w:left="0"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16"/>
                      <w:w w:val="110"/>
                      <w:kern w:val="2"/>
                      <w:sz w:val="21"/>
                      <w:szCs w:val="21"/>
                      <w:lang w:val="en-US" w:eastAsia="en-US" w:bidi="ar-SA"/>
                    </w:rPr>
                    <w:t>&gt;</w:t>
                  </w:r>
                  <w:r>
                    <w:rPr>
                      <w:rFonts w:hint="default" w:ascii="Times New Roman" w:hAnsi="Times New Roman" w:eastAsia="宋体" w:cs="Times New Roman"/>
                      <w:color w:val="auto"/>
                      <w:spacing w:val="16"/>
                      <w:w w:val="110"/>
                      <w:kern w:val="2"/>
                      <w:sz w:val="21"/>
                      <w:szCs w:val="21"/>
                      <w:lang w:val="en-US" w:eastAsia="zh-CN" w:bidi="ar-SA"/>
                    </w:rPr>
                    <w:t>2</w:t>
                  </w:r>
                </w:p>
              </w:tc>
              <w:tc>
                <w:tcPr>
                  <w:tcW w:w="1344" w:type="pct"/>
                  <w:gridSpan w:val="3"/>
                  <w:tcBorders>
                    <w:tl2br w:val="nil"/>
                    <w:tr2bl w:val="nil"/>
                  </w:tcBorders>
                  <w:vAlign w:val="center"/>
                </w:tcPr>
                <w:p w14:paraId="011BB12D">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0.84</w:t>
                  </w:r>
                </w:p>
              </w:tc>
              <w:tc>
                <w:tcPr>
                  <w:tcW w:w="1347" w:type="pct"/>
                  <w:gridSpan w:val="3"/>
                  <w:tcBorders>
                    <w:tl2br w:val="nil"/>
                    <w:tr2bl w:val="nil"/>
                  </w:tcBorders>
                  <w:vAlign w:val="center"/>
                </w:tcPr>
                <w:p w14:paraId="40230460">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0.84</w:t>
                  </w:r>
                </w:p>
              </w:tc>
              <w:tc>
                <w:tcPr>
                  <w:tcW w:w="1401" w:type="pct"/>
                  <w:gridSpan w:val="3"/>
                  <w:tcBorders>
                    <w:tl2br w:val="nil"/>
                    <w:tr2bl w:val="nil"/>
                  </w:tcBorders>
                  <w:vAlign w:val="center"/>
                </w:tcPr>
                <w:p w14:paraId="4974DC7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0.76</w:t>
                  </w:r>
                </w:p>
              </w:tc>
            </w:tr>
            <w:tr w14:paraId="275697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5000" w:type="pct"/>
                  <w:gridSpan w:val="11"/>
                  <w:tcBorders>
                    <w:tl2br w:val="nil"/>
                    <w:tr2bl w:val="nil"/>
                  </w:tcBorders>
                  <w:vAlign w:val="center"/>
                </w:tcPr>
                <w:p w14:paraId="0F1C96E1">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left"/>
                    <w:textAlignment w:val="auto"/>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注：表中工业企业大气污染源构成分为三类：</w:t>
                  </w:r>
                </w:p>
                <w:p w14:paraId="4CF9A15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left"/>
                    <w:textAlignment w:val="auto"/>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Ⅰ类：与无组织排放源共存的排放同种有害气体的排气筒的排放量，大于标准规定的允许排放量的三分之一者；</w:t>
                  </w:r>
                </w:p>
                <w:p w14:paraId="37AF5BC7">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left"/>
                    <w:textAlignment w:val="auto"/>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Ⅱ类：与无组织排放源共存的排放同种有害气体的排气筒的排放量，小于标准规定的允许排放量的三分之一，或者无排放同种大气污染物之排气筒共存，但无组织排放的有害物质的容许浓度是按急性反应指标确定者；</w:t>
                  </w:r>
                </w:p>
                <w:p w14:paraId="5C8238C4">
                  <w:pPr>
                    <w:keepNext w:val="0"/>
                    <w:keepLines w:val="0"/>
                    <w:pageBreakBefore w:val="0"/>
                    <w:widowControl w:val="0"/>
                    <w:kinsoku/>
                    <w:wordWrap/>
                    <w:overflowPunct/>
                    <w:topLinePunct w:val="0"/>
                    <w:autoSpaceDE/>
                    <w:autoSpaceDN/>
                    <w:bidi w:val="0"/>
                    <w:adjustRightInd/>
                    <w:snapToGrid/>
                    <w:spacing w:line="360" w:lineRule="exact"/>
                    <w:ind w:left="0" w:firstLine="0" w:firstLineChars="0"/>
                    <w:jc w:val="left"/>
                    <w:textAlignment w:val="auto"/>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Ⅲ类：无排放同种有害气体的排气筒与无组织排放源共存，且无组织排放的有害物质的容许浓度是按慢性反应指标确定者。</w:t>
                  </w:r>
                </w:p>
              </w:tc>
            </w:tr>
          </w:tbl>
          <w:p w14:paraId="0F684CAE">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color w:val="auto"/>
                <w:kern w:val="0"/>
                <w:sz w:val="22"/>
                <w:szCs w:val="22"/>
              </w:rPr>
              <w:t>根据所在地区的平均风速和大气污染源的构成类别，项目无组织排放源的卫生防护距离计算结果表见表4.1-</w:t>
            </w:r>
            <w:r>
              <w:rPr>
                <w:rFonts w:hint="eastAsia" w:ascii="Times New Roman" w:hAnsi="Times New Roman" w:eastAsia="宋体" w:cs="Times New Roman"/>
                <w:color w:val="auto"/>
                <w:kern w:val="0"/>
                <w:sz w:val="22"/>
                <w:szCs w:val="22"/>
                <w:lang w:val="en-US" w:eastAsia="zh-CN"/>
              </w:rPr>
              <w:t>7</w:t>
            </w:r>
            <w:r>
              <w:rPr>
                <w:rFonts w:hint="default" w:ascii="Times New Roman" w:hAnsi="Times New Roman" w:eastAsia="宋体" w:cs="Times New Roman"/>
                <w:color w:val="auto"/>
                <w:kern w:val="0"/>
                <w:sz w:val="22"/>
                <w:szCs w:val="22"/>
              </w:rPr>
              <w:t>。</w:t>
            </w:r>
          </w:p>
          <w:p w14:paraId="65AD4724">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表4.1-</w:t>
            </w:r>
            <w:r>
              <w:rPr>
                <w:rFonts w:hint="eastAsia" w:ascii="Times New Roman" w:hAnsi="Times New Roman" w:eastAsia="宋体" w:cs="Times New Roman"/>
                <w:b/>
                <w:bCs/>
                <w:color w:val="auto"/>
                <w:kern w:val="0"/>
                <w:sz w:val="22"/>
                <w:szCs w:val="22"/>
                <w:lang w:val="en-US" w:eastAsia="zh-CN"/>
              </w:rPr>
              <w:t xml:space="preserve">7  </w:t>
            </w:r>
            <w:r>
              <w:rPr>
                <w:rFonts w:hint="default" w:ascii="Times New Roman" w:hAnsi="Times New Roman" w:eastAsia="宋体" w:cs="Times New Roman"/>
                <w:b/>
                <w:bCs/>
                <w:color w:val="auto"/>
                <w:kern w:val="0"/>
                <w:sz w:val="22"/>
                <w:szCs w:val="22"/>
              </w:rPr>
              <w:t>本项目卫生防护距离计算表</w:t>
            </w:r>
          </w:p>
          <w:tbl>
            <w:tblPr>
              <w:tblStyle w:val="44"/>
              <w:tblpPr w:leftFromText="180" w:rightFromText="180" w:vertAnchor="text" w:tblpXSpec="center" w:tblpY="1"/>
              <w:tblOverlap w:val="never"/>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2486"/>
              <w:gridCol w:w="1537"/>
              <w:gridCol w:w="1137"/>
              <w:gridCol w:w="868"/>
              <w:gridCol w:w="1075"/>
              <w:gridCol w:w="965"/>
              <w:gridCol w:w="1101"/>
            </w:tblGrid>
            <w:tr w14:paraId="53F9CF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restart"/>
                  <w:tcBorders>
                    <w:tl2br w:val="nil"/>
                    <w:tr2bl w:val="nil"/>
                  </w:tcBorders>
                  <w:vAlign w:val="center"/>
                </w:tcPr>
                <w:p w14:paraId="02E1A756">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污染源</w:t>
                  </w:r>
                </w:p>
              </w:tc>
              <w:tc>
                <w:tcPr>
                  <w:tcW w:w="838" w:type="pct"/>
                  <w:vMerge w:val="restart"/>
                  <w:tcBorders>
                    <w:tl2br w:val="nil"/>
                    <w:tr2bl w:val="nil"/>
                  </w:tcBorders>
                  <w:vAlign w:val="center"/>
                </w:tcPr>
                <w:p w14:paraId="68676CC6">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污染因子</w:t>
                  </w:r>
                </w:p>
              </w:tc>
              <w:tc>
                <w:tcPr>
                  <w:tcW w:w="620" w:type="pct"/>
                  <w:vMerge w:val="restart"/>
                  <w:tcBorders>
                    <w:tl2br w:val="nil"/>
                    <w:tr2bl w:val="nil"/>
                  </w:tcBorders>
                  <w:vAlign w:val="center"/>
                </w:tcPr>
                <w:p w14:paraId="3F475AF9">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污染物产生量</w:t>
                  </w:r>
                  <w:r>
                    <w:rPr>
                      <w:rFonts w:hint="default" w:ascii="Times New Roman" w:hAnsi="Times New Roman" w:eastAsia="宋体" w:cs="Times New Roman"/>
                      <w:b/>
                      <w:bCs/>
                      <w:color w:val="auto"/>
                      <w:szCs w:val="21"/>
                    </w:rPr>
                    <w:t>kg/h</w:t>
                  </w:r>
                </w:p>
              </w:tc>
              <w:tc>
                <w:tcPr>
                  <w:tcW w:w="473" w:type="pct"/>
                  <w:vMerge w:val="restart"/>
                  <w:tcBorders>
                    <w:tl2br w:val="nil"/>
                    <w:tr2bl w:val="nil"/>
                  </w:tcBorders>
                  <w:vAlign w:val="center"/>
                </w:tcPr>
                <w:p w14:paraId="04E4DCBB">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面源面积m</w:t>
                  </w:r>
                  <w:r>
                    <w:rPr>
                      <w:rFonts w:hint="default" w:ascii="Times New Roman" w:hAnsi="Times New Roman" w:eastAsia="宋体" w:cs="Times New Roman"/>
                      <w:b/>
                      <w:bCs/>
                      <w:color w:val="auto"/>
                      <w:kern w:val="0"/>
                      <w:szCs w:val="21"/>
                      <w:vertAlign w:val="superscript"/>
                    </w:rPr>
                    <w:t>2</w:t>
                  </w:r>
                </w:p>
              </w:tc>
              <w:tc>
                <w:tcPr>
                  <w:tcW w:w="586" w:type="pct"/>
                  <w:vMerge w:val="restart"/>
                  <w:tcBorders>
                    <w:tl2br w:val="nil"/>
                    <w:tr2bl w:val="nil"/>
                  </w:tcBorders>
                  <w:vAlign w:val="center"/>
                </w:tcPr>
                <w:p w14:paraId="167DB354">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质量标准mg/m</w:t>
                  </w:r>
                  <w:r>
                    <w:rPr>
                      <w:rFonts w:hint="default" w:ascii="Times New Roman" w:hAnsi="Times New Roman" w:eastAsia="宋体" w:cs="Times New Roman"/>
                      <w:b/>
                      <w:bCs/>
                      <w:color w:val="auto"/>
                      <w:kern w:val="0"/>
                      <w:szCs w:val="21"/>
                      <w:vertAlign w:val="superscript"/>
                    </w:rPr>
                    <w:t>3</w:t>
                  </w:r>
                </w:p>
              </w:tc>
              <w:tc>
                <w:tcPr>
                  <w:tcW w:w="1126" w:type="pct"/>
                  <w:gridSpan w:val="2"/>
                  <w:tcBorders>
                    <w:tl2br w:val="nil"/>
                    <w:tr2bl w:val="nil"/>
                  </w:tcBorders>
                  <w:vAlign w:val="center"/>
                </w:tcPr>
                <w:p w14:paraId="2EA57522">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卫生防护距离m</w:t>
                  </w:r>
                </w:p>
              </w:tc>
            </w:tr>
            <w:tr w14:paraId="07419D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continue"/>
                  <w:tcBorders>
                    <w:tl2br w:val="nil"/>
                    <w:tr2bl w:val="nil"/>
                  </w:tcBorders>
                  <w:vAlign w:val="center"/>
                </w:tcPr>
                <w:p w14:paraId="7FF46EF2">
                  <w:pPr>
                    <w:spacing w:line="360" w:lineRule="exact"/>
                    <w:jc w:val="center"/>
                    <w:rPr>
                      <w:rFonts w:hint="default" w:ascii="Times New Roman" w:hAnsi="Times New Roman" w:eastAsia="宋体" w:cs="Times New Roman"/>
                      <w:b/>
                      <w:bCs/>
                      <w:color w:val="auto"/>
                      <w:kern w:val="0"/>
                      <w:szCs w:val="21"/>
                    </w:rPr>
                  </w:pPr>
                </w:p>
              </w:tc>
              <w:tc>
                <w:tcPr>
                  <w:tcW w:w="838" w:type="pct"/>
                  <w:vMerge w:val="continue"/>
                  <w:tcBorders>
                    <w:tl2br w:val="nil"/>
                    <w:tr2bl w:val="nil"/>
                  </w:tcBorders>
                  <w:vAlign w:val="center"/>
                </w:tcPr>
                <w:p w14:paraId="506659BA">
                  <w:pPr>
                    <w:spacing w:line="360" w:lineRule="exact"/>
                    <w:jc w:val="center"/>
                    <w:rPr>
                      <w:rFonts w:hint="default" w:ascii="Times New Roman" w:hAnsi="Times New Roman" w:eastAsia="宋体" w:cs="Times New Roman"/>
                      <w:b/>
                      <w:bCs/>
                      <w:color w:val="auto"/>
                      <w:kern w:val="0"/>
                      <w:szCs w:val="21"/>
                    </w:rPr>
                  </w:pPr>
                </w:p>
              </w:tc>
              <w:tc>
                <w:tcPr>
                  <w:tcW w:w="620" w:type="pct"/>
                  <w:vMerge w:val="continue"/>
                  <w:tcBorders>
                    <w:tl2br w:val="nil"/>
                    <w:tr2bl w:val="nil"/>
                  </w:tcBorders>
                  <w:vAlign w:val="center"/>
                </w:tcPr>
                <w:p w14:paraId="250E1FA2">
                  <w:pPr>
                    <w:spacing w:line="360" w:lineRule="exact"/>
                    <w:jc w:val="center"/>
                    <w:rPr>
                      <w:rFonts w:hint="default" w:ascii="Times New Roman" w:hAnsi="Times New Roman" w:eastAsia="宋体" w:cs="Times New Roman"/>
                      <w:b/>
                      <w:bCs/>
                      <w:color w:val="auto"/>
                      <w:kern w:val="0"/>
                      <w:szCs w:val="21"/>
                    </w:rPr>
                  </w:pPr>
                </w:p>
              </w:tc>
              <w:tc>
                <w:tcPr>
                  <w:tcW w:w="473" w:type="pct"/>
                  <w:vMerge w:val="continue"/>
                  <w:tcBorders>
                    <w:tl2br w:val="nil"/>
                    <w:tr2bl w:val="nil"/>
                  </w:tcBorders>
                  <w:vAlign w:val="center"/>
                </w:tcPr>
                <w:p w14:paraId="59D26DDA">
                  <w:pPr>
                    <w:spacing w:line="360" w:lineRule="exact"/>
                    <w:jc w:val="center"/>
                    <w:rPr>
                      <w:rFonts w:hint="default" w:ascii="Times New Roman" w:hAnsi="Times New Roman" w:eastAsia="宋体" w:cs="Times New Roman"/>
                      <w:b/>
                      <w:bCs/>
                      <w:color w:val="auto"/>
                      <w:kern w:val="0"/>
                      <w:szCs w:val="21"/>
                    </w:rPr>
                  </w:pPr>
                </w:p>
              </w:tc>
              <w:tc>
                <w:tcPr>
                  <w:tcW w:w="586" w:type="pct"/>
                  <w:vMerge w:val="continue"/>
                  <w:tcBorders>
                    <w:tl2br w:val="nil"/>
                    <w:tr2bl w:val="nil"/>
                  </w:tcBorders>
                  <w:vAlign w:val="center"/>
                </w:tcPr>
                <w:p w14:paraId="56B3A20A">
                  <w:pPr>
                    <w:spacing w:line="360" w:lineRule="exact"/>
                    <w:jc w:val="center"/>
                    <w:rPr>
                      <w:rFonts w:hint="default" w:ascii="Times New Roman" w:hAnsi="Times New Roman" w:eastAsia="宋体" w:cs="Times New Roman"/>
                      <w:b/>
                      <w:bCs/>
                      <w:color w:val="auto"/>
                      <w:kern w:val="0"/>
                      <w:szCs w:val="21"/>
                    </w:rPr>
                  </w:pPr>
                </w:p>
              </w:tc>
              <w:tc>
                <w:tcPr>
                  <w:tcW w:w="526" w:type="pct"/>
                  <w:tcBorders>
                    <w:tl2br w:val="nil"/>
                    <w:tr2bl w:val="nil"/>
                  </w:tcBorders>
                  <w:vAlign w:val="center"/>
                </w:tcPr>
                <w:p w14:paraId="21DDD944">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初值</w:t>
                  </w:r>
                </w:p>
              </w:tc>
              <w:tc>
                <w:tcPr>
                  <w:tcW w:w="600" w:type="pct"/>
                  <w:tcBorders>
                    <w:tl2br w:val="nil"/>
                    <w:tr2bl w:val="nil"/>
                  </w:tcBorders>
                  <w:vAlign w:val="center"/>
                </w:tcPr>
                <w:p w14:paraId="07E17A1B">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终值</w:t>
                  </w:r>
                </w:p>
              </w:tc>
            </w:tr>
            <w:tr w14:paraId="3F6939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2" w:hRule="atLeast"/>
              </w:trPr>
              <w:tc>
                <w:tcPr>
                  <w:tcW w:w="1355" w:type="pct"/>
                  <w:vMerge w:val="restart"/>
                  <w:tcBorders>
                    <w:tl2br w:val="nil"/>
                    <w:tr2bl w:val="nil"/>
                  </w:tcBorders>
                  <w:vAlign w:val="center"/>
                </w:tcPr>
                <w:p w14:paraId="6F4AA03D">
                  <w:pPr>
                    <w:spacing w:line="360" w:lineRule="exact"/>
                    <w:jc w:val="center"/>
                    <w:rPr>
                      <w:rFonts w:hint="default" w:ascii="Times New Roman" w:hAnsi="Times New Roman" w:eastAsia="宋体" w:cs="Times New Roman"/>
                      <w:color w:val="auto"/>
                      <w:kern w:val="0"/>
                      <w:szCs w:val="21"/>
                    </w:rPr>
                  </w:pPr>
                  <w:r>
                    <w:rPr>
                      <w:rFonts w:hint="eastAsia" w:ascii="Times New Roman" w:hAnsi="Times New Roman" w:eastAsia="宋体" w:cs="Times New Roman"/>
                      <w:color w:val="auto"/>
                      <w:szCs w:val="21"/>
                      <w:lang w:val="en-US" w:eastAsia="zh-CN"/>
                    </w:rPr>
                    <w:t>混炼、硫化车间</w:t>
                  </w:r>
                  <w:r>
                    <w:rPr>
                      <w:rFonts w:hint="eastAsia" w:cs="Times New Roman"/>
                      <w:color w:val="auto"/>
                      <w:szCs w:val="21"/>
                      <w:lang w:val="en-US" w:eastAsia="zh-CN"/>
                    </w:rPr>
                    <w:t>（2#厂房）</w:t>
                  </w:r>
                </w:p>
              </w:tc>
              <w:tc>
                <w:tcPr>
                  <w:tcW w:w="838" w:type="pct"/>
                  <w:tcBorders>
                    <w:tl2br w:val="nil"/>
                    <w:tr2bl w:val="nil"/>
                  </w:tcBorders>
                  <w:shd w:val="clear" w:color="auto" w:fill="auto"/>
                  <w:vAlign w:val="center"/>
                </w:tcPr>
                <w:p w14:paraId="23D39EE5">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20" w:type="pct"/>
                  <w:tcBorders>
                    <w:tl2br w:val="nil"/>
                    <w:tr2bl w:val="nil"/>
                  </w:tcBorders>
                  <w:shd w:val="clear" w:color="auto" w:fill="auto"/>
                  <w:vAlign w:val="center"/>
                </w:tcPr>
                <w:p w14:paraId="046E5F0D">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w:t>
                  </w:r>
                  <w:r>
                    <w:rPr>
                      <w:rFonts w:hint="eastAsia" w:ascii="Times New Roman" w:hAnsi="Times New Roman" w:eastAsia="宋体" w:cs="Times New Roman"/>
                      <w:i w:val="0"/>
                      <w:iCs w:val="0"/>
                      <w:color w:val="auto"/>
                      <w:kern w:val="0"/>
                      <w:sz w:val="21"/>
                      <w:szCs w:val="21"/>
                      <w:u w:val="none"/>
                      <w:lang w:val="en-US" w:eastAsia="zh-CN" w:bidi="ar"/>
                    </w:rPr>
                    <w:t>50</w:t>
                  </w:r>
                </w:p>
              </w:tc>
              <w:tc>
                <w:tcPr>
                  <w:tcW w:w="473" w:type="pct"/>
                  <w:vMerge w:val="restart"/>
                  <w:tcBorders>
                    <w:tl2br w:val="nil"/>
                    <w:tr2bl w:val="nil"/>
                  </w:tcBorders>
                  <w:vAlign w:val="center"/>
                </w:tcPr>
                <w:p w14:paraId="152781D7">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1860</w:t>
                  </w:r>
                </w:p>
              </w:tc>
              <w:tc>
                <w:tcPr>
                  <w:tcW w:w="586" w:type="pct"/>
                  <w:tcBorders>
                    <w:tl2br w:val="nil"/>
                    <w:tr2bl w:val="nil"/>
                  </w:tcBorders>
                  <w:vAlign w:val="center"/>
                </w:tcPr>
                <w:p w14:paraId="764125FA">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2.0</w:t>
                  </w:r>
                </w:p>
              </w:tc>
              <w:tc>
                <w:tcPr>
                  <w:tcW w:w="526" w:type="pct"/>
                  <w:tcBorders>
                    <w:tl2br w:val="nil"/>
                    <w:tr2bl w:val="nil"/>
                  </w:tcBorders>
                  <w:vAlign w:val="center"/>
                </w:tcPr>
                <w:p w14:paraId="1A329349">
                  <w:pPr>
                    <w:spacing w:line="360" w:lineRule="exact"/>
                    <w:jc w:val="center"/>
                    <w:rPr>
                      <w:rFonts w:hint="eastAsia" w:ascii="Times New Roman" w:hAnsi="Times New Roman" w:eastAsia="宋体" w:cs="Times New Roman"/>
                      <w:color w:val="auto"/>
                      <w:kern w:val="0"/>
                      <w:szCs w:val="21"/>
                      <w:lang w:val="en-US" w:eastAsia="zh-CN"/>
                    </w:rPr>
                  </w:pPr>
                  <w:r>
                    <w:rPr>
                      <w:rFonts w:hint="eastAsia"/>
                      <w:color w:val="auto"/>
                    </w:rPr>
                    <w:t>0.64</w:t>
                  </w:r>
                  <w:r>
                    <w:rPr>
                      <w:rFonts w:hint="eastAsia"/>
                      <w:color w:val="auto"/>
                      <w:lang w:val="en-US" w:eastAsia="zh-CN"/>
                    </w:rPr>
                    <w:t>5</w:t>
                  </w:r>
                </w:p>
              </w:tc>
              <w:tc>
                <w:tcPr>
                  <w:tcW w:w="600" w:type="pct"/>
                  <w:tcBorders>
                    <w:tl2br w:val="nil"/>
                    <w:tr2bl w:val="nil"/>
                  </w:tcBorders>
                  <w:vAlign w:val="center"/>
                </w:tcPr>
                <w:p w14:paraId="4AE3A631">
                  <w:pPr>
                    <w:spacing w:line="360" w:lineRule="exact"/>
                    <w:jc w:val="center"/>
                    <w:rPr>
                      <w:rFonts w:hint="default"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100</w:t>
                  </w:r>
                </w:p>
              </w:tc>
            </w:tr>
            <w:tr w14:paraId="66A8BA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continue"/>
                  <w:tcBorders>
                    <w:tl2br w:val="nil"/>
                    <w:tr2bl w:val="nil"/>
                  </w:tcBorders>
                  <w:vAlign w:val="center"/>
                </w:tcPr>
                <w:p w14:paraId="783BC582">
                  <w:pPr>
                    <w:spacing w:line="360" w:lineRule="exact"/>
                    <w:jc w:val="center"/>
                    <w:rPr>
                      <w:rFonts w:hint="default" w:ascii="Times New Roman" w:hAnsi="Times New Roman" w:eastAsia="宋体" w:cs="Times New Roman"/>
                      <w:color w:val="auto"/>
                      <w:kern w:val="0"/>
                      <w:szCs w:val="21"/>
                    </w:rPr>
                  </w:pPr>
                </w:p>
              </w:tc>
              <w:tc>
                <w:tcPr>
                  <w:tcW w:w="838" w:type="pct"/>
                  <w:tcBorders>
                    <w:tl2br w:val="nil"/>
                    <w:tr2bl w:val="nil"/>
                  </w:tcBorders>
                  <w:shd w:val="clear" w:color="auto" w:fill="auto"/>
                  <w:vAlign w:val="center"/>
                </w:tcPr>
                <w:p w14:paraId="3E832E01">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620" w:type="pct"/>
                  <w:tcBorders>
                    <w:tl2br w:val="nil"/>
                    <w:tr2bl w:val="nil"/>
                  </w:tcBorders>
                  <w:shd w:val="clear" w:color="auto" w:fill="auto"/>
                  <w:vAlign w:val="center"/>
                </w:tcPr>
                <w:p w14:paraId="5BC5CCB9">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 xml:space="preserve">0.001 </w:t>
                  </w:r>
                </w:p>
              </w:tc>
              <w:tc>
                <w:tcPr>
                  <w:tcW w:w="473" w:type="pct"/>
                  <w:vMerge w:val="continue"/>
                  <w:tcBorders>
                    <w:tl2br w:val="nil"/>
                    <w:tr2bl w:val="nil"/>
                  </w:tcBorders>
                  <w:vAlign w:val="center"/>
                </w:tcPr>
                <w:p w14:paraId="4D79AA7B">
                  <w:pPr>
                    <w:spacing w:line="360" w:lineRule="exact"/>
                    <w:jc w:val="center"/>
                    <w:rPr>
                      <w:rFonts w:hint="default" w:ascii="Times New Roman" w:hAnsi="Times New Roman" w:eastAsia="宋体" w:cs="Times New Roman"/>
                      <w:color w:val="auto"/>
                      <w:kern w:val="0"/>
                      <w:szCs w:val="21"/>
                    </w:rPr>
                  </w:pPr>
                </w:p>
              </w:tc>
              <w:tc>
                <w:tcPr>
                  <w:tcW w:w="586" w:type="pct"/>
                  <w:tcBorders>
                    <w:tl2br w:val="nil"/>
                    <w:tr2bl w:val="nil"/>
                  </w:tcBorders>
                  <w:vAlign w:val="center"/>
                </w:tcPr>
                <w:p w14:paraId="4274F522">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0.01</w:t>
                  </w:r>
                </w:p>
              </w:tc>
              <w:tc>
                <w:tcPr>
                  <w:tcW w:w="526" w:type="pct"/>
                  <w:tcBorders>
                    <w:tl2br w:val="nil"/>
                    <w:tr2bl w:val="nil"/>
                  </w:tcBorders>
                  <w:vAlign w:val="center"/>
                </w:tcPr>
                <w:p w14:paraId="33EEE43E">
                  <w:pPr>
                    <w:spacing w:line="360" w:lineRule="exact"/>
                    <w:jc w:val="center"/>
                    <w:rPr>
                      <w:rFonts w:hint="default" w:ascii="Times New Roman" w:hAnsi="Times New Roman" w:eastAsia="宋体" w:cs="Times New Roman"/>
                      <w:color w:val="auto"/>
                      <w:kern w:val="0"/>
                      <w:szCs w:val="21"/>
                      <w:lang w:val="en-US" w:eastAsia="zh-CN"/>
                    </w:rPr>
                  </w:pPr>
                  <w:r>
                    <w:rPr>
                      <w:rFonts w:hint="eastAsia"/>
                      <w:color w:val="auto"/>
                    </w:rPr>
                    <w:t>3.515</w:t>
                  </w:r>
                </w:p>
              </w:tc>
              <w:tc>
                <w:tcPr>
                  <w:tcW w:w="600" w:type="pct"/>
                  <w:tcBorders>
                    <w:tl2br w:val="nil"/>
                    <w:tr2bl w:val="nil"/>
                  </w:tcBorders>
                  <w:vAlign w:val="center"/>
                </w:tcPr>
                <w:p w14:paraId="6D0BD19E">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50</w:t>
                  </w:r>
                </w:p>
              </w:tc>
            </w:tr>
            <w:tr w14:paraId="7A306A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continue"/>
                  <w:tcBorders>
                    <w:tl2br w:val="nil"/>
                    <w:tr2bl w:val="nil"/>
                  </w:tcBorders>
                  <w:vAlign w:val="center"/>
                </w:tcPr>
                <w:p w14:paraId="5AAA0D28">
                  <w:pPr>
                    <w:spacing w:line="360" w:lineRule="exact"/>
                    <w:jc w:val="center"/>
                    <w:rPr>
                      <w:rFonts w:hint="default" w:ascii="Times New Roman" w:hAnsi="Times New Roman" w:eastAsia="宋体" w:cs="Times New Roman"/>
                      <w:color w:val="auto"/>
                      <w:kern w:val="0"/>
                      <w:szCs w:val="21"/>
                    </w:rPr>
                  </w:pPr>
                </w:p>
              </w:tc>
              <w:tc>
                <w:tcPr>
                  <w:tcW w:w="838" w:type="pct"/>
                  <w:tcBorders>
                    <w:tl2br w:val="nil"/>
                    <w:tr2bl w:val="nil"/>
                  </w:tcBorders>
                  <w:shd w:val="clear" w:color="auto" w:fill="auto"/>
                  <w:vAlign w:val="center"/>
                </w:tcPr>
                <w:p w14:paraId="1E084E1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颗粒物</w:t>
                  </w:r>
                </w:p>
              </w:tc>
              <w:tc>
                <w:tcPr>
                  <w:tcW w:w="620" w:type="pct"/>
                  <w:tcBorders>
                    <w:tl2br w:val="nil"/>
                    <w:tr2bl w:val="nil"/>
                  </w:tcBorders>
                  <w:shd w:val="clear" w:color="auto" w:fill="auto"/>
                  <w:vAlign w:val="center"/>
                </w:tcPr>
                <w:p w14:paraId="6266E1E2">
                  <w:pPr>
                    <w:keepNext w:val="0"/>
                    <w:keepLines w:val="0"/>
                    <w:widowControl/>
                    <w:suppressLineNumbers w:val="0"/>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w:t>
                  </w:r>
                  <w:r>
                    <w:rPr>
                      <w:rFonts w:hint="eastAsia" w:cs="Times New Roman"/>
                      <w:i w:val="0"/>
                      <w:iCs w:val="0"/>
                      <w:color w:val="auto"/>
                      <w:kern w:val="0"/>
                      <w:sz w:val="21"/>
                      <w:szCs w:val="21"/>
                      <w:u w:val="none"/>
                      <w:lang w:val="en-US" w:eastAsia="zh-CN" w:bidi="ar"/>
                    </w:rPr>
                    <w:t>06</w:t>
                  </w:r>
                  <w:r>
                    <w:rPr>
                      <w:rFonts w:hint="default" w:ascii="Times New Roman" w:hAnsi="Times New Roman" w:eastAsia="宋体" w:cs="Times New Roman"/>
                      <w:i w:val="0"/>
                      <w:iCs w:val="0"/>
                      <w:color w:val="auto"/>
                      <w:kern w:val="0"/>
                      <w:sz w:val="21"/>
                      <w:szCs w:val="21"/>
                      <w:u w:val="none"/>
                      <w:lang w:val="en-US" w:eastAsia="zh-CN" w:bidi="ar"/>
                    </w:rPr>
                    <w:t xml:space="preserve"> </w:t>
                  </w:r>
                </w:p>
              </w:tc>
              <w:tc>
                <w:tcPr>
                  <w:tcW w:w="473" w:type="pct"/>
                  <w:vMerge w:val="continue"/>
                  <w:tcBorders>
                    <w:tl2br w:val="nil"/>
                    <w:tr2bl w:val="nil"/>
                  </w:tcBorders>
                  <w:vAlign w:val="center"/>
                </w:tcPr>
                <w:p w14:paraId="3EFE2C76">
                  <w:pPr>
                    <w:spacing w:line="360" w:lineRule="exact"/>
                    <w:jc w:val="center"/>
                    <w:rPr>
                      <w:rFonts w:hint="default" w:ascii="Times New Roman" w:hAnsi="Times New Roman" w:eastAsia="宋体" w:cs="Times New Roman"/>
                      <w:color w:val="auto"/>
                      <w:kern w:val="0"/>
                      <w:szCs w:val="21"/>
                    </w:rPr>
                  </w:pPr>
                </w:p>
              </w:tc>
              <w:tc>
                <w:tcPr>
                  <w:tcW w:w="586" w:type="pct"/>
                  <w:tcBorders>
                    <w:tl2br w:val="nil"/>
                    <w:tr2bl w:val="nil"/>
                  </w:tcBorders>
                  <w:vAlign w:val="center"/>
                </w:tcPr>
                <w:p w14:paraId="4EF7015F">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0.9</w:t>
                  </w:r>
                </w:p>
              </w:tc>
              <w:tc>
                <w:tcPr>
                  <w:tcW w:w="526" w:type="pct"/>
                  <w:tcBorders>
                    <w:tl2br w:val="nil"/>
                    <w:tr2bl w:val="nil"/>
                  </w:tcBorders>
                  <w:vAlign w:val="center"/>
                </w:tcPr>
                <w:p w14:paraId="531BA9F3">
                  <w:pPr>
                    <w:spacing w:line="360" w:lineRule="exact"/>
                    <w:jc w:val="center"/>
                    <w:rPr>
                      <w:rFonts w:hint="default" w:ascii="Times New Roman" w:hAnsi="Times New Roman" w:eastAsia="宋体" w:cs="Times New Roman"/>
                      <w:color w:val="auto"/>
                      <w:kern w:val="0"/>
                      <w:szCs w:val="21"/>
                      <w:lang w:val="en-US" w:eastAsia="zh-CN"/>
                    </w:rPr>
                  </w:pPr>
                  <w:r>
                    <w:rPr>
                      <w:rFonts w:hint="eastAsia"/>
                      <w:color w:val="auto"/>
                    </w:rPr>
                    <w:t>0.</w:t>
                  </w:r>
                  <w:r>
                    <w:rPr>
                      <w:rFonts w:hint="eastAsia"/>
                      <w:color w:val="auto"/>
                      <w:lang w:val="en-US" w:eastAsia="zh-CN"/>
                    </w:rPr>
                    <w:t>140</w:t>
                  </w:r>
                </w:p>
              </w:tc>
              <w:tc>
                <w:tcPr>
                  <w:tcW w:w="600" w:type="pct"/>
                  <w:tcBorders>
                    <w:tl2br w:val="nil"/>
                    <w:tr2bl w:val="nil"/>
                  </w:tcBorders>
                  <w:vAlign w:val="center"/>
                </w:tcPr>
                <w:p w14:paraId="5AB15518">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50</w:t>
                  </w:r>
                </w:p>
              </w:tc>
            </w:tr>
            <w:tr w14:paraId="0CB43C1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tcBorders>
                    <w:tl2br w:val="nil"/>
                    <w:tr2bl w:val="nil"/>
                  </w:tcBorders>
                  <w:vAlign w:val="center"/>
                </w:tcPr>
                <w:p w14:paraId="46CC0BC2">
                  <w:pPr>
                    <w:spacing w:line="360" w:lineRule="exact"/>
                    <w:jc w:val="center"/>
                    <w:rPr>
                      <w:rFonts w:hint="default" w:ascii="Times New Roman" w:hAnsi="Times New Roman" w:eastAsia="宋体" w:cs="Times New Roman"/>
                      <w:color w:val="auto"/>
                      <w:kern w:val="0"/>
                      <w:szCs w:val="21"/>
                    </w:rPr>
                  </w:pPr>
                  <w:r>
                    <w:rPr>
                      <w:rFonts w:hint="eastAsia" w:ascii="Times New Roman" w:hAnsi="Times New Roman" w:eastAsia="宋体" w:cs="Times New Roman"/>
                      <w:color w:val="auto"/>
                      <w:szCs w:val="21"/>
                      <w:lang w:val="en-US" w:eastAsia="zh-CN"/>
                    </w:rPr>
                    <w:t>喷涂和加热</w:t>
                  </w:r>
                  <w:r>
                    <w:rPr>
                      <w:rFonts w:hint="default" w:ascii="Times New Roman" w:hAnsi="Times New Roman" w:eastAsia="宋体" w:cs="Times New Roman"/>
                      <w:color w:val="auto"/>
                      <w:szCs w:val="21"/>
                    </w:rPr>
                    <w:t>车间</w:t>
                  </w:r>
                  <w:r>
                    <w:rPr>
                      <w:rFonts w:hint="default" w:ascii="Times New Roman" w:hAnsi="Times New Roman" w:eastAsia="宋体" w:cs="Times New Roman"/>
                      <w:color w:val="auto"/>
                      <w:szCs w:val="21"/>
                      <w:lang w:val="en-US" w:eastAsia="zh-CN"/>
                    </w:rPr>
                    <w:t>（3#厂房）</w:t>
                  </w:r>
                </w:p>
              </w:tc>
              <w:tc>
                <w:tcPr>
                  <w:tcW w:w="838" w:type="pct"/>
                  <w:tcBorders>
                    <w:tl2br w:val="nil"/>
                    <w:tr2bl w:val="nil"/>
                  </w:tcBorders>
                  <w:shd w:val="clear" w:color="auto" w:fill="auto"/>
                  <w:vAlign w:val="center"/>
                </w:tcPr>
                <w:p w14:paraId="1A035407">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w w:val="100"/>
                      <w:kern w:val="2"/>
                      <w:sz w:val="21"/>
                      <w:szCs w:val="21"/>
                      <w:lang w:eastAsia="zh-CN"/>
                    </w:rPr>
                    <w:t>挥发性有机物</w:t>
                  </w:r>
                </w:p>
              </w:tc>
              <w:tc>
                <w:tcPr>
                  <w:tcW w:w="620" w:type="pct"/>
                  <w:tcBorders>
                    <w:tl2br w:val="nil"/>
                    <w:tr2bl w:val="nil"/>
                  </w:tcBorders>
                  <w:shd w:val="clear" w:color="auto" w:fill="auto"/>
                  <w:vAlign w:val="center"/>
                </w:tcPr>
                <w:p w14:paraId="46FB5685">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0.219</w:t>
                  </w:r>
                </w:p>
              </w:tc>
              <w:tc>
                <w:tcPr>
                  <w:tcW w:w="473" w:type="pct"/>
                  <w:tcBorders>
                    <w:tl2br w:val="nil"/>
                    <w:tr2bl w:val="nil"/>
                  </w:tcBorders>
                  <w:vAlign w:val="center"/>
                </w:tcPr>
                <w:p w14:paraId="256261E1">
                  <w:pPr>
                    <w:spacing w:line="360" w:lineRule="exact"/>
                    <w:jc w:val="center"/>
                    <w:rPr>
                      <w:rFonts w:hint="default" w:cs="Times New Roman"/>
                      <w:color w:val="auto"/>
                      <w:kern w:val="0"/>
                      <w:szCs w:val="21"/>
                      <w:lang w:val="en-US" w:eastAsia="zh-CN"/>
                    </w:rPr>
                  </w:pPr>
                  <w:r>
                    <w:rPr>
                      <w:rFonts w:hint="eastAsia" w:cs="Times New Roman"/>
                      <w:color w:val="auto"/>
                      <w:kern w:val="0"/>
                      <w:szCs w:val="21"/>
                      <w:lang w:val="en-US" w:eastAsia="zh-CN"/>
                    </w:rPr>
                    <w:t>1230</w:t>
                  </w:r>
                </w:p>
              </w:tc>
              <w:tc>
                <w:tcPr>
                  <w:tcW w:w="586" w:type="pct"/>
                  <w:tcBorders>
                    <w:tl2br w:val="nil"/>
                    <w:tr2bl w:val="nil"/>
                  </w:tcBorders>
                  <w:vAlign w:val="center"/>
                </w:tcPr>
                <w:p w14:paraId="12710AA0">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2.0</w:t>
                  </w:r>
                </w:p>
              </w:tc>
              <w:tc>
                <w:tcPr>
                  <w:tcW w:w="526" w:type="pct"/>
                  <w:tcBorders>
                    <w:tl2br w:val="nil"/>
                    <w:tr2bl w:val="nil"/>
                  </w:tcBorders>
                  <w:vAlign w:val="center"/>
                </w:tcPr>
                <w:p w14:paraId="4704F040">
                  <w:pPr>
                    <w:spacing w:line="360" w:lineRule="exact"/>
                    <w:jc w:val="center"/>
                    <w:rPr>
                      <w:rFonts w:hint="default" w:ascii="Times New Roman" w:hAnsi="Times New Roman" w:eastAsia="宋体" w:cs="Times New Roman"/>
                      <w:color w:val="auto"/>
                      <w:kern w:val="0"/>
                      <w:szCs w:val="21"/>
                      <w:lang w:val="en-US" w:eastAsia="zh-CN"/>
                    </w:rPr>
                  </w:pPr>
                  <w:r>
                    <w:rPr>
                      <w:rFonts w:hint="eastAsia"/>
                      <w:color w:val="auto"/>
                    </w:rPr>
                    <w:t>5.001</w:t>
                  </w:r>
                </w:p>
              </w:tc>
              <w:tc>
                <w:tcPr>
                  <w:tcW w:w="600" w:type="pct"/>
                  <w:tcBorders>
                    <w:tl2br w:val="nil"/>
                    <w:tr2bl w:val="nil"/>
                  </w:tcBorders>
                  <w:vAlign w:val="center"/>
                </w:tcPr>
                <w:p w14:paraId="146F879A">
                  <w:pPr>
                    <w:spacing w:line="360" w:lineRule="exact"/>
                    <w:jc w:val="center"/>
                    <w:rPr>
                      <w:rFonts w:hint="default" w:ascii="Times New Roman" w:hAnsi="Times New Roman" w:eastAsia="宋体" w:cs="Times New Roman"/>
                      <w:color w:val="auto"/>
                      <w:kern w:val="0"/>
                      <w:szCs w:val="21"/>
                      <w:lang w:val="en-US"/>
                    </w:rPr>
                  </w:pPr>
                  <w:r>
                    <w:rPr>
                      <w:rFonts w:hint="eastAsia" w:cs="Times New Roman"/>
                      <w:color w:val="auto"/>
                      <w:kern w:val="0"/>
                      <w:szCs w:val="21"/>
                      <w:lang w:val="en-US" w:eastAsia="zh-CN"/>
                    </w:rPr>
                    <w:t>100</w:t>
                  </w:r>
                </w:p>
              </w:tc>
            </w:tr>
            <w:tr w14:paraId="774673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tcBorders>
                    <w:tl2br w:val="nil"/>
                    <w:tr2bl w:val="nil"/>
                  </w:tcBorders>
                  <w:vAlign w:val="center"/>
                </w:tcPr>
                <w:p w14:paraId="46900D52">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szCs w:val="21"/>
                      <w:lang w:val="en-US" w:eastAsia="zh-CN"/>
                    </w:rPr>
                    <w:t>精磨、细磨</w:t>
                  </w:r>
                  <w:r>
                    <w:rPr>
                      <w:rFonts w:hint="eastAsia" w:cs="Times New Roman"/>
                      <w:color w:val="auto"/>
                      <w:szCs w:val="21"/>
                      <w:lang w:val="en-US" w:eastAsia="zh-CN"/>
                    </w:rPr>
                    <w:t>车间（3#厂房）</w:t>
                  </w:r>
                </w:p>
              </w:tc>
              <w:tc>
                <w:tcPr>
                  <w:tcW w:w="838" w:type="pct"/>
                  <w:tcBorders>
                    <w:tl2br w:val="nil"/>
                    <w:tr2bl w:val="nil"/>
                  </w:tcBorders>
                  <w:shd w:val="clear" w:color="auto" w:fill="auto"/>
                  <w:vAlign w:val="center"/>
                </w:tcPr>
                <w:p w14:paraId="0DB4E02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颗粒物</w:t>
                  </w:r>
                </w:p>
              </w:tc>
              <w:tc>
                <w:tcPr>
                  <w:tcW w:w="620" w:type="pct"/>
                  <w:tcBorders>
                    <w:tl2br w:val="nil"/>
                    <w:tr2bl w:val="nil"/>
                  </w:tcBorders>
                  <w:shd w:val="clear" w:color="auto" w:fill="auto"/>
                  <w:vAlign w:val="center"/>
                </w:tcPr>
                <w:p w14:paraId="7F96FA9B">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0.0</w:t>
                  </w:r>
                  <w:r>
                    <w:rPr>
                      <w:rFonts w:hint="eastAsia" w:cs="Times New Roman"/>
                      <w:i w:val="0"/>
                      <w:iCs w:val="0"/>
                      <w:color w:val="auto"/>
                      <w:kern w:val="0"/>
                      <w:sz w:val="21"/>
                      <w:szCs w:val="21"/>
                      <w:u w:val="none"/>
                      <w:lang w:val="en-US" w:eastAsia="zh-CN" w:bidi="ar"/>
                    </w:rPr>
                    <w:t>18</w:t>
                  </w:r>
                </w:p>
              </w:tc>
              <w:tc>
                <w:tcPr>
                  <w:tcW w:w="473" w:type="pct"/>
                  <w:tcBorders>
                    <w:tl2br w:val="nil"/>
                    <w:tr2bl w:val="nil"/>
                  </w:tcBorders>
                  <w:vAlign w:val="center"/>
                </w:tcPr>
                <w:p w14:paraId="031C6886">
                  <w:pPr>
                    <w:spacing w:line="360" w:lineRule="exact"/>
                    <w:jc w:val="center"/>
                    <w:rPr>
                      <w:rFonts w:hint="default"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2205</w:t>
                  </w:r>
                </w:p>
              </w:tc>
              <w:tc>
                <w:tcPr>
                  <w:tcW w:w="586" w:type="pct"/>
                  <w:tcBorders>
                    <w:tl2br w:val="nil"/>
                    <w:tr2bl w:val="nil"/>
                  </w:tcBorders>
                  <w:vAlign w:val="center"/>
                </w:tcPr>
                <w:p w14:paraId="574F0066">
                  <w:pPr>
                    <w:spacing w:line="360" w:lineRule="exact"/>
                    <w:jc w:val="center"/>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0.9</w:t>
                  </w:r>
                </w:p>
              </w:tc>
              <w:tc>
                <w:tcPr>
                  <w:tcW w:w="526" w:type="pct"/>
                  <w:tcBorders>
                    <w:tl2br w:val="nil"/>
                    <w:tr2bl w:val="nil"/>
                  </w:tcBorders>
                  <w:vAlign w:val="center"/>
                </w:tcPr>
                <w:p w14:paraId="3A060FAF">
                  <w:pPr>
                    <w:spacing w:line="360" w:lineRule="exact"/>
                    <w:jc w:val="center"/>
                    <w:rPr>
                      <w:rFonts w:hint="default" w:ascii="Times New Roman" w:hAnsi="Times New Roman" w:eastAsia="宋体" w:cs="Times New Roman"/>
                      <w:color w:val="auto"/>
                      <w:kern w:val="0"/>
                      <w:szCs w:val="21"/>
                      <w:lang w:val="en-US" w:eastAsia="zh-CN"/>
                    </w:rPr>
                  </w:pPr>
                  <w:r>
                    <w:rPr>
                      <w:rFonts w:hint="eastAsia"/>
                      <w:color w:val="auto"/>
                    </w:rPr>
                    <w:t>0.</w:t>
                  </w:r>
                  <w:r>
                    <w:rPr>
                      <w:rFonts w:hint="eastAsia"/>
                      <w:color w:val="auto"/>
                      <w:lang w:val="en-US" w:eastAsia="zh-CN"/>
                    </w:rPr>
                    <w:t>369</w:t>
                  </w:r>
                </w:p>
              </w:tc>
              <w:tc>
                <w:tcPr>
                  <w:tcW w:w="600" w:type="pct"/>
                  <w:tcBorders>
                    <w:tl2br w:val="nil"/>
                    <w:tr2bl w:val="nil"/>
                  </w:tcBorders>
                  <w:vAlign w:val="center"/>
                </w:tcPr>
                <w:p w14:paraId="4A096BC6">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50</w:t>
                  </w:r>
                </w:p>
              </w:tc>
            </w:tr>
            <w:tr w14:paraId="212B36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restart"/>
                  <w:tcBorders>
                    <w:tl2br w:val="nil"/>
                    <w:tr2bl w:val="nil"/>
                  </w:tcBorders>
                  <w:vAlign w:val="center"/>
                </w:tcPr>
                <w:p w14:paraId="3D1A5FC6">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w w:val="100"/>
                      <w:kern w:val="2"/>
                      <w:sz w:val="21"/>
                      <w:szCs w:val="21"/>
                      <w:lang w:eastAsia="zh-CN"/>
                    </w:rPr>
                  </w:pPr>
                  <w:r>
                    <w:rPr>
                      <w:rFonts w:hint="default" w:ascii="Times New Roman" w:hAnsi="Times New Roman" w:eastAsia="宋体" w:cs="Times New Roman"/>
                      <w:color w:val="auto"/>
                      <w:w w:val="100"/>
                      <w:kern w:val="2"/>
                      <w:sz w:val="21"/>
                      <w:szCs w:val="21"/>
                      <w:lang w:eastAsia="zh-CN"/>
                    </w:rPr>
                    <w:t>涂胶和平板硫化车间</w:t>
                  </w:r>
                </w:p>
                <w:p w14:paraId="4731AC6F">
                  <w:pPr>
                    <w:spacing w:line="360" w:lineRule="exact"/>
                    <w:jc w:val="center"/>
                    <w:rPr>
                      <w:rFonts w:hint="eastAsia" w:ascii="Times New Roman" w:hAnsi="Times New Roman" w:eastAsia="宋体" w:cs="Times New Roman"/>
                      <w:color w:val="auto"/>
                      <w:szCs w:val="21"/>
                      <w:lang w:val="en-US" w:eastAsia="zh-CN"/>
                    </w:rPr>
                  </w:pPr>
                  <w:r>
                    <w:rPr>
                      <w:rFonts w:hint="default" w:ascii="Times New Roman" w:hAnsi="Times New Roman" w:eastAsia="宋体" w:cs="Times New Roman"/>
                      <w:color w:val="auto"/>
                      <w:sz w:val="21"/>
                      <w:szCs w:val="21"/>
                      <w:lang w:val="en-US" w:eastAsia="zh-CN"/>
                    </w:rPr>
                    <w:t>（1#厂房）</w:t>
                  </w:r>
                </w:p>
              </w:tc>
              <w:tc>
                <w:tcPr>
                  <w:tcW w:w="838" w:type="pct"/>
                  <w:tcBorders>
                    <w:tl2br w:val="nil"/>
                    <w:tr2bl w:val="nil"/>
                  </w:tcBorders>
                  <w:shd w:val="clear" w:color="auto" w:fill="auto"/>
                  <w:vAlign w:val="center"/>
                </w:tcPr>
                <w:p w14:paraId="19D60044">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620" w:type="pct"/>
                  <w:tcBorders>
                    <w:tl2br w:val="nil"/>
                    <w:tr2bl w:val="nil"/>
                  </w:tcBorders>
                  <w:shd w:val="clear" w:color="auto" w:fill="auto"/>
                  <w:vAlign w:val="center"/>
                </w:tcPr>
                <w:p w14:paraId="6F408817">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0.065 </w:t>
                  </w:r>
                </w:p>
              </w:tc>
              <w:tc>
                <w:tcPr>
                  <w:tcW w:w="473" w:type="pct"/>
                  <w:vMerge w:val="restart"/>
                  <w:tcBorders>
                    <w:tl2br w:val="nil"/>
                    <w:tr2bl w:val="nil"/>
                  </w:tcBorders>
                  <w:vAlign w:val="center"/>
                </w:tcPr>
                <w:p w14:paraId="3DF027E6">
                  <w:pPr>
                    <w:spacing w:line="360" w:lineRule="exact"/>
                    <w:jc w:val="center"/>
                    <w:rPr>
                      <w:rFonts w:hint="default" w:cs="Times New Roman"/>
                      <w:color w:val="auto"/>
                      <w:kern w:val="0"/>
                      <w:szCs w:val="21"/>
                      <w:lang w:val="en-US" w:eastAsia="zh-CN"/>
                    </w:rPr>
                  </w:pPr>
                  <w:r>
                    <w:rPr>
                      <w:rFonts w:hint="eastAsia" w:cs="Times New Roman"/>
                      <w:color w:val="auto"/>
                      <w:kern w:val="0"/>
                      <w:szCs w:val="21"/>
                      <w:lang w:val="en-US" w:eastAsia="zh-CN"/>
                    </w:rPr>
                    <w:t>5472</w:t>
                  </w:r>
                </w:p>
              </w:tc>
              <w:tc>
                <w:tcPr>
                  <w:tcW w:w="586" w:type="pct"/>
                  <w:tcBorders>
                    <w:tl2br w:val="nil"/>
                    <w:tr2bl w:val="nil"/>
                  </w:tcBorders>
                  <w:vAlign w:val="center"/>
                </w:tcPr>
                <w:p w14:paraId="0F2070AB">
                  <w:pPr>
                    <w:spacing w:line="360" w:lineRule="exact"/>
                    <w:jc w:val="center"/>
                    <w:rPr>
                      <w:rFonts w:hint="default"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2.0</w:t>
                  </w:r>
                </w:p>
              </w:tc>
              <w:tc>
                <w:tcPr>
                  <w:tcW w:w="526" w:type="pct"/>
                  <w:tcBorders>
                    <w:tl2br w:val="nil"/>
                    <w:tr2bl w:val="nil"/>
                  </w:tcBorders>
                  <w:vAlign w:val="center"/>
                </w:tcPr>
                <w:p w14:paraId="2B4B12B4">
                  <w:pPr>
                    <w:spacing w:line="360" w:lineRule="exact"/>
                    <w:jc w:val="center"/>
                    <w:rPr>
                      <w:rFonts w:hint="eastAsia" w:cs="Times New Roman"/>
                      <w:color w:val="auto"/>
                      <w:kern w:val="0"/>
                      <w:szCs w:val="21"/>
                      <w:lang w:val="en-US" w:eastAsia="zh-CN"/>
                    </w:rPr>
                  </w:pPr>
                  <w:r>
                    <w:rPr>
                      <w:rFonts w:hint="eastAsia"/>
                      <w:color w:val="auto"/>
                    </w:rPr>
                    <w:t>0.486</w:t>
                  </w:r>
                </w:p>
              </w:tc>
              <w:tc>
                <w:tcPr>
                  <w:tcW w:w="600" w:type="pct"/>
                  <w:tcBorders>
                    <w:tl2br w:val="nil"/>
                    <w:tr2bl w:val="nil"/>
                  </w:tcBorders>
                  <w:vAlign w:val="center"/>
                </w:tcPr>
                <w:p w14:paraId="09ACE0E1">
                  <w:pPr>
                    <w:spacing w:line="360" w:lineRule="exact"/>
                    <w:jc w:val="center"/>
                    <w:rPr>
                      <w:rFonts w:hint="default"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100</w:t>
                  </w:r>
                </w:p>
              </w:tc>
            </w:tr>
            <w:tr w14:paraId="046381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continue"/>
                  <w:tcBorders>
                    <w:tl2br w:val="nil"/>
                    <w:tr2bl w:val="nil"/>
                  </w:tcBorders>
                  <w:vAlign w:val="center"/>
                </w:tcPr>
                <w:p w14:paraId="7FDBD08C">
                  <w:pPr>
                    <w:spacing w:line="360" w:lineRule="exact"/>
                    <w:jc w:val="center"/>
                    <w:rPr>
                      <w:rFonts w:hint="eastAsia" w:ascii="Times New Roman" w:hAnsi="Times New Roman" w:eastAsia="宋体" w:cs="Times New Roman"/>
                      <w:color w:val="auto"/>
                      <w:szCs w:val="21"/>
                      <w:lang w:val="en-US" w:eastAsia="zh-CN"/>
                    </w:rPr>
                  </w:pPr>
                </w:p>
              </w:tc>
              <w:tc>
                <w:tcPr>
                  <w:tcW w:w="838" w:type="pct"/>
                  <w:tcBorders>
                    <w:tl2br w:val="nil"/>
                    <w:tr2bl w:val="nil"/>
                  </w:tcBorders>
                  <w:shd w:val="clear" w:color="auto" w:fill="auto"/>
                  <w:vAlign w:val="center"/>
                </w:tcPr>
                <w:p w14:paraId="6CF3C7D7">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620" w:type="pct"/>
                  <w:tcBorders>
                    <w:tl2br w:val="nil"/>
                    <w:tr2bl w:val="nil"/>
                  </w:tcBorders>
                  <w:shd w:val="clear" w:color="auto" w:fill="auto"/>
                  <w:vAlign w:val="center"/>
                </w:tcPr>
                <w:p w14:paraId="1F02E9A8">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 xml:space="preserve">0.001 </w:t>
                  </w:r>
                </w:p>
              </w:tc>
              <w:tc>
                <w:tcPr>
                  <w:tcW w:w="473" w:type="pct"/>
                  <w:vMerge w:val="continue"/>
                  <w:tcBorders>
                    <w:tl2br w:val="nil"/>
                    <w:tr2bl w:val="nil"/>
                  </w:tcBorders>
                  <w:vAlign w:val="center"/>
                </w:tcPr>
                <w:p w14:paraId="4C2551EB">
                  <w:pPr>
                    <w:spacing w:line="360" w:lineRule="exact"/>
                    <w:jc w:val="center"/>
                    <w:rPr>
                      <w:rFonts w:hint="eastAsia" w:cs="Times New Roman"/>
                      <w:color w:val="auto"/>
                      <w:kern w:val="0"/>
                      <w:szCs w:val="21"/>
                      <w:lang w:val="en-US" w:eastAsia="zh-CN"/>
                    </w:rPr>
                  </w:pPr>
                </w:p>
              </w:tc>
              <w:tc>
                <w:tcPr>
                  <w:tcW w:w="586" w:type="pct"/>
                  <w:tcBorders>
                    <w:tl2br w:val="nil"/>
                    <w:tr2bl w:val="nil"/>
                  </w:tcBorders>
                  <w:shd w:val="clear" w:color="auto" w:fill="auto"/>
                  <w:vAlign w:val="center"/>
                </w:tcPr>
                <w:p w14:paraId="43078830">
                  <w:pPr>
                    <w:spacing w:line="360" w:lineRule="exact"/>
                    <w:jc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Cs w:val="21"/>
                      <w:lang w:val="en-US" w:eastAsia="zh-CN"/>
                    </w:rPr>
                    <w:t>0.01</w:t>
                  </w:r>
                </w:p>
              </w:tc>
              <w:tc>
                <w:tcPr>
                  <w:tcW w:w="526" w:type="pct"/>
                  <w:tcBorders>
                    <w:tl2br w:val="nil"/>
                    <w:tr2bl w:val="nil"/>
                  </w:tcBorders>
                  <w:shd w:val="clear" w:color="auto" w:fill="auto"/>
                  <w:vAlign w:val="center"/>
                </w:tcPr>
                <w:p w14:paraId="4BE4636C">
                  <w:pPr>
                    <w:spacing w:line="360" w:lineRule="exact"/>
                    <w:jc w:val="center"/>
                    <w:rPr>
                      <w:rFonts w:hint="eastAsia" w:ascii="Times New Roman" w:hAnsi="Times New Roman" w:eastAsia="宋体" w:cs="Times New Roman"/>
                      <w:color w:val="auto"/>
                      <w:kern w:val="0"/>
                      <w:sz w:val="21"/>
                      <w:szCs w:val="21"/>
                      <w:lang w:val="en-US" w:eastAsia="zh-CN" w:bidi="ar-SA"/>
                    </w:rPr>
                  </w:pPr>
                  <w:r>
                    <w:rPr>
                      <w:rFonts w:hint="eastAsia"/>
                      <w:color w:val="auto"/>
                    </w:rPr>
                    <w:t>1.851</w:t>
                  </w:r>
                </w:p>
              </w:tc>
              <w:tc>
                <w:tcPr>
                  <w:tcW w:w="600" w:type="pct"/>
                  <w:tcBorders>
                    <w:tl2br w:val="nil"/>
                    <w:tr2bl w:val="nil"/>
                  </w:tcBorders>
                  <w:shd w:val="clear" w:color="auto" w:fill="auto"/>
                  <w:vAlign w:val="center"/>
                </w:tcPr>
                <w:p w14:paraId="73B003C1">
                  <w:pPr>
                    <w:spacing w:line="360" w:lineRule="exac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50</w:t>
                  </w:r>
                </w:p>
              </w:tc>
            </w:tr>
            <w:tr w14:paraId="03C155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355" w:type="pct"/>
                  <w:vMerge w:val="continue"/>
                  <w:tcBorders>
                    <w:tl2br w:val="nil"/>
                    <w:tr2bl w:val="nil"/>
                  </w:tcBorders>
                  <w:vAlign w:val="center"/>
                </w:tcPr>
                <w:p w14:paraId="4CC8761F">
                  <w:pPr>
                    <w:spacing w:line="360" w:lineRule="exact"/>
                    <w:jc w:val="center"/>
                    <w:rPr>
                      <w:rFonts w:hint="eastAsia" w:ascii="Times New Roman" w:hAnsi="Times New Roman" w:eastAsia="宋体" w:cs="Times New Roman"/>
                      <w:color w:val="auto"/>
                      <w:szCs w:val="21"/>
                      <w:lang w:val="en-US" w:eastAsia="zh-CN"/>
                    </w:rPr>
                  </w:pPr>
                </w:p>
              </w:tc>
              <w:tc>
                <w:tcPr>
                  <w:tcW w:w="838" w:type="pct"/>
                  <w:tcBorders>
                    <w:tl2br w:val="nil"/>
                    <w:tr2bl w:val="nil"/>
                  </w:tcBorders>
                  <w:shd w:val="clear" w:color="auto" w:fill="auto"/>
                  <w:vAlign w:val="center"/>
                </w:tcPr>
                <w:p w14:paraId="4F2B22D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颗粒物</w:t>
                  </w:r>
                </w:p>
              </w:tc>
              <w:tc>
                <w:tcPr>
                  <w:tcW w:w="620" w:type="pct"/>
                  <w:tcBorders>
                    <w:tl2br w:val="nil"/>
                    <w:tr2bl w:val="nil"/>
                  </w:tcBorders>
                  <w:shd w:val="clear" w:color="auto" w:fill="auto"/>
                  <w:vAlign w:val="center"/>
                </w:tcPr>
                <w:p w14:paraId="42346B49">
                  <w:pPr>
                    <w:keepNext w:val="0"/>
                    <w:keepLines w:val="0"/>
                    <w:pageBreakBefore w:val="0"/>
                    <w:widowControl/>
                    <w:suppressLineNumbers w:val="0"/>
                    <w:kinsoku/>
                    <w:wordWrap/>
                    <w:overflowPunct/>
                    <w:topLinePunct w:val="0"/>
                    <w:autoSpaceDE/>
                    <w:autoSpaceDN/>
                    <w:bidi w:val="0"/>
                    <w:spacing w:line="360" w:lineRule="atLeast"/>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0.006</w:t>
                  </w:r>
                </w:p>
              </w:tc>
              <w:tc>
                <w:tcPr>
                  <w:tcW w:w="473" w:type="pct"/>
                  <w:vMerge w:val="continue"/>
                  <w:tcBorders>
                    <w:tl2br w:val="nil"/>
                    <w:tr2bl w:val="nil"/>
                  </w:tcBorders>
                  <w:vAlign w:val="center"/>
                </w:tcPr>
                <w:p w14:paraId="56A1B9B4">
                  <w:pPr>
                    <w:spacing w:line="360" w:lineRule="exact"/>
                    <w:jc w:val="center"/>
                    <w:rPr>
                      <w:rFonts w:hint="eastAsia" w:cs="Times New Roman"/>
                      <w:color w:val="auto"/>
                      <w:kern w:val="0"/>
                      <w:szCs w:val="21"/>
                      <w:lang w:val="en-US" w:eastAsia="zh-CN"/>
                    </w:rPr>
                  </w:pPr>
                </w:p>
              </w:tc>
              <w:tc>
                <w:tcPr>
                  <w:tcW w:w="586" w:type="pct"/>
                  <w:tcBorders>
                    <w:tl2br w:val="nil"/>
                    <w:tr2bl w:val="nil"/>
                  </w:tcBorders>
                  <w:shd w:val="clear" w:color="auto" w:fill="auto"/>
                  <w:vAlign w:val="center"/>
                </w:tcPr>
                <w:p w14:paraId="2A124442">
                  <w:pPr>
                    <w:spacing w:line="360" w:lineRule="exact"/>
                    <w:jc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Cs w:val="21"/>
                      <w:lang w:val="en-US" w:eastAsia="zh-CN"/>
                    </w:rPr>
                    <w:t>0.9</w:t>
                  </w:r>
                </w:p>
              </w:tc>
              <w:tc>
                <w:tcPr>
                  <w:tcW w:w="526" w:type="pct"/>
                  <w:tcBorders>
                    <w:tl2br w:val="nil"/>
                    <w:tr2bl w:val="nil"/>
                  </w:tcBorders>
                  <w:shd w:val="clear" w:color="auto" w:fill="auto"/>
                  <w:vAlign w:val="center"/>
                </w:tcPr>
                <w:p w14:paraId="7F2F5D48">
                  <w:pPr>
                    <w:spacing w:line="360" w:lineRule="exac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0.074</w:t>
                  </w:r>
                </w:p>
              </w:tc>
              <w:tc>
                <w:tcPr>
                  <w:tcW w:w="600" w:type="pct"/>
                  <w:tcBorders>
                    <w:tl2br w:val="nil"/>
                    <w:tr2bl w:val="nil"/>
                  </w:tcBorders>
                  <w:shd w:val="clear" w:color="auto" w:fill="auto"/>
                  <w:vAlign w:val="center"/>
                </w:tcPr>
                <w:p w14:paraId="4F733FDD">
                  <w:pPr>
                    <w:spacing w:line="360" w:lineRule="exac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50</w:t>
                  </w:r>
                </w:p>
              </w:tc>
            </w:tr>
          </w:tbl>
          <w:p w14:paraId="63745D1F">
            <w:pPr>
              <w:keepNext w:val="0"/>
              <w:keepLines w:val="0"/>
              <w:pageBreakBefore w:val="0"/>
              <w:widowControl w:val="0"/>
              <w:kinsoku/>
              <w:wordWrap/>
              <w:overflowPunct/>
              <w:topLinePunct w:val="0"/>
              <w:autoSpaceDE w:val="0"/>
              <w:autoSpaceDN w:val="0"/>
              <w:bidi w:val="0"/>
              <w:adjustRightInd w:val="0"/>
              <w:snapToGrid w:val="0"/>
              <w:spacing w:line="400" w:lineRule="exact"/>
              <w:jc w:val="left"/>
              <w:textAlignment w:val="baseline"/>
              <w:rPr>
                <w:rFonts w:hint="eastAsia" w:ascii="Times New Roman" w:hAnsi="Times New Roman" w:eastAsia="宋体" w:cs="Times New Roman"/>
                <w:color w:val="auto"/>
                <w:kern w:val="0"/>
                <w:sz w:val="22"/>
                <w:szCs w:val="22"/>
                <w:lang w:val="en-US" w:eastAsia="zh-CN"/>
              </w:rPr>
            </w:pPr>
            <w:r>
              <w:rPr>
                <w:rFonts w:hint="eastAsia" w:ascii="Times New Roman" w:hAnsi="Times New Roman" w:eastAsia="宋体" w:cs="Times New Roman"/>
                <w:color w:val="auto"/>
                <w:kern w:val="0"/>
                <w:sz w:val="21"/>
                <w:szCs w:val="21"/>
                <w:lang w:eastAsia="zh-CN"/>
              </w:rPr>
              <w:t>说明：根据《环境影响评价技术导则</w:t>
            </w:r>
            <w:r>
              <w:rPr>
                <w:rFonts w:hint="eastAsia" w:ascii="Times New Roman" w:hAnsi="Times New Roman" w:eastAsia="宋体" w:cs="Times New Roman"/>
                <w:color w:val="auto"/>
                <w:kern w:val="0"/>
                <w:sz w:val="21"/>
                <w:szCs w:val="21"/>
                <w:lang w:val="en-US" w:eastAsia="zh-CN"/>
              </w:rPr>
              <w:t xml:space="preserve"> 大气环境</w:t>
            </w:r>
            <w:r>
              <w:rPr>
                <w:rFonts w:hint="eastAsia" w:ascii="Times New Roman" w:hAnsi="Times New Roman" w:eastAsia="宋体" w:cs="Times New Roman"/>
                <w:color w:val="auto"/>
                <w:kern w:val="0"/>
                <w:sz w:val="21"/>
                <w:szCs w:val="21"/>
                <w:lang w:eastAsia="zh-CN"/>
              </w:rPr>
              <w:t>》“对仅有</w:t>
            </w:r>
            <w:r>
              <w:rPr>
                <w:rFonts w:hint="eastAsia" w:ascii="Times New Roman" w:hAnsi="Times New Roman" w:eastAsia="宋体" w:cs="Times New Roman"/>
                <w:color w:val="auto"/>
                <w:kern w:val="0"/>
                <w:sz w:val="21"/>
                <w:szCs w:val="21"/>
                <w:lang w:val="en-US" w:eastAsia="zh-CN"/>
              </w:rPr>
              <w:t>8h平均质量浓度限值、日平均质量浓度限值或年平均质量浓度限值的，</w:t>
            </w:r>
            <w:r>
              <w:rPr>
                <w:rFonts w:hint="eastAsia" w:ascii="Times New Roman" w:hAnsi="Times New Roman" w:eastAsia="宋体" w:cs="Times New Roman"/>
                <w:color w:val="auto"/>
                <w:kern w:val="0"/>
                <w:sz w:val="21"/>
                <w:szCs w:val="21"/>
                <w:lang w:eastAsia="zh-CN"/>
              </w:rPr>
              <w:t>可分别按2倍、3倍、6倍折算为1</w:t>
            </w:r>
            <w:r>
              <w:rPr>
                <w:rFonts w:hint="eastAsia" w:ascii="Times New Roman" w:hAnsi="Times New Roman" w:eastAsia="宋体" w:cs="Times New Roman"/>
                <w:color w:val="auto"/>
                <w:kern w:val="0"/>
                <w:sz w:val="21"/>
                <w:szCs w:val="21"/>
                <w:lang w:val="en-US" w:eastAsia="zh-CN"/>
              </w:rPr>
              <w:t>h</w:t>
            </w:r>
            <w:r>
              <w:rPr>
                <w:rFonts w:hint="eastAsia" w:ascii="Times New Roman" w:hAnsi="Times New Roman" w:eastAsia="宋体" w:cs="Times New Roman"/>
                <w:color w:val="auto"/>
                <w:kern w:val="0"/>
                <w:sz w:val="21"/>
                <w:szCs w:val="21"/>
                <w:lang w:eastAsia="zh-CN"/>
              </w:rPr>
              <w:t>平均质量浓度值。”颗粒物的</w:t>
            </w:r>
            <w:r>
              <w:rPr>
                <w:rFonts w:hint="eastAsia" w:ascii="Times New Roman" w:hAnsi="Times New Roman" w:eastAsia="宋体" w:cs="Times New Roman"/>
                <w:color w:val="auto"/>
                <w:kern w:val="0"/>
                <w:sz w:val="21"/>
                <w:szCs w:val="21"/>
                <w:lang w:val="en-US" w:eastAsia="zh-CN"/>
              </w:rPr>
              <w:t>24小时平均质量浓度限值为0.3</w:t>
            </w:r>
            <w:r>
              <w:rPr>
                <w:rFonts w:ascii="Times New Roman" w:hAnsi="Times New Roman" w:eastAsia="宋体" w:cs="Times New Roman"/>
                <w:color w:val="auto"/>
                <w:sz w:val="21"/>
                <w:szCs w:val="21"/>
              </w:rPr>
              <w:t>mg/m</w:t>
            </w:r>
            <w:r>
              <w:rPr>
                <w:rFonts w:ascii="Times New Roman" w:hAnsi="Times New Roman" w:eastAsia="宋体" w:cs="Times New Roman"/>
                <w:color w:val="auto"/>
                <w:sz w:val="21"/>
                <w:szCs w:val="21"/>
                <w:vertAlign w:val="superscript"/>
              </w:rPr>
              <w:t>3</w:t>
            </w:r>
            <w:r>
              <w:rPr>
                <w:rFonts w:hint="eastAsia" w:ascii="Times New Roman" w:hAnsi="Times New Roman" w:eastAsia="宋体" w:cs="Times New Roman"/>
                <w:color w:val="auto"/>
                <w:sz w:val="21"/>
                <w:szCs w:val="21"/>
                <w:vertAlign w:val="baseline"/>
                <w:lang w:eastAsia="zh-CN"/>
              </w:rPr>
              <w:t>折算为</w:t>
            </w:r>
            <w:r>
              <w:rPr>
                <w:rFonts w:hint="eastAsia" w:ascii="Times New Roman" w:hAnsi="Times New Roman" w:eastAsia="宋体" w:cs="Times New Roman"/>
                <w:color w:val="auto"/>
                <w:sz w:val="21"/>
                <w:szCs w:val="21"/>
                <w:vertAlign w:val="baseline"/>
                <w:lang w:val="en-US" w:eastAsia="zh-CN"/>
              </w:rPr>
              <w:t>1h平均质量浓度限值为0.9</w:t>
            </w:r>
            <w:r>
              <w:rPr>
                <w:rFonts w:ascii="Times New Roman" w:hAnsi="Times New Roman" w:eastAsia="宋体" w:cs="Times New Roman"/>
                <w:color w:val="auto"/>
                <w:sz w:val="21"/>
                <w:szCs w:val="21"/>
              </w:rPr>
              <w:t>mg/m</w:t>
            </w:r>
            <w:r>
              <w:rPr>
                <w:rFonts w:ascii="Times New Roman" w:hAnsi="Times New Roman" w:eastAsia="宋体" w:cs="Times New Roman"/>
                <w:color w:val="auto"/>
                <w:sz w:val="21"/>
                <w:szCs w:val="21"/>
                <w:vertAlign w:val="superscript"/>
              </w:rPr>
              <w:t>3</w:t>
            </w:r>
            <w:r>
              <w:rPr>
                <w:rFonts w:hint="eastAsia" w:ascii="Times New Roman" w:hAnsi="Times New Roman" w:eastAsia="宋体" w:cs="Times New Roman"/>
                <w:color w:val="auto"/>
                <w:sz w:val="21"/>
                <w:szCs w:val="21"/>
                <w:vertAlign w:val="baseline"/>
                <w:lang w:eastAsia="zh-CN"/>
              </w:rPr>
              <w:t>。</w:t>
            </w:r>
          </w:p>
          <w:p w14:paraId="3ECC593D">
            <w:pPr>
              <w:autoSpaceDE w:val="0"/>
              <w:autoSpaceDN w:val="0"/>
              <w:adjustRightInd w:val="0"/>
              <w:snapToGrid w:val="0"/>
              <w:spacing w:line="500" w:lineRule="exact"/>
              <w:ind w:firstLine="440" w:firstLineChars="200"/>
              <w:jc w:val="left"/>
              <w:textAlignment w:val="baseline"/>
              <w:rPr>
                <w:rFonts w:hint="eastAsia" w:cs="Times New Roman"/>
                <w:color w:val="auto"/>
                <w:kern w:val="0"/>
                <w:sz w:val="22"/>
                <w:szCs w:val="22"/>
                <w:lang w:val="en-US" w:eastAsia="zh-CN"/>
              </w:rPr>
            </w:pPr>
            <w:r>
              <w:rPr>
                <w:rFonts w:hint="default" w:ascii="Times New Roman" w:hAnsi="Times New Roman" w:eastAsia="宋体" w:cs="Times New Roman"/>
                <w:color w:val="auto"/>
                <w:kern w:val="0"/>
                <w:sz w:val="22"/>
                <w:szCs w:val="22"/>
              </w:rPr>
              <w:t>根据《大气有害物质无组织排放卫生防护距离推导技术导则》（GB/T9499-2020）中的相关条款规定：“当企业某生产单元的无组织排放存在多种特征大气有害物质时，如果分别推导出的卫生防护距离初值在同一级别时，则该企业的卫生防护距离终值应提高一级。”由表4.1-</w:t>
            </w:r>
            <w:r>
              <w:rPr>
                <w:rFonts w:hint="eastAsia" w:ascii="Times New Roman" w:hAnsi="Times New Roman" w:eastAsia="宋体" w:cs="Times New Roman"/>
                <w:color w:val="auto"/>
                <w:kern w:val="0"/>
                <w:sz w:val="22"/>
                <w:szCs w:val="22"/>
                <w:lang w:val="en-US" w:eastAsia="zh-CN"/>
              </w:rPr>
              <w:t>7</w:t>
            </w:r>
            <w:r>
              <w:rPr>
                <w:rFonts w:hint="default" w:ascii="Times New Roman" w:hAnsi="Times New Roman" w:eastAsia="宋体" w:cs="Times New Roman"/>
                <w:color w:val="auto"/>
                <w:kern w:val="0"/>
                <w:sz w:val="22"/>
                <w:szCs w:val="22"/>
              </w:rPr>
              <w:t>可知，本项目需以</w:t>
            </w:r>
            <w:r>
              <w:rPr>
                <w:rFonts w:hint="eastAsia" w:ascii="Times New Roman" w:hAnsi="Times New Roman" w:eastAsia="宋体" w:cs="Times New Roman"/>
                <w:color w:val="auto"/>
                <w:kern w:val="0"/>
                <w:sz w:val="22"/>
                <w:szCs w:val="22"/>
                <w:lang w:val="en-US" w:eastAsia="zh-CN"/>
              </w:rPr>
              <w:t>混炼、硫化车间</w:t>
            </w:r>
            <w:r>
              <w:rPr>
                <w:rFonts w:hint="eastAsia" w:cs="Times New Roman"/>
                <w:color w:val="auto"/>
                <w:kern w:val="0"/>
                <w:sz w:val="22"/>
                <w:szCs w:val="22"/>
                <w:lang w:eastAsia="zh-CN"/>
              </w:rPr>
              <w:t>，</w:t>
            </w:r>
            <w:r>
              <w:rPr>
                <w:rFonts w:hint="eastAsia" w:ascii="Times New Roman" w:hAnsi="Times New Roman" w:eastAsia="宋体" w:cs="Times New Roman"/>
                <w:color w:val="auto"/>
                <w:kern w:val="0"/>
                <w:sz w:val="22"/>
                <w:szCs w:val="22"/>
                <w:lang w:val="en-US" w:eastAsia="zh-CN"/>
              </w:rPr>
              <w:t>喷涂</w:t>
            </w:r>
            <w:r>
              <w:rPr>
                <w:rFonts w:hint="eastAsia" w:cs="Times New Roman"/>
                <w:color w:val="auto"/>
                <w:kern w:val="0"/>
                <w:sz w:val="22"/>
                <w:szCs w:val="22"/>
                <w:lang w:val="en-US" w:eastAsia="zh-CN"/>
              </w:rPr>
              <w:t>、</w:t>
            </w:r>
            <w:r>
              <w:rPr>
                <w:rFonts w:hint="eastAsia" w:ascii="Times New Roman" w:hAnsi="Times New Roman" w:eastAsia="宋体" w:cs="Times New Roman"/>
                <w:color w:val="auto"/>
                <w:kern w:val="0"/>
                <w:sz w:val="22"/>
                <w:szCs w:val="22"/>
                <w:lang w:val="en-US" w:eastAsia="zh-CN"/>
              </w:rPr>
              <w:t>加热车间</w:t>
            </w:r>
            <w:r>
              <w:rPr>
                <w:rFonts w:hint="eastAsia" w:cs="Times New Roman"/>
                <w:color w:val="auto"/>
                <w:kern w:val="0"/>
                <w:sz w:val="22"/>
                <w:szCs w:val="22"/>
                <w:lang w:val="en-US" w:eastAsia="zh-CN"/>
              </w:rPr>
              <w:t>，</w:t>
            </w:r>
            <w:r>
              <w:rPr>
                <w:rFonts w:hint="default" w:ascii="Times New Roman" w:hAnsi="Times New Roman" w:eastAsia="宋体" w:cs="Times New Roman"/>
                <w:color w:val="auto"/>
                <w:kern w:val="0"/>
                <w:sz w:val="22"/>
                <w:szCs w:val="22"/>
                <w:lang w:eastAsia="zh-CN"/>
              </w:rPr>
              <w:t>涂胶和平板硫化车间</w:t>
            </w:r>
            <w:r>
              <w:rPr>
                <w:rFonts w:hint="default" w:ascii="Times New Roman" w:hAnsi="Times New Roman" w:eastAsia="宋体" w:cs="Times New Roman"/>
                <w:color w:val="auto"/>
                <w:kern w:val="0"/>
                <w:sz w:val="22"/>
                <w:szCs w:val="22"/>
              </w:rPr>
              <w:t>边界设置100米卫生防护距离</w:t>
            </w:r>
            <w:r>
              <w:rPr>
                <w:rFonts w:hint="eastAsia" w:cs="Times New Roman"/>
                <w:color w:val="auto"/>
                <w:kern w:val="0"/>
                <w:sz w:val="22"/>
                <w:szCs w:val="22"/>
                <w:lang w:eastAsia="zh-CN"/>
              </w:rPr>
              <w:t>，以</w:t>
            </w:r>
            <w:r>
              <w:rPr>
                <w:rFonts w:hint="eastAsia" w:cs="Times New Roman"/>
                <w:color w:val="auto"/>
                <w:kern w:val="0"/>
                <w:sz w:val="22"/>
                <w:szCs w:val="22"/>
                <w:lang w:val="en-US" w:eastAsia="zh-CN"/>
              </w:rPr>
              <w:t>精磨、细磨车间边界设置50米卫生防护距离</w:t>
            </w:r>
            <w:r>
              <w:rPr>
                <w:rFonts w:hint="default" w:ascii="Times New Roman" w:hAnsi="Times New Roman" w:eastAsia="宋体" w:cs="Times New Roman"/>
                <w:color w:val="auto"/>
                <w:kern w:val="0"/>
                <w:sz w:val="22"/>
                <w:szCs w:val="22"/>
              </w:rPr>
              <w:t>，目前在该卫生防护距离范围无居民、学校、医院等环境敏感点。</w:t>
            </w:r>
            <w:r>
              <w:rPr>
                <w:rFonts w:hint="eastAsia" w:cs="Times New Roman"/>
                <w:color w:val="auto"/>
                <w:kern w:val="0"/>
                <w:sz w:val="22"/>
                <w:szCs w:val="22"/>
                <w:lang w:eastAsia="zh-CN"/>
              </w:rPr>
              <w:t>卫生防护距离范围图详见附图</w:t>
            </w:r>
            <w:r>
              <w:rPr>
                <w:rFonts w:hint="eastAsia" w:cs="Times New Roman"/>
                <w:color w:val="auto"/>
                <w:kern w:val="0"/>
                <w:sz w:val="22"/>
                <w:szCs w:val="22"/>
                <w:lang w:val="en-US" w:eastAsia="zh-CN"/>
              </w:rPr>
              <w:t>6。</w:t>
            </w:r>
          </w:p>
          <w:p w14:paraId="06977C9A">
            <w:pPr>
              <w:spacing w:line="500" w:lineRule="exact"/>
              <w:ind w:firstLine="442" w:firstLineChars="200"/>
              <w:jc w:val="left"/>
              <w:rPr>
                <w:rFonts w:hint="default" w:ascii="Times New Roman" w:hAnsi="Times New Roman" w:eastAsia="宋体" w:cs="Times New Roman"/>
                <w:b/>
                <w:bCs/>
                <w:color w:val="auto"/>
                <w:kern w:val="0"/>
                <w:sz w:val="22"/>
                <w:szCs w:val="22"/>
              </w:rPr>
            </w:pPr>
            <w:r>
              <w:rPr>
                <w:rFonts w:hint="eastAsia" w:ascii="Times New Roman" w:hAnsi="Times New Roman" w:eastAsia="宋体" w:cs="Times New Roman"/>
                <w:b/>
                <w:bCs/>
                <w:color w:val="auto"/>
                <w:kern w:val="0"/>
                <w:sz w:val="22"/>
                <w:szCs w:val="22"/>
                <w:lang w:val="en-US" w:eastAsia="zh-CN"/>
              </w:rPr>
              <w:t>7.</w:t>
            </w:r>
            <w:r>
              <w:rPr>
                <w:rFonts w:hint="default" w:ascii="Times New Roman" w:hAnsi="Times New Roman" w:eastAsia="宋体" w:cs="Times New Roman"/>
                <w:b/>
                <w:bCs/>
                <w:color w:val="auto"/>
                <w:kern w:val="0"/>
                <w:sz w:val="22"/>
                <w:szCs w:val="22"/>
              </w:rPr>
              <w:t>废气排放影响分析</w:t>
            </w:r>
          </w:p>
          <w:p w14:paraId="731453D0">
            <w:pPr>
              <w:widowControl/>
              <w:kinsoku w:val="0"/>
              <w:autoSpaceDE w:val="0"/>
              <w:autoSpaceDN w:val="0"/>
              <w:adjustRightInd w:val="0"/>
              <w:snapToGrid w:val="0"/>
              <w:spacing w:line="500" w:lineRule="exact"/>
              <w:ind w:firstLine="440" w:firstLineChars="200"/>
              <w:jc w:val="left"/>
              <w:textAlignment w:val="baseline"/>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color w:val="auto"/>
                <w:kern w:val="0"/>
                <w:sz w:val="22"/>
                <w:szCs w:val="22"/>
              </w:rPr>
              <w:t>本项目所在地为</w:t>
            </w:r>
            <w:r>
              <w:rPr>
                <w:rFonts w:hint="eastAsia" w:ascii="Times New Roman" w:hAnsi="Times New Roman" w:eastAsia="宋体" w:cs="Times New Roman"/>
                <w:color w:val="auto"/>
                <w:kern w:val="0"/>
                <w:sz w:val="22"/>
                <w:szCs w:val="22"/>
                <w:lang w:eastAsia="zh-CN"/>
              </w:rPr>
              <w:t>不</w:t>
            </w:r>
            <w:r>
              <w:rPr>
                <w:rFonts w:hint="default" w:ascii="Times New Roman" w:hAnsi="Times New Roman" w:eastAsia="宋体" w:cs="Times New Roman"/>
                <w:color w:val="auto"/>
                <w:kern w:val="0"/>
                <w:sz w:val="22"/>
                <w:szCs w:val="22"/>
              </w:rPr>
              <w:t>达标区；项目卫生防护距离范围内无居民、学校、医院等环境敏感点；项目采取的污染防治措施属于可行技术，废气污染物经治理后均能达标排放，故本项目废气对大气环境影响较小，可确保周围大气环境质量达标。</w:t>
            </w:r>
          </w:p>
          <w:p w14:paraId="32D6E891">
            <w:pPr>
              <w:spacing w:line="500" w:lineRule="exact"/>
              <w:ind w:firstLine="442" w:firstLineChars="200"/>
              <w:jc w:val="left"/>
              <w:rPr>
                <w:rFonts w:hint="default" w:ascii="Times New Roman" w:hAnsi="Times New Roman" w:eastAsia="宋体" w:cs="Times New Roman"/>
                <w:b/>
                <w:bCs/>
                <w:color w:val="auto"/>
                <w:kern w:val="0"/>
                <w:sz w:val="22"/>
                <w:szCs w:val="22"/>
              </w:rPr>
            </w:pPr>
            <w:r>
              <w:rPr>
                <w:rFonts w:hint="eastAsia" w:ascii="Times New Roman" w:hAnsi="Times New Roman" w:eastAsia="宋体" w:cs="Times New Roman"/>
                <w:b/>
                <w:bCs/>
                <w:color w:val="auto"/>
                <w:kern w:val="0"/>
                <w:sz w:val="22"/>
                <w:szCs w:val="22"/>
                <w:lang w:val="en-US" w:eastAsia="zh-CN"/>
              </w:rPr>
              <w:t>8.</w:t>
            </w:r>
            <w:r>
              <w:rPr>
                <w:rFonts w:hint="default" w:ascii="Times New Roman" w:hAnsi="Times New Roman" w:eastAsia="宋体" w:cs="Times New Roman"/>
                <w:b/>
                <w:bCs/>
                <w:color w:val="auto"/>
                <w:kern w:val="0"/>
                <w:sz w:val="22"/>
                <w:szCs w:val="22"/>
              </w:rPr>
              <w:t>监测要求</w:t>
            </w:r>
          </w:p>
          <w:p w14:paraId="3AB14CDC">
            <w:pPr>
              <w:widowControl/>
              <w:kinsoku w:val="0"/>
              <w:autoSpaceDE w:val="0"/>
              <w:autoSpaceDN w:val="0"/>
              <w:adjustRightInd w:val="0"/>
              <w:snapToGrid w:val="0"/>
              <w:spacing w:line="500" w:lineRule="exact"/>
              <w:ind w:firstLine="440" w:firstLineChars="200"/>
              <w:jc w:val="left"/>
              <w:textAlignment w:val="baseline"/>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参照《排污单位自行监测技术指南 总则》（HJ819-2017）、《排污单位自行监测技术指南 橡胶和塑料制品》（HJ1207-2021）中的自行监测要求，本项目运营期废气环境监测计划见4.1-</w:t>
            </w:r>
            <w:r>
              <w:rPr>
                <w:rFonts w:hint="eastAsia" w:ascii="Times New Roman" w:hAnsi="Times New Roman" w:eastAsia="宋体" w:cs="Times New Roman"/>
                <w:color w:val="auto"/>
                <w:kern w:val="0"/>
                <w:sz w:val="22"/>
                <w:szCs w:val="22"/>
                <w:lang w:val="en-US" w:eastAsia="zh-CN"/>
              </w:rPr>
              <w:t>8</w:t>
            </w:r>
            <w:r>
              <w:rPr>
                <w:rFonts w:hint="default" w:ascii="Times New Roman" w:hAnsi="Times New Roman" w:eastAsia="宋体" w:cs="Times New Roman"/>
                <w:color w:val="auto"/>
                <w:kern w:val="0"/>
                <w:sz w:val="22"/>
                <w:szCs w:val="22"/>
              </w:rPr>
              <w:t>、4.1-</w:t>
            </w:r>
            <w:r>
              <w:rPr>
                <w:rFonts w:hint="eastAsia" w:ascii="Times New Roman" w:hAnsi="Times New Roman" w:eastAsia="宋体" w:cs="Times New Roman"/>
                <w:color w:val="auto"/>
                <w:kern w:val="0"/>
                <w:sz w:val="22"/>
                <w:szCs w:val="22"/>
                <w:lang w:val="en-US" w:eastAsia="zh-CN"/>
              </w:rPr>
              <w:t>9</w:t>
            </w:r>
            <w:r>
              <w:rPr>
                <w:rFonts w:hint="default" w:ascii="Times New Roman" w:hAnsi="Times New Roman" w:eastAsia="宋体" w:cs="Times New Roman"/>
                <w:color w:val="auto"/>
                <w:kern w:val="0"/>
                <w:sz w:val="22"/>
                <w:szCs w:val="22"/>
              </w:rPr>
              <w:t>。</w:t>
            </w:r>
          </w:p>
          <w:p w14:paraId="30FA4E51">
            <w:pPr>
              <w:spacing w:line="500" w:lineRule="exact"/>
              <w:jc w:val="center"/>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kern w:val="0"/>
                <w:sz w:val="22"/>
                <w:szCs w:val="22"/>
              </w:rPr>
              <w:t>表4.1-</w:t>
            </w:r>
            <w:r>
              <w:rPr>
                <w:rFonts w:hint="eastAsia" w:ascii="Times New Roman" w:hAnsi="Times New Roman" w:eastAsia="宋体" w:cs="Times New Roman"/>
                <w:b/>
                <w:bCs/>
                <w:color w:val="auto"/>
                <w:kern w:val="0"/>
                <w:sz w:val="22"/>
                <w:szCs w:val="22"/>
                <w:lang w:val="en-US" w:eastAsia="zh-CN"/>
              </w:rPr>
              <w:t xml:space="preserve">8   </w:t>
            </w:r>
            <w:r>
              <w:rPr>
                <w:rFonts w:hint="default" w:ascii="Times New Roman" w:hAnsi="Times New Roman" w:eastAsia="宋体" w:cs="Times New Roman"/>
                <w:b/>
                <w:bCs/>
                <w:color w:val="auto"/>
                <w:kern w:val="0"/>
                <w:sz w:val="22"/>
                <w:szCs w:val="22"/>
              </w:rPr>
              <w:t>有组织废气监测方案表</w:t>
            </w:r>
          </w:p>
          <w:tbl>
            <w:tblPr>
              <w:tblStyle w:val="44"/>
              <w:tblW w:w="4989" w:type="pct"/>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2293"/>
              <w:gridCol w:w="5000"/>
              <w:gridCol w:w="1856"/>
            </w:tblGrid>
            <w:tr w14:paraId="562FE8E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64CB2A0F">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监测点位</w:t>
                  </w:r>
                </w:p>
              </w:tc>
              <w:tc>
                <w:tcPr>
                  <w:tcW w:w="2732" w:type="pct"/>
                  <w:tcBorders>
                    <w:tl2br w:val="nil"/>
                    <w:tr2bl w:val="nil"/>
                  </w:tcBorders>
                  <w:vAlign w:val="center"/>
                </w:tcPr>
                <w:p w14:paraId="2EA2BA2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监测指标</w:t>
                  </w:r>
                </w:p>
              </w:tc>
              <w:tc>
                <w:tcPr>
                  <w:tcW w:w="1014" w:type="pct"/>
                  <w:tcBorders>
                    <w:tl2br w:val="nil"/>
                    <w:tr2bl w:val="nil"/>
                  </w:tcBorders>
                  <w:vAlign w:val="center"/>
                </w:tcPr>
                <w:p w14:paraId="17E7065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监测频次</w:t>
                  </w:r>
                </w:p>
              </w:tc>
            </w:tr>
            <w:tr w14:paraId="0370ECD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4A927D6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DA001排气筒</w:t>
                  </w:r>
                </w:p>
              </w:tc>
              <w:tc>
                <w:tcPr>
                  <w:tcW w:w="2732" w:type="pct"/>
                  <w:tcBorders>
                    <w:tl2br w:val="nil"/>
                    <w:tr2bl w:val="nil"/>
                  </w:tcBorders>
                  <w:shd w:val="clear" w:color="auto" w:fill="auto"/>
                  <w:vAlign w:val="center"/>
                </w:tcPr>
                <w:p w14:paraId="4B7353C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r>
                    <w:rPr>
                      <w:rFonts w:hint="eastAsia" w:ascii="Times New Roman" w:hAnsi="Times New Roman" w:eastAsia="宋体" w:cs="Times New Roman"/>
                      <w:color w:val="auto"/>
                      <w:w w:val="100"/>
                      <w:kern w:val="2"/>
                      <w:sz w:val="21"/>
                      <w:szCs w:val="21"/>
                      <w:lang w:eastAsia="zh-CN"/>
                    </w:rPr>
                    <w:t>颗粒物、臭气浓度</w:t>
                  </w:r>
                </w:p>
              </w:tc>
              <w:tc>
                <w:tcPr>
                  <w:tcW w:w="1014" w:type="pct"/>
                  <w:tcBorders>
                    <w:tl2br w:val="nil"/>
                    <w:tr2bl w:val="nil"/>
                  </w:tcBorders>
                  <w:vAlign w:val="center"/>
                </w:tcPr>
                <w:p w14:paraId="28DCBF7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3EB8A5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5A551CF8">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DA002排气筒</w:t>
                  </w:r>
                </w:p>
              </w:tc>
              <w:tc>
                <w:tcPr>
                  <w:tcW w:w="2732" w:type="pct"/>
                  <w:tcBorders>
                    <w:tl2br w:val="nil"/>
                    <w:tr2bl w:val="nil"/>
                  </w:tcBorders>
                  <w:shd w:val="clear" w:color="auto" w:fill="auto"/>
                  <w:vAlign w:val="center"/>
                </w:tcPr>
                <w:p w14:paraId="45C4D8C1">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r>
                    <w:rPr>
                      <w:rFonts w:hint="eastAsia" w:ascii="Times New Roman" w:hAnsi="Times New Roman" w:eastAsia="宋体" w:cs="Times New Roman"/>
                      <w:color w:val="auto"/>
                      <w:w w:val="100"/>
                      <w:kern w:val="2"/>
                      <w:sz w:val="21"/>
                      <w:szCs w:val="21"/>
                      <w:lang w:eastAsia="zh-CN"/>
                    </w:rPr>
                    <w:t>、二甲苯、硫化氢、臭气浓度</w:t>
                  </w:r>
                </w:p>
              </w:tc>
              <w:tc>
                <w:tcPr>
                  <w:tcW w:w="1014" w:type="pct"/>
                  <w:tcBorders>
                    <w:tl2br w:val="nil"/>
                    <w:tr2bl w:val="nil"/>
                  </w:tcBorders>
                  <w:vAlign w:val="center"/>
                </w:tcPr>
                <w:p w14:paraId="57635FE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5B0CCE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602EAE99">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5B0D2142">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p>
              </w:tc>
              <w:tc>
                <w:tcPr>
                  <w:tcW w:w="1014" w:type="pct"/>
                  <w:tcBorders>
                    <w:tl2br w:val="nil"/>
                    <w:tr2bl w:val="nil"/>
                  </w:tcBorders>
                  <w:vAlign w:val="center"/>
                </w:tcPr>
                <w:p w14:paraId="7FCD773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11DED3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6EB23B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173DA8CE">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1014" w:type="pct"/>
                  <w:tcBorders>
                    <w:tl2br w:val="nil"/>
                    <w:tr2bl w:val="nil"/>
                  </w:tcBorders>
                  <w:vAlign w:val="center"/>
                </w:tcPr>
                <w:p w14:paraId="38A4F22F">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4BAED4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27D68C65">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0053A65C">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1014" w:type="pct"/>
                  <w:tcBorders>
                    <w:tl2br w:val="nil"/>
                    <w:tr2bl w:val="nil"/>
                  </w:tcBorders>
                  <w:vAlign w:val="center"/>
                </w:tcPr>
                <w:p w14:paraId="61BEE6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336025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42E866FD">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56C99FA3">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1014" w:type="pct"/>
                  <w:tcBorders>
                    <w:tl2br w:val="nil"/>
                    <w:tr2bl w:val="nil"/>
                  </w:tcBorders>
                  <w:vAlign w:val="center"/>
                </w:tcPr>
                <w:p w14:paraId="5886873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19FE1E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28D43E40">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599D24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1014" w:type="pct"/>
                  <w:tcBorders>
                    <w:tl2br w:val="nil"/>
                    <w:tr2bl w:val="nil"/>
                  </w:tcBorders>
                  <w:vAlign w:val="center"/>
                </w:tcPr>
                <w:p w14:paraId="519BAA41">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3B7B92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vAlign w:val="center"/>
                </w:tcPr>
                <w:p w14:paraId="170156BA">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DA00</w:t>
                  </w:r>
                  <w:r>
                    <w:rPr>
                      <w:rFonts w:hint="default"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01077AA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颗粒物</w:t>
                  </w:r>
                </w:p>
              </w:tc>
              <w:tc>
                <w:tcPr>
                  <w:tcW w:w="1014" w:type="pct"/>
                  <w:tcBorders>
                    <w:tl2br w:val="nil"/>
                    <w:tr2bl w:val="nil"/>
                  </w:tcBorders>
                  <w:vAlign w:val="center"/>
                </w:tcPr>
                <w:p w14:paraId="4A61B882">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1次/年</w:t>
                  </w:r>
                </w:p>
              </w:tc>
            </w:tr>
            <w:tr w14:paraId="21D3EF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1253" w:type="pct"/>
                  <w:tcBorders>
                    <w:tl2br w:val="nil"/>
                    <w:tr2bl w:val="nil"/>
                  </w:tcBorders>
                  <w:shd w:val="clear" w:color="auto" w:fill="auto"/>
                  <w:vAlign w:val="center"/>
                </w:tcPr>
                <w:p w14:paraId="59089906">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DA00</w:t>
                  </w:r>
                  <w:r>
                    <w:rPr>
                      <w:rFonts w:hint="eastAsia" w:ascii="Times New Roman" w:hAnsi="Times New Roman" w:eastAsia="宋体" w:cs="Times New Roman"/>
                      <w:color w:val="auto"/>
                      <w:kern w:val="0"/>
                      <w:sz w:val="21"/>
                      <w:szCs w:val="21"/>
                      <w:lang w:val="en-US" w:eastAsia="zh-CN"/>
                    </w:rPr>
                    <w:t>9</w:t>
                  </w:r>
                  <w:r>
                    <w:rPr>
                      <w:rFonts w:hint="default" w:ascii="Times New Roman" w:hAnsi="Times New Roman" w:eastAsia="宋体" w:cs="Times New Roman"/>
                      <w:color w:val="auto"/>
                      <w:kern w:val="0"/>
                      <w:sz w:val="21"/>
                      <w:szCs w:val="21"/>
                    </w:rPr>
                    <w:t>排气筒</w:t>
                  </w:r>
                </w:p>
              </w:tc>
              <w:tc>
                <w:tcPr>
                  <w:tcW w:w="2732" w:type="pct"/>
                  <w:tcBorders>
                    <w:tl2br w:val="nil"/>
                    <w:tr2bl w:val="nil"/>
                  </w:tcBorders>
                  <w:shd w:val="clear" w:color="auto" w:fill="auto"/>
                  <w:vAlign w:val="center"/>
                </w:tcPr>
                <w:p w14:paraId="1D470CC4">
                  <w:pPr>
                    <w:keepNext w:val="0"/>
                    <w:keepLines w:val="0"/>
                    <w:pageBreakBefore w:val="0"/>
                    <w:widowControl w:val="0"/>
                    <w:kinsoku/>
                    <w:wordWrap/>
                    <w:overflowPunct/>
                    <w:topLinePunct w:val="0"/>
                    <w:autoSpaceDE/>
                    <w:autoSpaceDN/>
                    <w:bidi w:val="0"/>
                    <w:adjustRightInd w:val="0"/>
                    <w:snapToGrid w:val="0"/>
                    <w:spacing w:line="360" w:lineRule="exac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kern w:val="2"/>
                      <w:sz w:val="21"/>
                      <w:szCs w:val="21"/>
                      <w:lang w:eastAsia="zh-CN"/>
                    </w:rPr>
                    <w:t>挥发性有机物</w:t>
                  </w:r>
                  <w:r>
                    <w:rPr>
                      <w:rFonts w:hint="eastAsia" w:ascii="Times New Roman" w:hAnsi="Times New Roman" w:eastAsia="宋体" w:cs="Times New Roman"/>
                      <w:color w:val="auto"/>
                      <w:w w:val="100"/>
                      <w:kern w:val="2"/>
                      <w:sz w:val="21"/>
                      <w:szCs w:val="21"/>
                      <w:lang w:eastAsia="zh-CN"/>
                    </w:rPr>
                    <w:t>、甲苯、硫化氢、颗粒物、臭气浓度</w:t>
                  </w:r>
                </w:p>
              </w:tc>
              <w:tc>
                <w:tcPr>
                  <w:tcW w:w="1014" w:type="pct"/>
                  <w:tcBorders>
                    <w:tl2br w:val="nil"/>
                    <w:tr2bl w:val="nil"/>
                  </w:tcBorders>
                  <w:shd w:val="clear" w:color="auto" w:fill="auto"/>
                  <w:vAlign w:val="center"/>
                </w:tcPr>
                <w:p w14:paraId="5C05CBE4">
                  <w:pPr>
                    <w:keepNext w:val="0"/>
                    <w:keepLines w:val="0"/>
                    <w:pageBreakBefore w:val="0"/>
                    <w:widowControl w:val="0"/>
                    <w:kinsoku/>
                    <w:wordWrap/>
                    <w:overflowPunct/>
                    <w:topLinePunct w:val="0"/>
                    <w:autoSpaceDE/>
                    <w:autoSpaceDN/>
                    <w:bidi w:val="0"/>
                    <w:spacing w:line="360" w:lineRule="exact"/>
                    <w:jc w:val="center"/>
                    <w:textAlignment w:val="auto"/>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1次/年</w:t>
                  </w:r>
                </w:p>
              </w:tc>
            </w:tr>
          </w:tbl>
          <w:p w14:paraId="5262A371">
            <w:pPr>
              <w:spacing w:line="500" w:lineRule="exact"/>
              <w:jc w:val="center"/>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kern w:val="0"/>
                <w:sz w:val="22"/>
                <w:szCs w:val="22"/>
              </w:rPr>
              <w:t>表4.1-</w:t>
            </w:r>
            <w:r>
              <w:rPr>
                <w:rFonts w:hint="eastAsia" w:ascii="Times New Roman" w:hAnsi="Times New Roman" w:eastAsia="宋体" w:cs="Times New Roman"/>
                <w:b/>
                <w:bCs/>
                <w:color w:val="auto"/>
                <w:kern w:val="0"/>
                <w:sz w:val="22"/>
                <w:szCs w:val="22"/>
                <w:lang w:val="en-US" w:eastAsia="zh-CN"/>
              </w:rPr>
              <w:t xml:space="preserve">9  </w:t>
            </w:r>
            <w:r>
              <w:rPr>
                <w:rFonts w:hint="default" w:ascii="Times New Roman" w:hAnsi="Times New Roman" w:eastAsia="宋体" w:cs="Times New Roman"/>
                <w:b/>
                <w:bCs/>
                <w:color w:val="auto"/>
                <w:kern w:val="0"/>
                <w:sz w:val="22"/>
                <w:szCs w:val="22"/>
              </w:rPr>
              <w:t>无组织废气监测方案表</w:t>
            </w:r>
          </w:p>
          <w:tbl>
            <w:tblPr>
              <w:tblStyle w:val="44"/>
              <w:tblW w:w="497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1554"/>
              <w:gridCol w:w="6418"/>
              <w:gridCol w:w="1145"/>
            </w:tblGrid>
            <w:tr w14:paraId="5090D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852" w:type="pct"/>
                  <w:tcBorders>
                    <w:top w:val="single" w:color="auto" w:sz="12" w:space="0"/>
                  </w:tcBorders>
                  <w:vAlign w:val="center"/>
                </w:tcPr>
                <w:p w14:paraId="1BB79ED7">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监测点位</w:t>
                  </w:r>
                </w:p>
              </w:tc>
              <w:tc>
                <w:tcPr>
                  <w:tcW w:w="3519" w:type="pct"/>
                  <w:tcBorders>
                    <w:top w:val="single" w:color="auto" w:sz="12" w:space="0"/>
                  </w:tcBorders>
                  <w:vAlign w:val="center"/>
                </w:tcPr>
                <w:p w14:paraId="3B3A3739">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监测指标</w:t>
                  </w:r>
                </w:p>
              </w:tc>
              <w:tc>
                <w:tcPr>
                  <w:tcW w:w="628" w:type="pct"/>
                  <w:tcBorders>
                    <w:top w:val="single" w:color="auto" w:sz="12" w:space="0"/>
                    <w:right w:val="nil"/>
                  </w:tcBorders>
                  <w:vAlign w:val="center"/>
                </w:tcPr>
                <w:p w14:paraId="185AE2AC">
                  <w:pPr>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监测频次</w:t>
                  </w:r>
                </w:p>
              </w:tc>
            </w:tr>
            <w:tr w14:paraId="193DF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852" w:type="pct"/>
                  <w:tcBorders>
                    <w:left w:val="nil"/>
                  </w:tcBorders>
                  <w:vAlign w:val="center"/>
                </w:tcPr>
                <w:p w14:paraId="29D36306">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厂界</w:t>
                  </w:r>
                </w:p>
              </w:tc>
              <w:tc>
                <w:tcPr>
                  <w:tcW w:w="3519" w:type="pct"/>
                  <w:vAlign w:val="center"/>
                </w:tcPr>
                <w:p w14:paraId="2EF00230">
                  <w:pPr>
                    <w:spacing w:line="360" w:lineRule="exact"/>
                    <w:jc w:val="center"/>
                    <w:rPr>
                      <w:rFonts w:hint="default" w:ascii="Times New Roman" w:hAnsi="Times New Roman" w:eastAsia="宋体" w:cs="Times New Roman"/>
                      <w:color w:val="auto"/>
                      <w:szCs w:val="21"/>
                    </w:rPr>
                  </w:pPr>
                  <w:r>
                    <w:rPr>
                      <w:rFonts w:hint="eastAsia" w:cs="Times New Roman"/>
                      <w:color w:val="auto"/>
                      <w:w w:val="100"/>
                      <w:kern w:val="2"/>
                      <w:sz w:val="21"/>
                      <w:szCs w:val="21"/>
                      <w:lang w:eastAsia="zh-CN"/>
                    </w:rPr>
                    <w:t>挥发性有机物</w:t>
                  </w:r>
                  <w:r>
                    <w:rPr>
                      <w:rFonts w:hint="eastAsia" w:ascii="Times New Roman" w:hAnsi="Times New Roman" w:eastAsia="宋体" w:cs="Times New Roman"/>
                      <w:color w:val="auto"/>
                      <w:szCs w:val="21"/>
                      <w:lang w:eastAsia="zh-CN"/>
                    </w:rPr>
                    <w:t>、</w:t>
                  </w:r>
                  <w:r>
                    <w:rPr>
                      <w:rFonts w:hint="eastAsia" w:ascii="Times New Roman" w:hAnsi="Times New Roman" w:eastAsia="宋体" w:cs="Times New Roman"/>
                      <w:color w:val="auto"/>
                      <w:w w:val="100"/>
                      <w:kern w:val="2"/>
                      <w:sz w:val="21"/>
                      <w:szCs w:val="21"/>
                      <w:lang w:eastAsia="zh-CN"/>
                    </w:rPr>
                    <w:t>甲苯</w:t>
                  </w:r>
                  <w:r>
                    <w:rPr>
                      <w:rFonts w:hint="default" w:ascii="Times New Roman" w:hAnsi="Times New Roman" w:eastAsia="宋体" w:cs="Times New Roman"/>
                      <w:color w:val="auto"/>
                      <w:szCs w:val="21"/>
                      <w:lang w:eastAsia="zh-CN"/>
                    </w:rPr>
                    <w:t>、二甲苯、颗粒物、硫化氢</w:t>
                  </w:r>
                  <w:r>
                    <w:rPr>
                      <w:rFonts w:hint="eastAsia" w:cs="Times New Roman"/>
                      <w:color w:val="auto"/>
                      <w:szCs w:val="21"/>
                      <w:lang w:eastAsia="zh-CN"/>
                    </w:rPr>
                    <w:t>、</w:t>
                  </w:r>
                  <w:r>
                    <w:rPr>
                      <w:rFonts w:hint="default" w:ascii="Times New Roman" w:hAnsi="Times New Roman" w:eastAsia="宋体" w:cs="Times New Roman"/>
                      <w:color w:val="auto"/>
                      <w:szCs w:val="21"/>
                      <w:lang w:eastAsia="zh-CN"/>
                    </w:rPr>
                    <w:t>臭气浓度</w:t>
                  </w:r>
                </w:p>
              </w:tc>
              <w:tc>
                <w:tcPr>
                  <w:tcW w:w="628" w:type="pct"/>
                  <w:tcBorders>
                    <w:right w:val="nil"/>
                  </w:tcBorders>
                  <w:vAlign w:val="center"/>
                </w:tcPr>
                <w:p w14:paraId="31CCBE4C">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1次/年</w:t>
                  </w:r>
                </w:p>
              </w:tc>
            </w:tr>
            <w:tr w14:paraId="6D260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25" w:hRule="atLeast"/>
              </w:trPr>
              <w:tc>
                <w:tcPr>
                  <w:tcW w:w="852" w:type="pct"/>
                  <w:tcBorders>
                    <w:left w:val="nil"/>
                    <w:bottom w:val="single" w:color="auto" w:sz="12" w:space="0"/>
                  </w:tcBorders>
                  <w:vAlign w:val="center"/>
                </w:tcPr>
                <w:p w14:paraId="0E934202">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生产车间外</w:t>
                  </w:r>
                </w:p>
              </w:tc>
              <w:tc>
                <w:tcPr>
                  <w:tcW w:w="3519" w:type="pct"/>
                  <w:tcBorders>
                    <w:bottom w:val="single" w:color="auto" w:sz="12" w:space="0"/>
                  </w:tcBorders>
                  <w:vAlign w:val="center"/>
                </w:tcPr>
                <w:p w14:paraId="4F356F05">
                  <w:pPr>
                    <w:spacing w:line="360" w:lineRule="exact"/>
                    <w:jc w:val="center"/>
                    <w:rPr>
                      <w:rFonts w:hint="default" w:ascii="Times New Roman" w:hAnsi="Times New Roman" w:eastAsia="宋体" w:cs="Times New Roman"/>
                      <w:color w:val="auto"/>
                      <w:kern w:val="0"/>
                      <w:szCs w:val="21"/>
                    </w:rPr>
                  </w:pPr>
                  <w:r>
                    <w:rPr>
                      <w:rFonts w:hint="eastAsia" w:cs="Times New Roman"/>
                      <w:color w:val="auto"/>
                      <w:w w:val="100"/>
                      <w:kern w:val="2"/>
                      <w:sz w:val="21"/>
                      <w:szCs w:val="21"/>
                      <w:lang w:eastAsia="zh-CN"/>
                    </w:rPr>
                    <w:t>挥发性有机物</w:t>
                  </w:r>
                </w:p>
              </w:tc>
              <w:tc>
                <w:tcPr>
                  <w:tcW w:w="628" w:type="pct"/>
                  <w:tcBorders>
                    <w:bottom w:val="single" w:color="auto" w:sz="12" w:space="0"/>
                    <w:right w:val="nil"/>
                  </w:tcBorders>
                  <w:vAlign w:val="center"/>
                </w:tcPr>
                <w:p w14:paraId="280E0E77">
                  <w:pPr>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1次/年</w:t>
                  </w:r>
                </w:p>
              </w:tc>
            </w:tr>
          </w:tbl>
          <w:p w14:paraId="0460FA6F">
            <w:pPr>
              <w:keepNext w:val="0"/>
              <w:keepLines w:val="0"/>
              <w:pageBreakBefore w:val="0"/>
              <w:widowControl w:val="0"/>
              <w:suppressLineNumbers w:val="0"/>
              <w:kinsoku/>
              <w:wordWrap/>
              <w:overflowPunct/>
              <w:topLinePunct w:val="0"/>
              <w:autoSpaceDE/>
              <w:autoSpaceDN/>
              <w:bidi w:val="0"/>
              <w:adjustRightInd/>
              <w:snapToGrid/>
              <w:spacing w:line="500" w:lineRule="exact"/>
              <w:ind w:firstLine="442" w:firstLineChars="200"/>
              <w:jc w:val="left"/>
              <w:textAlignment w:val="auto"/>
              <w:outlineLvl w:val="9"/>
              <w:rPr>
                <w:rFonts w:hint="default" w:ascii="Times New Roman" w:hAnsi="Times New Roman" w:cs="Times New Roman" w:eastAsiaTheme="minorEastAsia"/>
                <w:color w:val="auto"/>
                <w:sz w:val="22"/>
                <w:szCs w:val="22"/>
              </w:rPr>
            </w:pPr>
            <w:r>
              <w:rPr>
                <w:rFonts w:hint="eastAsia" w:ascii="Times New Roman" w:hAnsi="Times New Roman" w:cs="Times New Roman" w:eastAsiaTheme="minorEastAsia"/>
                <w:b/>
                <w:color w:val="auto"/>
                <w:kern w:val="0"/>
                <w:sz w:val="22"/>
                <w:szCs w:val="22"/>
                <w:lang w:val="en-US" w:eastAsia="zh-CN" w:bidi="ar"/>
              </w:rPr>
              <w:t>4.2</w:t>
            </w:r>
            <w:r>
              <w:rPr>
                <w:rFonts w:hint="default" w:ascii="Times New Roman" w:hAnsi="Times New Roman" w:cs="Times New Roman" w:eastAsiaTheme="minorEastAsia"/>
                <w:b/>
                <w:color w:val="auto"/>
                <w:kern w:val="0"/>
                <w:sz w:val="22"/>
                <w:szCs w:val="22"/>
                <w:lang w:val="en-US" w:eastAsia="zh-CN" w:bidi="ar"/>
              </w:rPr>
              <w:t>废水</w:t>
            </w:r>
          </w:p>
          <w:p w14:paraId="603E8FC8">
            <w:pPr>
              <w:keepNext w:val="0"/>
              <w:keepLines w:val="0"/>
              <w:pageBreakBefore w:val="0"/>
              <w:widowControl w:val="0"/>
              <w:suppressLineNumbers w:val="0"/>
              <w:kinsoku/>
              <w:wordWrap/>
              <w:overflowPunct/>
              <w:topLinePunct w:val="0"/>
              <w:autoSpaceDE/>
              <w:autoSpaceDN/>
              <w:bidi w:val="0"/>
              <w:adjustRightInd/>
              <w:snapToGrid/>
              <w:spacing w:line="500" w:lineRule="exact"/>
              <w:ind w:firstLine="442" w:firstLineChars="200"/>
              <w:jc w:val="left"/>
              <w:textAlignment w:val="auto"/>
              <w:outlineLvl w:val="9"/>
              <w:rPr>
                <w:rFonts w:hint="default" w:ascii="Times New Roman" w:hAnsi="Times New Roman" w:cs="Times New Roman" w:eastAsiaTheme="minorEastAsia"/>
                <w:b/>
                <w:bCs/>
                <w:color w:val="auto"/>
                <w:sz w:val="22"/>
                <w:szCs w:val="22"/>
                <w:lang w:val="en-US" w:eastAsia="zh-CN"/>
              </w:rPr>
            </w:pPr>
            <w:r>
              <w:rPr>
                <w:rFonts w:hint="eastAsia" w:ascii="宋体" w:hAnsi="宋体" w:eastAsia="宋体" w:cs="宋体"/>
                <w:b/>
                <w:bCs/>
                <w:color w:val="auto"/>
                <w:sz w:val="22"/>
                <w:szCs w:val="22"/>
                <w:lang w:val="en-US" w:eastAsia="zh-CN"/>
              </w:rPr>
              <w:t>⑴</w:t>
            </w:r>
            <w:r>
              <w:rPr>
                <w:rFonts w:hint="default" w:ascii="Times New Roman" w:hAnsi="Times New Roman" w:cs="Times New Roman" w:eastAsiaTheme="minorEastAsia"/>
                <w:b/>
                <w:bCs/>
                <w:color w:val="auto"/>
                <w:sz w:val="22"/>
                <w:szCs w:val="22"/>
                <w:lang w:val="en-US" w:eastAsia="zh-CN"/>
              </w:rPr>
              <w:t>废水污染物源强</w:t>
            </w:r>
          </w:p>
          <w:p w14:paraId="5ADFFDCF">
            <w:pPr>
              <w:pStyle w:val="28"/>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0" w:firstLineChars="200"/>
              <w:jc w:val="left"/>
              <w:textAlignment w:val="auto"/>
              <w:outlineLvl w:val="9"/>
              <w:rPr>
                <w:rFonts w:hint="default" w:ascii="Times New Roman" w:hAnsi="Times New Roman" w:cs="Times New Roman" w:eastAsiaTheme="minorEastAsia"/>
                <w:color w:val="auto"/>
                <w:w w:val="100"/>
                <w:sz w:val="22"/>
                <w:szCs w:val="22"/>
              </w:rPr>
            </w:pPr>
            <w:r>
              <w:rPr>
                <w:rFonts w:hint="default" w:ascii="Times New Roman" w:hAnsi="Times New Roman" w:cs="Times New Roman" w:eastAsiaTheme="minorEastAsia"/>
                <w:color w:val="auto"/>
                <w:w w:val="100"/>
                <w:sz w:val="22"/>
                <w:szCs w:val="22"/>
                <w:lang w:eastAsia="zh-CN"/>
              </w:rPr>
              <w:t>技改</w:t>
            </w:r>
            <w:r>
              <w:rPr>
                <w:rFonts w:hint="default" w:ascii="Times New Roman" w:hAnsi="Times New Roman" w:cs="Times New Roman" w:eastAsiaTheme="minorEastAsia"/>
                <w:color w:val="auto"/>
                <w:w w:val="100"/>
                <w:sz w:val="22"/>
                <w:szCs w:val="22"/>
              </w:rPr>
              <w:t>项目主要废水为</w:t>
            </w:r>
            <w:r>
              <w:rPr>
                <w:rFonts w:hint="default" w:ascii="Times New Roman" w:hAnsi="Times New Roman" w:cs="Times New Roman" w:eastAsiaTheme="minorEastAsia"/>
                <w:color w:val="auto"/>
                <w:w w:val="100"/>
                <w:sz w:val="22"/>
                <w:szCs w:val="22"/>
                <w:lang w:val="en-US" w:eastAsia="zh-CN"/>
              </w:rPr>
              <w:t>循环冷却水、清洗废水</w:t>
            </w:r>
            <w:r>
              <w:rPr>
                <w:rFonts w:hint="eastAsia" w:ascii="Times New Roman" w:hAnsi="Times New Roman" w:cs="Times New Roman" w:eastAsiaTheme="minorEastAsia"/>
                <w:color w:val="auto"/>
                <w:w w:val="100"/>
                <w:sz w:val="22"/>
                <w:szCs w:val="22"/>
                <w:lang w:val="en-US" w:eastAsia="zh-CN"/>
              </w:rPr>
              <w:t>、水喷淋废水</w:t>
            </w:r>
            <w:r>
              <w:rPr>
                <w:rFonts w:hint="default" w:ascii="Times New Roman" w:hAnsi="Times New Roman" w:cs="Times New Roman" w:eastAsiaTheme="minorEastAsia"/>
                <w:color w:val="auto"/>
                <w:w w:val="100"/>
                <w:sz w:val="22"/>
                <w:szCs w:val="22"/>
                <w:lang w:val="en-US" w:eastAsia="zh-CN"/>
              </w:rPr>
              <w:t>和</w:t>
            </w:r>
            <w:r>
              <w:rPr>
                <w:rFonts w:hint="default" w:ascii="Times New Roman" w:hAnsi="Times New Roman" w:cs="Times New Roman" w:eastAsiaTheme="minorEastAsia"/>
                <w:color w:val="auto"/>
                <w:w w:val="100"/>
                <w:sz w:val="22"/>
                <w:szCs w:val="22"/>
              </w:rPr>
              <w:t>生活污水。</w:t>
            </w:r>
          </w:p>
          <w:p w14:paraId="196A01AB">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42" w:firstLineChars="200"/>
              <w:jc w:val="left"/>
              <w:textAlignment w:val="auto"/>
              <w:outlineLvl w:val="9"/>
              <w:rPr>
                <w:rFonts w:hint="default" w:ascii="Times New Roman" w:hAnsi="Times New Roman" w:cs="Times New Roman" w:eastAsiaTheme="minorEastAsia"/>
                <w:b/>
                <w:bCs/>
                <w:color w:val="auto"/>
                <w:w w:val="100"/>
                <w:sz w:val="22"/>
                <w:szCs w:val="22"/>
              </w:rPr>
            </w:pPr>
            <w:r>
              <w:rPr>
                <w:rFonts w:hint="default" w:ascii="Times New Roman" w:hAnsi="Times New Roman" w:cs="Times New Roman" w:eastAsiaTheme="minorEastAsia"/>
                <w:b/>
                <w:bCs/>
                <w:color w:val="auto"/>
                <w:w w:val="100"/>
                <w:sz w:val="22"/>
                <w:szCs w:val="22"/>
              </w:rPr>
              <w:t>①循环冷却水</w:t>
            </w:r>
          </w:p>
          <w:p w14:paraId="4E2534BE">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40" w:firstLineChars="200"/>
              <w:jc w:val="left"/>
              <w:textAlignment w:val="auto"/>
              <w:outlineLvl w:val="9"/>
              <w:rPr>
                <w:rFonts w:hint="default" w:ascii="Times New Roman" w:hAnsi="Times New Roman" w:cs="Times New Roman" w:eastAsiaTheme="minorEastAsia"/>
                <w:color w:val="auto"/>
                <w:w w:val="100"/>
                <w:sz w:val="22"/>
                <w:szCs w:val="22"/>
                <w:lang w:val="en-US" w:eastAsia="zh-CN"/>
              </w:rPr>
            </w:pPr>
            <w:r>
              <w:rPr>
                <w:rFonts w:hint="default" w:ascii="Times New Roman" w:hAnsi="Times New Roman" w:cs="Times New Roman" w:eastAsiaTheme="minorEastAsia"/>
                <w:color w:val="auto"/>
                <w:w w:val="100"/>
                <w:sz w:val="22"/>
                <w:szCs w:val="22"/>
                <w:lang w:eastAsia="zh-CN"/>
              </w:rPr>
              <w:t>项目有</w:t>
            </w:r>
            <w:r>
              <w:rPr>
                <w:rFonts w:hint="default" w:ascii="Times New Roman" w:hAnsi="Times New Roman" w:cs="Times New Roman" w:eastAsiaTheme="minorEastAsia"/>
                <w:color w:val="auto"/>
                <w:w w:val="100"/>
                <w:sz w:val="22"/>
                <w:szCs w:val="22"/>
                <w:lang w:val="en-US" w:eastAsia="zh-CN"/>
              </w:rPr>
              <w:t>1座</w:t>
            </w:r>
            <w:r>
              <w:rPr>
                <w:rFonts w:hint="default" w:ascii="Times New Roman" w:hAnsi="Times New Roman" w:cs="Times New Roman" w:eastAsiaTheme="minorEastAsia"/>
                <w:color w:val="auto"/>
                <w:w w:val="100"/>
                <w:sz w:val="22"/>
                <w:szCs w:val="22"/>
                <w:lang w:eastAsia="zh-CN"/>
              </w:rPr>
              <w:t>循环冷却水塔，尺寸：Ф</w:t>
            </w:r>
            <w:r>
              <w:rPr>
                <w:rFonts w:hint="default" w:ascii="Times New Roman" w:hAnsi="Times New Roman" w:cs="Times New Roman" w:eastAsiaTheme="minorEastAsia"/>
                <w:color w:val="auto"/>
                <w:w w:val="100"/>
                <w:sz w:val="22"/>
                <w:szCs w:val="22"/>
                <w:lang w:val="en-US" w:eastAsia="zh-CN"/>
              </w:rPr>
              <w:t>2.3m×0.2m,循环水量为1</w:t>
            </w:r>
            <w:r>
              <w:rPr>
                <w:rFonts w:hint="default" w:ascii="Times New Roman" w:hAnsi="Times New Roman" w:cs="Times New Roman" w:eastAsiaTheme="minorEastAsia"/>
                <w:color w:val="auto"/>
                <w:w w:val="100"/>
                <w:sz w:val="22"/>
                <w:szCs w:val="22"/>
              </w:rPr>
              <w:t>m³/h</w:t>
            </w:r>
            <w:r>
              <w:rPr>
                <w:rFonts w:hint="default" w:ascii="Times New Roman" w:hAnsi="Times New Roman" w:cs="Times New Roman" w:eastAsiaTheme="minorEastAsia"/>
                <w:color w:val="auto"/>
                <w:w w:val="100"/>
                <w:sz w:val="22"/>
                <w:szCs w:val="22"/>
                <w:lang w:val="en-US" w:eastAsia="zh-CN"/>
              </w:rPr>
              <w:t>,年运行</w:t>
            </w:r>
            <w:r>
              <w:rPr>
                <w:rFonts w:hint="eastAsia" w:cs="Times New Roman" w:eastAsiaTheme="minorEastAsia"/>
                <w:color w:val="auto"/>
                <w:w w:val="100"/>
                <w:sz w:val="22"/>
                <w:szCs w:val="22"/>
                <w:lang w:val="en-US" w:eastAsia="zh-CN"/>
              </w:rPr>
              <w:t>72</w:t>
            </w:r>
            <w:r>
              <w:rPr>
                <w:rFonts w:hint="default" w:ascii="Times New Roman" w:hAnsi="Times New Roman" w:cs="Times New Roman" w:eastAsiaTheme="minorEastAsia"/>
                <w:color w:val="auto"/>
                <w:w w:val="100"/>
                <w:sz w:val="22"/>
                <w:szCs w:val="22"/>
                <w:lang w:val="en-US" w:eastAsia="zh-CN"/>
              </w:rPr>
              <w:t>00</w:t>
            </w:r>
            <w:r>
              <w:rPr>
                <w:rFonts w:hint="default" w:ascii="Times New Roman" w:hAnsi="Times New Roman" w:cs="Times New Roman" w:eastAsiaTheme="minorEastAsia"/>
                <w:color w:val="auto"/>
                <w:w w:val="100"/>
                <w:sz w:val="22"/>
                <w:szCs w:val="22"/>
              </w:rPr>
              <w:t>h</w:t>
            </w:r>
            <w:r>
              <w:rPr>
                <w:rFonts w:hint="default" w:ascii="Times New Roman" w:hAnsi="Times New Roman" w:cs="Times New Roman" w:eastAsiaTheme="minorEastAsia"/>
                <w:color w:val="auto"/>
                <w:w w:val="100"/>
                <w:sz w:val="22"/>
                <w:szCs w:val="22"/>
                <w:lang w:val="en-US" w:eastAsia="zh-CN"/>
              </w:rPr>
              <w:t>，</w:t>
            </w:r>
            <w:r>
              <w:rPr>
                <w:rFonts w:hint="default" w:ascii="Times New Roman" w:hAnsi="Times New Roman" w:cs="Times New Roman" w:eastAsiaTheme="minorEastAsia"/>
                <w:color w:val="auto"/>
                <w:w w:val="100"/>
                <w:sz w:val="22"/>
                <w:szCs w:val="22"/>
              </w:rPr>
              <w:t>循环水量约</w:t>
            </w:r>
            <w:r>
              <w:rPr>
                <w:rFonts w:hint="eastAsia" w:cs="Times New Roman" w:eastAsiaTheme="minorEastAsia"/>
                <w:color w:val="auto"/>
                <w:w w:val="100"/>
                <w:sz w:val="22"/>
                <w:szCs w:val="22"/>
                <w:lang w:val="en-US" w:eastAsia="zh-CN"/>
              </w:rPr>
              <w:t>72</w:t>
            </w:r>
            <w:r>
              <w:rPr>
                <w:rFonts w:hint="default" w:ascii="Times New Roman" w:hAnsi="Times New Roman" w:cs="Times New Roman" w:eastAsiaTheme="minorEastAsia"/>
                <w:color w:val="auto"/>
                <w:w w:val="100"/>
                <w:sz w:val="22"/>
                <w:szCs w:val="22"/>
                <w:lang w:val="en-US" w:eastAsia="zh-CN"/>
              </w:rPr>
              <w:t>00</w:t>
            </w:r>
            <w:r>
              <w:rPr>
                <w:rFonts w:hint="default" w:ascii="Times New Roman" w:hAnsi="Times New Roman" w:cs="Times New Roman" w:eastAsiaTheme="minorEastAsia"/>
                <w:color w:val="auto"/>
                <w:w w:val="100"/>
                <w:sz w:val="22"/>
                <w:szCs w:val="22"/>
              </w:rPr>
              <w:t>m³/a。冷却系统补充水量占循环水量的2%，则补水量约为</w:t>
            </w:r>
            <w:r>
              <w:rPr>
                <w:rFonts w:hint="eastAsia" w:cs="Times New Roman" w:eastAsiaTheme="minorEastAsia"/>
                <w:color w:val="auto"/>
                <w:w w:val="100"/>
                <w:sz w:val="22"/>
                <w:szCs w:val="22"/>
                <w:lang w:val="en-US" w:eastAsia="zh-CN"/>
              </w:rPr>
              <w:t>144</w:t>
            </w:r>
            <w:r>
              <w:rPr>
                <w:rFonts w:hint="default" w:ascii="Times New Roman" w:hAnsi="Times New Roman" w:cs="Times New Roman" w:eastAsiaTheme="minorEastAsia"/>
                <w:color w:val="auto"/>
                <w:w w:val="100"/>
                <w:sz w:val="22"/>
                <w:szCs w:val="22"/>
              </w:rPr>
              <w:t>m³/a，设计浓缩倍数为5，则蒸发</w:t>
            </w:r>
            <w:r>
              <w:rPr>
                <w:rFonts w:hint="eastAsia" w:cs="Times New Roman" w:eastAsiaTheme="minorEastAsia"/>
                <w:color w:val="auto"/>
                <w:w w:val="100"/>
                <w:sz w:val="22"/>
                <w:szCs w:val="22"/>
                <w:lang w:val="en-US" w:eastAsia="zh-CN"/>
              </w:rPr>
              <w:t>115.2</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产生的</w:t>
            </w:r>
            <w:r>
              <w:rPr>
                <w:rFonts w:hint="eastAsia" w:cs="Times New Roman" w:eastAsiaTheme="minorEastAsia"/>
                <w:color w:val="auto"/>
                <w:w w:val="100"/>
                <w:sz w:val="22"/>
                <w:szCs w:val="22"/>
                <w:lang w:val="en-US" w:eastAsia="zh-CN"/>
              </w:rPr>
              <w:t>28.8</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循环冷却水循环使用，不外排</w:t>
            </w:r>
            <w:r>
              <w:rPr>
                <w:rFonts w:hint="default" w:ascii="Times New Roman" w:hAnsi="Times New Roman" w:cs="Times New Roman" w:eastAsiaTheme="minorEastAsia"/>
                <w:color w:val="auto"/>
                <w:w w:val="100"/>
                <w:sz w:val="22"/>
                <w:szCs w:val="22"/>
              </w:rPr>
              <w:t>。</w:t>
            </w:r>
          </w:p>
          <w:p w14:paraId="51687D8A">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40" w:firstLineChars="200"/>
              <w:jc w:val="left"/>
              <w:textAlignment w:val="auto"/>
              <w:outlineLvl w:val="9"/>
              <w:rPr>
                <w:rFonts w:hint="default" w:ascii="Times New Roman" w:hAnsi="Times New Roman" w:cs="Times New Roman" w:eastAsiaTheme="minorEastAsia"/>
                <w:color w:val="auto"/>
                <w:w w:val="100"/>
                <w:sz w:val="22"/>
                <w:szCs w:val="22"/>
                <w:lang w:eastAsia="zh-CN"/>
              </w:rPr>
            </w:pPr>
            <w:r>
              <w:rPr>
                <w:rFonts w:hint="default" w:ascii="Times New Roman" w:hAnsi="Times New Roman" w:cs="Times New Roman" w:eastAsiaTheme="minorEastAsia"/>
                <w:color w:val="auto"/>
                <w:w w:val="100"/>
                <w:sz w:val="22"/>
                <w:szCs w:val="22"/>
                <w:lang w:eastAsia="zh-CN"/>
              </w:rPr>
              <w:t>项目有循环水池</w:t>
            </w:r>
            <w:r>
              <w:rPr>
                <w:rFonts w:hint="default" w:ascii="Times New Roman" w:hAnsi="Times New Roman" w:cs="Times New Roman" w:eastAsiaTheme="minorEastAsia"/>
                <w:color w:val="auto"/>
                <w:w w:val="100"/>
                <w:sz w:val="22"/>
                <w:szCs w:val="22"/>
                <w:lang w:val="en-US" w:eastAsia="zh-CN"/>
              </w:rPr>
              <w:t>1座，</w:t>
            </w:r>
            <w:r>
              <w:rPr>
                <w:rFonts w:hint="default" w:ascii="Times New Roman" w:hAnsi="Times New Roman" w:cs="Times New Roman" w:eastAsiaTheme="minorEastAsia"/>
                <w:color w:val="auto"/>
                <w:w w:val="100"/>
                <w:sz w:val="22"/>
                <w:szCs w:val="22"/>
                <w:lang w:eastAsia="zh-CN"/>
              </w:rPr>
              <w:t>尺寸：</w:t>
            </w:r>
            <w:r>
              <w:rPr>
                <w:rFonts w:hint="default" w:ascii="Times New Roman" w:hAnsi="Times New Roman" w:cs="Times New Roman" w:eastAsiaTheme="minorEastAsia"/>
                <w:color w:val="auto"/>
                <w:w w:val="100"/>
                <w:sz w:val="22"/>
                <w:szCs w:val="22"/>
                <w:lang w:val="en-US" w:eastAsia="zh-CN"/>
              </w:rPr>
              <w:t>2.5m×1.7m×1.5m,循环水量为0.5</w:t>
            </w:r>
            <w:r>
              <w:rPr>
                <w:rFonts w:hint="default" w:ascii="Times New Roman" w:hAnsi="Times New Roman" w:cs="Times New Roman" w:eastAsiaTheme="minorEastAsia"/>
                <w:color w:val="auto"/>
                <w:w w:val="100"/>
                <w:sz w:val="22"/>
                <w:szCs w:val="22"/>
              </w:rPr>
              <w:t>m³/h</w:t>
            </w:r>
            <w:r>
              <w:rPr>
                <w:rFonts w:hint="default" w:ascii="Times New Roman" w:hAnsi="Times New Roman" w:cs="Times New Roman" w:eastAsiaTheme="minorEastAsia"/>
                <w:color w:val="auto"/>
                <w:w w:val="100"/>
                <w:sz w:val="22"/>
                <w:szCs w:val="22"/>
                <w:lang w:val="en-US" w:eastAsia="zh-CN"/>
              </w:rPr>
              <w:t>,年运行</w:t>
            </w:r>
            <w:r>
              <w:rPr>
                <w:rFonts w:hint="eastAsia" w:cs="Times New Roman" w:eastAsiaTheme="minorEastAsia"/>
                <w:color w:val="auto"/>
                <w:w w:val="100"/>
                <w:sz w:val="22"/>
                <w:szCs w:val="22"/>
                <w:lang w:val="en-US" w:eastAsia="zh-CN"/>
              </w:rPr>
              <w:t>72</w:t>
            </w:r>
            <w:r>
              <w:rPr>
                <w:rFonts w:hint="default" w:ascii="Times New Roman" w:hAnsi="Times New Roman" w:cs="Times New Roman" w:eastAsiaTheme="minorEastAsia"/>
                <w:color w:val="auto"/>
                <w:w w:val="100"/>
                <w:sz w:val="22"/>
                <w:szCs w:val="22"/>
                <w:lang w:val="en-US" w:eastAsia="zh-CN"/>
              </w:rPr>
              <w:t>00</w:t>
            </w:r>
            <w:r>
              <w:rPr>
                <w:rFonts w:hint="default" w:ascii="Times New Roman" w:hAnsi="Times New Roman" w:cs="Times New Roman" w:eastAsiaTheme="minorEastAsia"/>
                <w:color w:val="auto"/>
                <w:w w:val="100"/>
                <w:sz w:val="22"/>
                <w:szCs w:val="22"/>
              </w:rPr>
              <w:t>h</w:t>
            </w:r>
            <w:r>
              <w:rPr>
                <w:rFonts w:hint="default" w:ascii="Times New Roman" w:hAnsi="Times New Roman" w:cs="Times New Roman" w:eastAsiaTheme="minorEastAsia"/>
                <w:color w:val="auto"/>
                <w:w w:val="100"/>
                <w:sz w:val="22"/>
                <w:szCs w:val="22"/>
                <w:lang w:val="en-US" w:eastAsia="zh-CN"/>
              </w:rPr>
              <w:t>，</w:t>
            </w:r>
            <w:r>
              <w:rPr>
                <w:rFonts w:hint="default" w:ascii="Times New Roman" w:hAnsi="Times New Roman" w:cs="Times New Roman" w:eastAsiaTheme="minorEastAsia"/>
                <w:color w:val="auto"/>
                <w:w w:val="100"/>
                <w:sz w:val="22"/>
                <w:szCs w:val="22"/>
              </w:rPr>
              <w:t>循环水量约</w:t>
            </w:r>
            <w:r>
              <w:rPr>
                <w:rFonts w:hint="eastAsia" w:cs="Times New Roman" w:eastAsiaTheme="minorEastAsia"/>
                <w:color w:val="auto"/>
                <w:w w:val="100"/>
                <w:sz w:val="22"/>
                <w:szCs w:val="22"/>
                <w:lang w:val="en-US" w:eastAsia="zh-CN"/>
              </w:rPr>
              <w:t>72</w:t>
            </w:r>
            <w:r>
              <w:rPr>
                <w:rFonts w:hint="default" w:ascii="Times New Roman" w:hAnsi="Times New Roman" w:cs="Times New Roman" w:eastAsiaTheme="minorEastAsia"/>
                <w:color w:val="auto"/>
                <w:w w:val="100"/>
                <w:sz w:val="22"/>
                <w:szCs w:val="22"/>
                <w:lang w:val="en-US" w:eastAsia="zh-CN"/>
              </w:rPr>
              <w:t>00</w:t>
            </w:r>
            <w:r>
              <w:rPr>
                <w:rFonts w:hint="default" w:ascii="Times New Roman" w:hAnsi="Times New Roman" w:cs="Times New Roman" w:eastAsiaTheme="minorEastAsia"/>
                <w:color w:val="auto"/>
                <w:w w:val="100"/>
                <w:sz w:val="22"/>
                <w:szCs w:val="22"/>
              </w:rPr>
              <w:t>m³/a。冷却系统补充水量占循环水量的2%，则补水量约为</w:t>
            </w:r>
            <w:r>
              <w:rPr>
                <w:rFonts w:hint="eastAsia" w:cs="Times New Roman" w:eastAsiaTheme="minorEastAsia"/>
                <w:color w:val="auto"/>
                <w:w w:val="100"/>
                <w:sz w:val="22"/>
                <w:szCs w:val="22"/>
                <w:lang w:val="en-US" w:eastAsia="zh-CN"/>
              </w:rPr>
              <w:t>144</w:t>
            </w:r>
            <w:r>
              <w:rPr>
                <w:rFonts w:hint="default" w:ascii="Times New Roman" w:hAnsi="Times New Roman" w:cs="Times New Roman" w:eastAsiaTheme="minorEastAsia"/>
                <w:color w:val="auto"/>
                <w:w w:val="100"/>
                <w:sz w:val="22"/>
                <w:szCs w:val="22"/>
              </w:rPr>
              <w:t>m³/a，设计浓缩倍数为5，则蒸发</w:t>
            </w:r>
            <w:r>
              <w:rPr>
                <w:rFonts w:hint="eastAsia" w:cs="Times New Roman" w:eastAsiaTheme="minorEastAsia"/>
                <w:color w:val="auto"/>
                <w:w w:val="100"/>
                <w:sz w:val="22"/>
                <w:szCs w:val="22"/>
                <w:lang w:val="en-US" w:eastAsia="zh-CN"/>
              </w:rPr>
              <w:t>115.2</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产生的</w:t>
            </w:r>
            <w:r>
              <w:rPr>
                <w:rFonts w:hint="eastAsia" w:cs="Times New Roman" w:eastAsiaTheme="minorEastAsia"/>
                <w:color w:val="auto"/>
                <w:w w:val="100"/>
                <w:sz w:val="22"/>
                <w:szCs w:val="22"/>
                <w:lang w:val="en-US" w:eastAsia="zh-CN"/>
              </w:rPr>
              <w:t>28.8</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循环冷却水循环使用，不外排</w:t>
            </w:r>
            <w:r>
              <w:rPr>
                <w:rFonts w:hint="default" w:ascii="Times New Roman" w:hAnsi="Times New Roman" w:cs="Times New Roman" w:eastAsiaTheme="minorEastAsia"/>
                <w:color w:val="auto"/>
                <w:w w:val="100"/>
                <w:sz w:val="22"/>
                <w:szCs w:val="22"/>
              </w:rPr>
              <w:t>。</w:t>
            </w:r>
          </w:p>
          <w:p w14:paraId="10C07057">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42" w:firstLineChars="200"/>
              <w:jc w:val="left"/>
              <w:textAlignment w:val="auto"/>
              <w:outlineLvl w:val="9"/>
              <w:rPr>
                <w:rFonts w:hint="default" w:ascii="Times New Roman" w:hAnsi="Times New Roman" w:cs="Times New Roman" w:eastAsiaTheme="minorEastAsia"/>
                <w:b/>
                <w:bCs/>
                <w:color w:val="auto"/>
                <w:w w:val="100"/>
                <w:sz w:val="22"/>
                <w:szCs w:val="22"/>
                <w:lang w:val="en-US" w:eastAsia="zh-CN"/>
              </w:rPr>
            </w:pPr>
            <w:r>
              <w:rPr>
                <w:rFonts w:hint="default" w:ascii="Times New Roman" w:hAnsi="Times New Roman" w:cs="Times New Roman" w:eastAsiaTheme="minorEastAsia"/>
                <w:b/>
                <w:bCs/>
                <w:color w:val="auto"/>
                <w:w w:val="100"/>
                <w:sz w:val="22"/>
                <w:szCs w:val="22"/>
                <w:lang w:val="en-US" w:eastAsia="zh-CN"/>
              </w:rPr>
              <w:t>②清洗废水</w:t>
            </w:r>
          </w:p>
          <w:p w14:paraId="62DA5ADD">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40" w:firstLineChars="200"/>
              <w:jc w:val="left"/>
              <w:textAlignment w:val="auto"/>
              <w:outlineLvl w:val="9"/>
              <w:rPr>
                <w:rFonts w:hint="default" w:ascii="Times New Roman" w:hAnsi="Times New Roman" w:cs="Times New Roman" w:eastAsiaTheme="minorEastAsia"/>
                <w:color w:val="auto"/>
                <w:w w:val="100"/>
                <w:sz w:val="22"/>
                <w:szCs w:val="22"/>
                <w:lang w:eastAsia="zh-CN"/>
              </w:rPr>
            </w:pPr>
            <w:r>
              <w:rPr>
                <w:rFonts w:hint="default" w:ascii="Times New Roman" w:hAnsi="Times New Roman" w:cs="Times New Roman" w:eastAsiaTheme="minorEastAsia"/>
                <w:b w:val="0"/>
                <w:bCs w:val="0"/>
                <w:color w:val="auto"/>
                <w:w w:val="100"/>
                <w:sz w:val="22"/>
                <w:szCs w:val="22"/>
                <w:lang w:val="en-US" w:eastAsia="zh-CN"/>
              </w:rPr>
              <w:t>项目在清洗工序机洗过程清洗水通过水洗机循环使用，单台循环水量为0.8</w:t>
            </w:r>
            <w:r>
              <w:rPr>
                <w:rFonts w:hint="default" w:ascii="Times New Roman" w:hAnsi="Times New Roman" w:cs="Times New Roman" w:eastAsiaTheme="minorEastAsia"/>
                <w:b w:val="0"/>
                <w:bCs/>
                <w:color w:val="auto"/>
                <w:w w:val="100"/>
                <w:sz w:val="22"/>
                <w:szCs w:val="22"/>
              </w:rPr>
              <w:t>m³</w:t>
            </w:r>
            <w:r>
              <w:rPr>
                <w:rFonts w:hint="default" w:ascii="Times New Roman" w:hAnsi="Times New Roman" w:cs="Times New Roman" w:eastAsiaTheme="minorEastAsia"/>
                <w:color w:val="auto"/>
                <w:w w:val="100"/>
                <w:sz w:val="22"/>
                <w:szCs w:val="22"/>
              </w:rPr>
              <w:t>/h</w:t>
            </w:r>
            <w:r>
              <w:rPr>
                <w:rFonts w:hint="default" w:ascii="Times New Roman" w:hAnsi="Times New Roman" w:cs="Times New Roman" w:eastAsiaTheme="minorEastAsia"/>
                <w:b w:val="0"/>
                <w:bCs/>
                <w:color w:val="auto"/>
                <w:w w:val="100"/>
                <w:sz w:val="22"/>
                <w:szCs w:val="22"/>
                <w:lang w:eastAsia="zh-CN"/>
              </w:rPr>
              <w:t>，年运行</w:t>
            </w:r>
            <w:r>
              <w:rPr>
                <w:rFonts w:hint="default" w:ascii="Times New Roman" w:hAnsi="Times New Roman" w:cs="Times New Roman" w:eastAsiaTheme="minorEastAsia"/>
                <w:b w:val="0"/>
                <w:bCs/>
                <w:color w:val="auto"/>
                <w:w w:val="100"/>
                <w:sz w:val="22"/>
                <w:szCs w:val="22"/>
                <w:lang w:val="en-US" w:eastAsia="zh-CN"/>
              </w:rPr>
              <w:t>4800</w:t>
            </w:r>
            <w:r>
              <w:rPr>
                <w:rFonts w:hint="default" w:ascii="Times New Roman" w:hAnsi="Times New Roman" w:cs="Times New Roman" w:eastAsiaTheme="minorEastAsia"/>
                <w:color w:val="auto"/>
                <w:w w:val="100"/>
                <w:sz w:val="22"/>
                <w:szCs w:val="22"/>
                <w:lang w:val="en-US" w:eastAsia="zh-CN"/>
              </w:rPr>
              <w:t>h，</w:t>
            </w:r>
            <w:r>
              <w:rPr>
                <w:rFonts w:hint="default" w:ascii="Times New Roman" w:hAnsi="Times New Roman" w:cs="Times New Roman" w:eastAsiaTheme="minorEastAsia"/>
                <w:color w:val="auto"/>
                <w:w w:val="100"/>
                <w:sz w:val="22"/>
                <w:szCs w:val="22"/>
              </w:rPr>
              <w:t>循环水量约</w:t>
            </w:r>
            <w:r>
              <w:rPr>
                <w:rFonts w:hint="default" w:ascii="Times New Roman" w:hAnsi="Times New Roman" w:cs="Times New Roman" w:eastAsiaTheme="minorEastAsia"/>
                <w:color w:val="auto"/>
                <w:w w:val="100"/>
                <w:sz w:val="22"/>
                <w:szCs w:val="22"/>
                <w:lang w:val="en-US" w:eastAsia="zh-CN"/>
              </w:rPr>
              <w:t>3840</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单台循环</w:t>
            </w:r>
            <w:r>
              <w:rPr>
                <w:rFonts w:hint="default" w:ascii="Times New Roman" w:hAnsi="Times New Roman" w:cs="Times New Roman" w:eastAsiaTheme="minorEastAsia"/>
                <w:color w:val="auto"/>
                <w:w w:val="100"/>
                <w:sz w:val="22"/>
                <w:szCs w:val="22"/>
              </w:rPr>
              <w:t>系统补充水量占循环水量的</w:t>
            </w:r>
            <w:r>
              <w:rPr>
                <w:rFonts w:hint="default" w:ascii="Times New Roman" w:hAnsi="Times New Roman" w:cs="Times New Roman" w:eastAsiaTheme="minorEastAsia"/>
                <w:color w:val="auto"/>
                <w:w w:val="100"/>
                <w:sz w:val="22"/>
                <w:szCs w:val="22"/>
                <w:lang w:val="en-US" w:eastAsia="zh-CN"/>
              </w:rPr>
              <w:t>1</w:t>
            </w:r>
            <w:r>
              <w:rPr>
                <w:rFonts w:hint="default" w:ascii="Times New Roman" w:hAnsi="Times New Roman" w:cs="Times New Roman" w:eastAsiaTheme="minorEastAsia"/>
                <w:color w:val="auto"/>
                <w:w w:val="100"/>
                <w:sz w:val="22"/>
                <w:szCs w:val="22"/>
              </w:rPr>
              <w:t>%，则补水量约为</w:t>
            </w:r>
            <w:r>
              <w:rPr>
                <w:rFonts w:hint="default" w:ascii="Times New Roman" w:hAnsi="Times New Roman" w:cs="Times New Roman" w:eastAsiaTheme="minorEastAsia"/>
                <w:color w:val="auto"/>
                <w:w w:val="100"/>
                <w:sz w:val="22"/>
                <w:szCs w:val="22"/>
                <w:lang w:val="en-US" w:eastAsia="zh-CN"/>
              </w:rPr>
              <w:t>38.4</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水分损失量为</w:t>
            </w:r>
            <w:r>
              <w:rPr>
                <w:rFonts w:hint="default" w:ascii="Times New Roman" w:hAnsi="Times New Roman" w:cs="Times New Roman" w:eastAsiaTheme="minorEastAsia"/>
                <w:color w:val="auto"/>
                <w:w w:val="100"/>
                <w:sz w:val="22"/>
                <w:szCs w:val="22"/>
                <w:lang w:val="en-US" w:eastAsia="zh-CN"/>
              </w:rPr>
              <w:t>35%，</w:t>
            </w:r>
            <w:r>
              <w:rPr>
                <w:rFonts w:hint="default" w:ascii="Times New Roman" w:hAnsi="Times New Roman" w:cs="Times New Roman" w:eastAsiaTheme="minorEastAsia"/>
                <w:color w:val="auto"/>
                <w:w w:val="100"/>
                <w:sz w:val="22"/>
                <w:szCs w:val="22"/>
              </w:rPr>
              <w:t>则</w:t>
            </w:r>
            <w:r>
              <w:rPr>
                <w:rFonts w:hint="default" w:ascii="Times New Roman" w:hAnsi="Times New Roman" w:cs="Times New Roman" w:eastAsiaTheme="minorEastAsia"/>
                <w:color w:val="auto"/>
                <w:w w:val="100"/>
                <w:sz w:val="22"/>
                <w:szCs w:val="22"/>
                <w:lang w:eastAsia="zh-CN"/>
              </w:rPr>
              <w:t>水分损失量为</w:t>
            </w:r>
            <w:r>
              <w:rPr>
                <w:rFonts w:hint="default" w:ascii="Times New Roman" w:hAnsi="Times New Roman" w:cs="Times New Roman" w:eastAsiaTheme="minorEastAsia"/>
                <w:color w:val="auto"/>
                <w:w w:val="100"/>
                <w:sz w:val="22"/>
                <w:szCs w:val="22"/>
                <w:lang w:val="en-US" w:eastAsia="zh-CN"/>
              </w:rPr>
              <w:t>13.44</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废水量为</w:t>
            </w:r>
            <w:r>
              <w:rPr>
                <w:rFonts w:hint="default" w:ascii="Times New Roman" w:hAnsi="Times New Roman" w:cs="Times New Roman" w:eastAsiaTheme="minorEastAsia"/>
                <w:color w:val="auto"/>
                <w:w w:val="100"/>
                <w:sz w:val="22"/>
                <w:szCs w:val="22"/>
                <w:lang w:val="en-US" w:eastAsia="zh-CN"/>
              </w:rPr>
              <w:t>24.96</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；本项目共有</w:t>
            </w:r>
            <w:r>
              <w:rPr>
                <w:rFonts w:hint="default" w:ascii="Times New Roman" w:hAnsi="Times New Roman" w:cs="Times New Roman" w:eastAsiaTheme="minorEastAsia"/>
                <w:color w:val="auto"/>
                <w:w w:val="100"/>
                <w:sz w:val="22"/>
                <w:szCs w:val="22"/>
                <w:lang w:val="en-US" w:eastAsia="zh-CN"/>
              </w:rPr>
              <w:t>6台水洗机，则补充水量为230.4</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水分损失量为</w:t>
            </w:r>
            <w:r>
              <w:rPr>
                <w:rFonts w:hint="default" w:ascii="Times New Roman" w:hAnsi="Times New Roman" w:cs="Times New Roman" w:eastAsiaTheme="minorEastAsia"/>
                <w:color w:val="auto"/>
                <w:w w:val="100"/>
                <w:sz w:val="22"/>
                <w:szCs w:val="22"/>
                <w:lang w:val="en-US" w:eastAsia="zh-CN"/>
              </w:rPr>
              <w:t>80.64</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废水量为</w:t>
            </w:r>
            <w:r>
              <w:rPr>
                <w:rFonts w:hint="default" w:ascii="Times New Roman" w:hAnsi="Times New Roman" w:cs="Times New Roman" w:eastAsiaTheme="minorEastAsia"/>
                <w:color w:val="auto"/>
                <w:w w:val="100"/>
                <w:sz w:val="22"/>
                <w:szCs w:val="22"/>
                <w:lang w:val="en-US" w:eastAsia="zh-CN"/>
              </w:rPr>
              <w:t>149.76</w:t>
            </w:r>
            <w:r>
              <w:rPr>
                <w:rFonts w:hint="default" w:ascii="Times New Roman" w:hAnsi="Times New Roman" w:cs="Times New Roman" w:eastAsiaTheme="minorEastAsia"/>
                <w:color w:val="auto"/>
                <w:w w:val="100"/>
                <w:sz w:val="22"/>
                <w:szCs w:val="22"/>
              </w:rPr>
              <w:t>m³/a</w:t>
            </w:r>
            <w:r>
              <w:rPr>
                <w:rFonts w:hint="default" w:ascii="Times New Roman" w:hAnsi="Times New Roman" w:cs="Times New Roman" w:eastAsiaTheme="minorEastAsia"/>
                <w:color w:val="auto"/>
                <w:w w:val="100"/>
                <w:sz w:val="22"/>
                <w:szCs w:val="22"/>
                <w:lang w:eastAsia="zh-CN"/>
              </w:rPr>
              <w:t>，根据企业提供的资料，经沉淀池沉淀产生沉渣量约</w:t>
            </w:r>
            <w:r>
              <w:rPr>
                <w:rFonts w:hint="default" w:ascii="Times New Roman" w:hAnsi="Times New Roman" w:cs="Times New Roman" w:eastAsiaTheme="minorEastAsia"/>
                <w:color w:val="auto"/>
                <w:w w:val="100"/>
                <w:sz w:val="22"/>
                <w:szCs w:val="22"/>
                <w:lang w:val="en-US" w:eastAsia="zh-CN"/>
              </w:rPr>
              <w:t>0.05t/a，废水</w:t>
            </w:r>
            <w:r>
              <w:rPr>
                <w:rFonts w:hint="default" w:ascii="Times New Roman" w:hAnsi="Times New Roman" w:cs="Times New Roman" w:eastAsiaTheme="minorEastAsia"/>
                <w:color w:val="auto"/>
                <w:w w:val="100"/>
                <w:sz w:val="22"/>
                <w:szCs w:val="22"/>
                <w:lang w:eastAsia="zh-CN"/>
              </w:rPr>
              <w:t>经沉淀池处理后循环使用，不外排。</w:t>
            </w:r>
          </w:p>
          <w:p w14:paraId="32499D5F">
            <w:pPr>
              <w:widowControl w:val="0"/>
              <w:adjustRightInd w:val="0"/>
              <w:snapToGrid w:val="0"/>
              <w:spacing w:line="490" w:lineRule="atLeast"/>
              <w:ind w:left="10" w:leftChars="5" w:right="-449" w:rightChars="-214" w:firstLine="442" w:firstLineChars="200"/>
              <w:jc w:val="both"/>
              <w:rPr>
                <w:rFonts w:hint="eastAsia" w:ascii="Times New Roman" w:hAnsi="Times New Roman" w:cs="Times New Roman" w:eastAsiaTheme="minorEastAsia"/>
                <w:color w:val="auto"/>
                <w:w w:val="100"/>
                <w:kern w:val="2"/>
                <w:sz w:val="22"/>
                <w:szCs w:val="22"/>
                <w:lang w:val="en-US" w:eastAsia="zh-CN" w:bidi="ar-SA"/>
              </w:rPr>
            </w:pPr>
            <w:r>
              <w:rPr>
                <w:rFonts w:hint="default" w:ascii="Times New Roman" w:hAnsi="Times New Roman" w:cs="Times New Roman" w:eastAsiaTheme="minorEastAsia"/>
                <w:b/>
                <w:bCs/>
                <w:color w:val="auto"/>
                <w:w w:val="100"/>
                <w:kern w:val="2"/>
                <w:sz w:val="22"/>
                <w:szCs w:val="22"/>
                <w:lang w:val="en-US" w:eastAsia="zh-CN" w:bidi="ar-SA"/>
              </w:rPr>
              <w:t>③</w:t>
            </w:r>
            <w:r>
              <w:rPr>
                <w:rFonts w:hint="eastAsia" w:ascii="Times New Roman" w:hAnsi="Times New Roman" w:cs="Times New Roman" w:eastAsiaTheme="minorEastAsia"/>
                <w:b/>
                <w:bCs/>
                <w:color w:val="auto"/>
                <w:w w:val="100"/>
                <w:kern w:val="2"/>
                <w:sz w:val="22"/>
                <w:szCs w:val="22"/>
                <w:lang w:val="en-US" w:eastAsia="zh-CN" w:bidi="ar-SA"/>
              </w:rPr>
              <w:t>水喷淋废水</w:t>
            </w:r>
          </w:p>
          <w:p w14:paraId="67B0E4AF">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0" w:firstLineChars="200"/>
              <w:jc w:val="left"/>
              <w:textAlignment w:val="auto"/>
              <w:outlineLvl w:val="9"/>
              <w:rPr>
                <w:rFonts w:hint="eastAsia" w:ascii="宋体" w:hAnsi="宋体" w:eastAsia="宋体" w:cs="宋体"/>
                <w:b/>
                <w:bCs/>
                <w:color w:val="auto"/>
                <w:w w:val="100"/>
                <w:kern w:val="2"/>
                <w:sz w:val="22"/>
                <w:szCs w:val="22"/>
                <w:lang w:val="en-US" w:eastAsia="zh-CN" w:bidi="ar-SA"/>
              </w:rPr>
            </w:pPr>
            <w:r>
              <w:rPr>
                <w:rFonts w:hint="eastAsia" w:ascii="Times New Roman" w:hAnsi="Times New Roman" w:cs="Times New Roman" w:eastAsiaTheme="minorEastAsia"/>
                <w:color w:val="auto"/>
                <w:w w:val="100"/>
                <w:kern w:val="2"/>
                <w:sz w:val="22"/>
                <w:szCs w:val="22"/>
                <w:lang w:val="en-US" w:eastAsia="zh-CN" w:bidi="ar-SA"/>
              </w:rPr>
              <w:t>根据企业实际运行情况，本项目水喷淋废水量约为1.0t/a，委托有资质单位定期清运。</w:t>
            </w:r>
          </w:p>
          <w:p w14:paraId="4D5FDCAE">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2" w:firstLineChars="200"/>
              <w:jc w:val="left"/>
              <w:textAlignment w:val="auto"/>
              <w:outlineLvl w:val="9"/>
              <w:rPr>
                <w:rFonts w:hint="default" w:ascii="Times New Roman" w:hAnsi="Times New Roman" w:cs="Times New Roman" w:eastAsiaTheme="minorEastAsia"/>
                <w:b/>
                <w:bCs/>
                <w:color w:val="auto"/>
                <w:w w:val="100"/>
                <w:kern w:val="2"/>
                <w:sz w:val="22"/>
                <w:szCs w:val="22"/>
                <w:lang w:val="en-US" w:eastAsia="zh-CN" w:bidi="ar-SA"/>
              </w:rPr>
            </w:pPr>
            <w:r>
              <w:rPr>
                <w:rFonts w:hint="eastAsia" w:ascii="宋体" w:hAnsi="宋体" w:eastAsia="宋体" w:cs="宋体"/>
                <w:b/>
                <w:bCs/>
                <w:color w:val="auto"/>
                <w:w w:val="100"/>
                <w:kern w:val="2"/>
                <w:sz w:val="22"/>
                <w:szCs w:val="22"/>
                <w:lang w:val="en-US" w:eastAsia="zh-CN" w:bidi="ar-SA"/>
              </w:rPr>
              <w:t>④</w:t>
            </w:r>
            <w:r>
              <w:rPr>
                <w:rFonts w:hint="default" w:ascii="Times New Roman" w:hAnsi="Times New Roman" w:cs="Times New Roman" w:eastAsiaTheme="minorEastAsia"/>
                <w:b/>
                <w:bCs/>
                <w:color w:val="auto"/>
                <w:w w:val="100"/>
                <w:kern w:val="2"/>
                <w:sz w:val="22"/>
                <w:szCs w:val="22"/>
                <w:lang w:val="en-US" w:eastAsia="zh-CN" w:bidi="ar-SA"/>
              </w:rPr>
              <w:t>生活污水</w:t>
            </w:r>
          </w:p>
          <w:p w14:paraId="4BAFB984">
            <w:pPr>
              <w:keepNext w:val="0"/>
              <w:keepLines w:val="0"/>
              <w:pageBreakBefore w:val="0"/>
              <w:widowControl w:val="0"/>
              <w:tabs>
                <w:tab w:val="left" w:pos="425"/>
              </w:tabs>
              <w:kinsoku/>
              <w:wordWrap/>
              <w:overflowPunct/>
              <w:topLinePunct w:val="0"/>
              <w:autoSpaceDE/>
              <w:autoSpaceDN/>
              <w:bidi w:val="0"/>
              <w:adjustRightInd w:val="0"/>
              <w:snapToGrid w:val="0"/>
              <w:spacing w:after="0" w:afterLines="0" w:line="500" w:lineRule="exact"/>
              <w:ind w:left="0" w:leftChars="0" w:firstLine="440" w:firstLineChars="200"/>
              <w:jc w:val="left"/>
              <w:textAlignment w:val="auto"/>
              <w:outlineLvl w:val="9"/>
              <w:rPr>
                <w:rFonts w:hint="default" w:ascii="Times New Roman" w:hAnsi="Times New Roman" w:eastAsia="宋体" w:cs="Times New Roman"/>
                <w:b/>
                <w:bCs w:val="0"/>
                <w:color w:val="auto"/>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项目共有职工100人，年运行天数300天，参照《建筑给水排水设计规范》（GB50015-2009），职工用水取50L/人•天，则用水量1500m</w:t>
            </w:r>
            <w:r>
              <w:rPr>
                <w:rFonts w:hint="default" w:ascii="Times New Roman" w:hAnsi="Times New Roman" w:eastAsia="宋体" w:cs="Times New Roman"/>
                <w:color w:val="auto"/>
                <w:w w:val="100"/>
                <w:kern w:val="2"/>
                <w:sz w:val="22"/>
                <w:szCs w:val="22"/>
                <w:vertAlign w:val="superscript"/>
                <w:lang w:val="en-US" w:eastAsia="zh-CN" w:bidi="ar-SA"/>
              </w:rPr>
              <w:t>3</w:t>
            </w:r>
            <w:r>
              <w:rPr>
                <w:rFonts w:hint="default" w:ascii="Times New Roman" w:hAnsi="Times New Roman" w:eastAsia="宋体" w:cs="Times New Roman"/>
                <w:color w:val="auto"/>
                <w:w w:val="100"/>
                <w:kern w:val="2"/>
                <w:sz w:val="22"/>
                <w:szCs w:val="22"/>
                <w:lang w:val="en-US" w:eastAsia="zh-CN" w:bidi="ar-SA"/>
              </w:rPr>
              <w:t>/a，排污系数以0.9计，则产生生活污水为1350m</w:t>
            </w:r>
            <w:r>
              <w:rPr>
                <w:rFonts w:hint="default" w:ascii="Times New Roman" w:hAnsi="Times New Roman" w:eastAsia="宋体" w:cs="Times New Roman"/>
                <w:color w:val="auto"/>
                <w:w w:val="100"/>
                <w:kern w:val="2"/>
                <w:sz w:val="22"/>
                <w:szCs w:val="22"/>
                <w:vertAlign w:val="superscript"/>
                <w:lang w:val="en-US" w:eastAsia="zh-CN" w:bidi="ar-SA"/>
              </w:rPr>
              <w:t>3</w:t>
            </w:r>
            <w:r>
              <w:rPr>
                <w:rFonts w:hint="default" w:ascii="Times New Roman" w:hAnsi="Times New Roman" w:eastAsia="宋体" w:cs="Times New Roman"/>
                <w:color w:val="auto"/>
                <w:w w:val="100"/>
                <w:kern w:val="2"/>
                <w:sz w:val="22"/>
                <w:szCs w:val="22"/>
                <w:lang w:val="en-US" w:eastAsia="zh-CN" w:bidi="ar-SA"/>
              </w:rPr>
              <w:t>/a，</w:t>
            </w:r>
            <w:r>
              <w:rPr>
                <w:rFonts w:hint="default" w:ascii="Times New Roman" w:hAnsi="Times New Roman" w:eastAsia="宋体" w:cs="Times New Roman"/>
                <w:b w:val="0"/>
                <w:bCs w:val="0"/>
                <w:color w:val="auto"/>
                <w:w w:val="100"/>
                <w:kern w:val="2"/>
                <w:sz w:val="22"/>
                <w:szCs w:val="22"/>
                <w:lang w:val="en-US" w:eastAsia="zh-CN" w:bidi="ar-SA"/>
              </w:rPr>
              <w:t>本项目生活用水经化粪池接管徐溜镇污水处理厂处理。</w:t>
            </w:r>
          </w:p>
          <w:p w14:paraId="3FEDFA28">
            <w:pPr>
              <w:keepNext w:val="0"/>
              <w:keepLines w:val="0"/>
              <w:pageBreakBefore w:val="0"/>
              <w:widowControl w:val="0"/>
              <w:numPr>
                <w:ilvl w:val="0"/>
                <w:numId w:val="0"/>
              </w:numPr>
              <w:kinsoku/>
              <w:wordWrap/>
              <w:overflowPunct/>
              <w:topLinePunct w:val="0"/>
              <w:autoSpaceDE w:val="0"/>
              <w:autoSpaceDN w:val="0"/>
              <w:bidi w:val="0"/>
              <w:adjustRightInd/>
              <w:snapToGrid/>
              <w:spacing w:afterLines="0" w:line="500" w:lineRule="exact"/>
              <w:ind w:left="0" w:leftChars="0" w:firstLine="440" w:firstLineChars="200"/>
              <w:jc w:val="left"/>
              <w:textAlignment w:val="auto"/>
              <w:outlineLvl w:val="9"/>
              <w:rPr>
                <w:rFonts w:hint="default" w:ascii="Times New Roman" w:hAnsi="Times New Roman" w:cs="Times New Roman" w:eastAsiaTheme="minorEastAsia"/>
                <w:b w:val="0"/>
                <w:bCs/>
                <w:color w:val="auto"/>
                <w:kern w:val="0"/>
                <w:sz w:val="22"/>
                <w:szCs w:val="22"/>
                <w:lang w:val="en-US" w:eastAsia="zh-CN" w:bidi="ar-SA"/>
              </w:rPr>
            </w:pPr>
            <w:r>
              <w:rPr>
                <w:rFonts w:hint="default" w:ascii="Times New Roman" w:hAnsi="Times New Roman" w:cs="Times New Roman" w:eastAsiaTheme="minorEastAsia"/>
                <w:b w:val="0"/>
                <w:bCs/>
                <w:color w:val="auto"/>
                <w:kern w:val="0"/>
                <w:sz w:val="22"/>
                <w:szCs w:val="22"/>
                <w:lang w:val="en-US" w:eastAsia="zh-CN" w:bidi="ar-SA"/>
              </w:rPr>
              <w:t>结合《村镇生活污染防治最佳可行技术指南（试行）》（HJ-BAT-9）中生活污水水质、《给水排水设计手册》（第五册 城镇排水）中生活污水水质示例，项目生活污水中各污染物情况为COD：350mg/L、SS：300mg/L、NH</w:t>
            </w:r>
            <w:r>
              <w:rPr>
                <w:rFonts w:hint="default" w:ascii="Times New Roman" w:hAnsi="Times New Roman" w:cs="Times New Roman" w:eastAsiaTheme="minorEastAsia"/>
                <w:b w:val="0"/>
                <w:bCs/>
                <w:color w:val="auto"/>
                <w:kern w:val="0"/>
                <w:sz w:val="22"/>
                <w:szCs w:val="22"/>
                <w:vertAlign w:val="subscript"/>
                <w:lang w:val="en-US" w:eastAsia="zh-CN" w:bidi="ar-SA"/>
              </w:rPr>
              <w:t>3</w:t>
            </w:r>
            <w:r>
              <w:rPr>
                <w:rFonts w:hint="default" w:ascii="Times New Roman" w:hAnsi="Times New Roman" w:cs="Times New Roman" w:eastAsiaTheme="minorEastAsia"/>
                <w:b w:val="0"/>
                <w:bCs/>
                <w:color w:val="auto"/>
                <w:kern w:val="0"/>
                <w:sz w:val="22"/>
                <w:szCs w:val="22"/>
                <w:lang w:val="en-US" w:eastAsia="zh-CN" w:bidi="ar-SA"/>
              </w:rPr>
              <w:t>-N：30mg/L、TN：</w:t>
            </w:r>
            <w:r>
              <w:rPr>
                <w:rFonts w:hint="eastAsia" w:ascii="Times New Roman" w:hAnsi="Times New Roman" w:cs="Times New Roman" w:eastAsiaTheme="minorEastAsia"/>
                <w:b w:val="0"/>
                <w:bCs/>
                <w:color w:val="auto"/>
                <w:kern w:val="0"/>
                <w:sz w:val="22"/>
                <w:szCs w:val="22"/>
                <w:lang w:val="en-US" w:eastAsia="zh-CN" w:bidi="ar-SA"/>
              </w:rPr>
              <w:t>4</w:t>
            </w:r>
            <w:r>
              <w:rPr>
                <w:rFonts w:hint="default" w:ascii="Times New Roman" w:hAnsi="Times New Roman" w:cs="Times New Roman" w:eastAsiaTheme="minorEastAsia"/>
                <w:b w:val="0"/>
                <w:bCs/>
                <w:color w:val="auto"/>
                <w:kern w:val="0"/>
                <w:sz w:val="22"/>
                <w:szCs w:val="22"/>
                <w:lang w:val="en-US" w:eastAsia="zh-CN" w:bidi="ar-SA"/>
              </w:rPr>
              <w:t>0mg/L、TP：3mg/L，通过厂区自建的三格式化粪池处理达标后接管，具体产污节点、污染物、污染治理设施及排放口信息见表4.2-1。</w:t>
            </w:r>
          </w:p>
          <w:p w14:paraId="21EECAF1">
            <w:pPr>
              <w:pStyle w:val="34"/>
              <w:rPr>
                <w:rFonts w:hint="default"/>
                <w:color w:val="auto"/>
                <w:lang w:val="en-US" w:eastAsia="zh-CN"/>
              </w:rPr>
            </w:pPr>
          </w:p>
        </w:tc>
      </w:tr>
    </w:tbl>
    <w:p w14:paraId="27939EB6">
      <w:pPr>
        <w:pStyle w:val="34"/>
        <w:outlineLvl w:val="9"/>
        <w:rPr>
          <w:rFonts w:hint="eastAsia"/>
          <w:color w:val="auto"/>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670"/>
        <w:gridCol w:w="13958"/>
      </w:tblGrid>
      <w:tr w14:paraId="773B50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7407" w:hRule="atLeast"/>
          <w:jc w:val="center"/>
        </w:trPr>
        <w:tc>
          <w:tcPr>
            <w:tcW w:w="229" w:type="pct"/>
            <w:tcBorders>
              <w:tl2br w:val="nil"/>
              <w:tr2bl w:val="nil"/>
            </w:tcBorders>
            <w:vAlign w:val="center"/>
          </w:tcPr>
          <w:p w14:paraId="3899DE89">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运营期环境影响和保护措施</w:t>
            </w:r>
          </w:p>
        </w:tc>
        <w:tc>
          <w:tcPr>
            <w:tcW w:w="4770" w:type="pct"/>
            <w:tcBorders>
              <w:tl2br w:val="nil"/>
              <w:tr2bl w:val="nil"/>
            </w:tcBorders>
          </w:tcPr>
          <w:p w14:paraId="52ACF433">
            <w:pPr>
              <w:widowControl/>
              <w:spacing w:line="500" w:lineRule="exact"/>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表4.2-1</w:t>
            </w:r>
            <w:r>
              <w:rPr>
                <w:rFonts w:hint="eastAsia" w:ascii="Times New Roman" w:hAnsi="Times New Roman" w:eastAsia="宋体" w:cs="Times New Roman"/>
                <w:b/>
                <w:bCs/>
                <w:color w:val="auto"/>
                <w:sz w:val="22"/>
                <w:szCs w:val="22"/>
                <w:lang w:val="en-US" w:eastAsia="zh-CN"/>
              </w:rPr>
              <w:t xml:space="preserve">   </w:t>
            </w:r>
            <w:r>
              <w:rPr>
                <w:rFonts w:hint="default" w:ascii="Times New Roman" w:hAnsi="Times New Roman" w:eastAsia="宋体" w:cs="Times New Roman"/>
                <w:b/>
                <w:bCs/>
                <w:color w:val="auto"/>
                <w:sz w:val="22"/>
                <w:szCs w:val="22"/>
              </w:rPr>
              <w:t>项目废水产排污节点、污染物、污染治理设施及排放口信息表</w:t>
            </w:r>
          </w:p>
          <w:tbl>
            <w:tblPr>
              <w:tblStyle w:val="44"/>
              <w:tblW w:w="499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335"/>
              <w:gridCol w:w="560"/>
              <w:gridCol w:w="589"/>
              <w:gridCol w:w="867"/>
              <w:gridCol w:w="1017"/>
              <w:gridCol w:w="864"/>
              <w:gridCol w:w="656"/>
              <w:gridCol w:w="753"/>
              <w:gridCol w:w="608"/>
              <w:gridCol w:w="814"/>
              <w:gridCol w:w="978"/>
              <w:gridCol w:w="697"/>
              <w:gridCol w:w="764"/>
              <w:gridCol w:w="920"/>
              <w:gridCol w:w="756"/>
              <w:gridCol w:w="814"/>
              <w:gridCol w:w="1881"/>
            </w:tblGrid>
            <w:tr w14:paraId="65FA4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restart"/>
                  <w:tcBorders>
                    <w:top w:val="single" w:color="auto" w:sz="12" w:space="0"/>
                  </w:tcBorders>
                  <w:vAlign w:val="center"/>
                </w:tcPr>
                <w:p w14:paraId="01328BAF">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序号</w:t>
                  </w:r>
                </w:p>
              </w:tc>
              <w:tc>
                <w:tcPr>
                  <w:tcW w:w="202" w:type="pct"/>
                  <w:vMerge w:val="restart"/>
                  <w:tcBorders>
                    <w:top w:val="single" w:color="auto" w:sz="12" w:space="0"/>
                  </w:tcBorders>
                  <w:vAlign w:val="center"/>
                </w:tcPr>
                <w:p w14:paraId="4654F40B">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产物环节</w:t>
                  </w:r>
                </w:p>
              </w:tc>
              <w:tc>
                <w:tcPr>
                  <w:tcW w:w="212" w:type="pct"/>
                  <w:vMerge w:val="restart"/>
                  <w:tcBorders>
                    <w:top w:val="single" w:color="auto" w:sz="12" w:space="0"/>
                  </w:tcBorders>
                  <w:vAlign w:val="center"/>
                </w:tcPr>
                <w:p w14:paraId="7F334EFE">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类别</w:t>
                  </w:r>
                </w:p>
              </w:tc>
              <w:tc>
                <w:tcPr>
                  <w:tcW w:w="312" w:type="pct"/>
                  <w:vMerge w:val="restart"/>
                  <w:tcBorders>
                    <w:top w:val="single" w:color="auto" w:sz="12" w:space="0"/>
                  </w:tcBorders>
                  <w:vAlign w:val="center"/>
                </w:tcPr>
                <w:p w14:paraId="652A1670">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污染物种类</w:t>
                  </w:r>
                </w:p>
              </w:tc>
              <w:tc>
                <w:tcPr>
                  <w:tcW w:w="677" w:type="pct"/>
                  <w:gridSpan w:val="2"/>
                  <w:tcBorders>
                    <w:top w:val="single" w:color="auto" w:sz="12" w:space="0"/>
                  </w:tcBorders>
                  <w:vAlign w:val="center"/>
                </w:tcPr>
                <w:p w14:paraId="12985F34">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产生状况</w:t>
                  </w:r>
                </w:p>
              </w:tc>
              <w:tc>
                <w:tcPr>
                  <w:tcW w:w="236" w:type="pct"/>
                  <w:vMerge w:val="restart"/>
                  <w:tcBorders>
                    <w:top w:val="single" w:color="auto" w:sz="12" w:space="0"/>
                  </w:tcBorders>
                  <w:vAlign w:val="center"/>
                </w:tcPr>
                <w:p w14:paraId="74F32C93">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排放方式</w:t>
                  </w:r>
                </w:p>
              </w:tc>
              <w:tc>
                <w:tcPr>
                  <w:tcW w:w="1135" w:type="pct"/>
                  <w:gridSpan w:val="4"/>
                  <w:tcBorders>
                    <w:top w:val="single" w:color="auto" w:sz="12" w:space="0"/>
                  </w:tcBorders>
                  <w:vAlign w:val="center"/>
                </w:tcPr>
                <w:p w14:paraId="1FDB2D42">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治理措施</w:t>
                  </w:r>
                </w:p>
              </w:tc>
              <w:tc>
                <w:tcPr>
                  <w:tcW w:w="526" w:type="pct"/>
                  <w:gridSpan w:val="2"/>
                  <w:tcBorders>
                    <w:top w:val="single" w:color="auto" w:sz="12" w:space="0"/>
                  </w:tcBorders>
                  <w:vAlign w:val="center"/>
                </w:tcPr>
                <w:p w14:paraId="66276BC1">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排放状况</w:t>
                  </w:r>
                </w:p>
              </w:tc>
              <w:tc>
                <w:tcPr>
                  <w:tcW w:w="331" w:type="pct"/>
                  <w:vMerge w:val="restart"/>
                  <w:tcBorders>
                    <w:top w:val="single" w:color="auto" w:sz="12" w:space="0"/>
                  </w:tcBorders>
                  <w:vAlign w:val="center"/>
                </w:tcPr>
                <w:p w14:paraId="0C2D6EFB">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排放标准mg/L</w:t>
                  </w:r>
                </w:p>
              </w:tc>
              <w:tc>
                <w:tcPr>
                  <w:tcW w:w="272" w:type="pct"/>
                  <w:vMerge w:val="restart"/>
                  <w:tcBorders>
                    <w:top w:val="single" w:color="auto" w:sz="12" w:space="0"/>
                  </w:tcBorders>
                  <w:vAlign w:val="center"/>
                </w:tcPr>
                <w:p w14:paraId="0FB5E290">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w:t>
                  </w:r>
                </w:p>
                <w:p w14:paraId="7781922C">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去向</w:t>
                  </w:r>
                </w:p>
              </w:tc>
              <w:tc>
                <w:tcPr>
                  <w:tcW w:w="293" w:type="pct"/>
                  <w:vMerge w:val="restart"/>
                  <w:tcBorders>
                    <w:top w:val="single" w:color="auto" w:sz="12" w:space="0"/>
                  </w:tcBorders>
                  <w:vAlign w:val="center"/>
                </w:tcPr>
                <w:p w14:paraId="28921029">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w:t>
                  </w:r>
                </w:p>
                <w:p w14:paraId="14280699">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规律</w:t>
                  </w:r>
                </w:p>
              </w:tc>
              <w:tc>
                <w:tcPr>
                  <w:tcW w:w="677" w:type="pct"/>
                  <w:vMerge w:val="restart"/>
                  <w:tcBorders>
                    <w:top w:val="single" w:color="auto" w:sz="12" w:space="0"/>
                    <w:right w:val="nil"/>
                  </w:tcBorders>
                  <w:vAlign w:val="center"/>
                </w:tcPr>
                <w:p w14:paraId="48BA5E6C">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排放口信息</w:t>
                  </w:r>
                </w:p>
              </w:tc>
            </w:tr>
            <w:tr w14:paraId="356DC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vAlign w:val="center"/>
                </w:tcPr>
                <w:p w14:paraId="0D303156">
                  <w:pPr>
                    <w:spacing w:line="360" w:lineRule="exact"/>
                    <w:jc w:val="center"/>
                    <w:rPr>
                      <w:rFonts w:hint="default" w:ascii="Times New Roman" w:hAnsi="Times New Roman" w:eastAsia="宋体" w:cs="Times New Roman"/>
                      <w:b/>
                      <w:bCs/>
                      <w:color w:val="auto"/>
                      <w:szCs w:val="21"/>
                    </w:rPr>
                  </w:pPr>
                </w:p>
              </w:tc>
              <w:tc>
                <w:tcPr>
                  <w:tcW w:w="202" w:type="pct"/>
                  <w:vMerge w:val="continue"/>
                  <w:vAlign w:val="center"/>
                </w:tcPr>
                <w:p w14:paraId="71C9A43C">
                  <w:pPr>
                    <w:spacing w:line="360" w:lineRule="exact"/>
                    <w:jc w:val="center"/>
                    <w:rPr>
                      <w:rFonts w:hint="default" w:ascii="Times New Roman" w:hAnsi="Times New Roman" w:eastAsia="宋体" w:cs="Times New Roman"/>
                      <w:b/>
                      <w:bCs/>
                      <w:color w:val="auto"/>
                      <w:szCs w:val="21"/>
                    </w:rPr>
                  </w:pPr>
                </w:p>
              </w:tc>
              <w:tc>
                <w:tcPr>
                  <w:tcW w:w="212" w:type="pct"/>
                  <w:vMerge w:val="continue"/>
                  <w:vAlign w:val="center"/>
                </w:tcPr>
                <w:p w14:paraId="497867F8">
                  <w:pPr>
                    <w:spacing w:line="360" w:lineRule="exact"/>
                    <w:jc w:val="center"/>
                    <w:rPr>
                      <w:rFonts w:hint="default" w:ascii="Times New Roman" w:hAnsi="Times New Roman" w:eastAsia="宋体" w:cs="Times New Roman"/>
                      <w:b/>
                      <w:bCs/>
                      <w:color w:val="auto"/>
                      <w:szCs w:val="21"/>
                    </w:rPr>
                  </w:pPr>
                </w:p>
              </w:tc>
              <w:tc>
                <w:tcPr>
                  <w:tcW w:w="312" w:type="pct"/>
                  <w:vMerge w:val="continue"/>
                  <w:vAlign w:val="center"/>
                </w:tcPr>
                <w:p w14:paraId="4033982B">
                  <w:pPr>
                    <w:spacing w:line="360" w:lineRule="exact"/>
                    <w:jc w:val="center"/>
                    <w:rPr>
                      <w:rFonts w:hint="default" w:ascii="Times New Roman" w:hAnsi="Times New Roman" w:eastAsia="宋体" w:cs="Times New Roman"/>
                      <w:b/>
                      <w:bCs/>
                      <w:color w:val="auto"/>
                      <w:szCs w:val="21"/>
                    </w:rPr>
                  </w:pPr>
                </w:p>
              </w:tc>
              <w:tc>
                <w:tcPr>
                  <w:tcW w:w="366" w:type="pct"/>
                  <w:vAlign w:val="center"/>
                </w:tcPr>
                <w:p w14:paraId="57E4E88C">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浓度mg/L</w:t>
                  </w:r>
                </w:p>
              </w:tc>
              <w:tc>
                <w:tcPr>
                  <w:tcW w:w="311" w:type="pct"/>
                  <w:vAlign w:val="center"/>
                </w:tcPr>
                <w:p w14:paraId="20237143">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产生量t/a</w:t>
                  </w:r>
                </w:p>
              </w:tc>
              <w:tc>
                <w:tcPr>
                  <w:tcW w:w="236" w:type="pct"/>
                  <w:vMerge w:val="continue"/>
                  <w:vAlign w:val="center"/>
                </w:tcPr>
                <w:p w14:paraId="382154D3">
                  <w:pPr>
                    <w:spacing w:line="360" w:lineRule="exact"/>
                    <w:jc w:val="center"/>
                    <w:rPr>
                      <w:rFonts w:hint="default" w:ascii="Times New Roman" w:hAnsi="Times New Roman" w:eastAsia="宋体" w:cs="Times New Roman"/>
                      <w:b/>
                      <w:bCs/>
                      <w:color w:val="auto"/>
                      <w:szCs w:val="21"/>
                    </w:rPr>
                  </w:pPr>
                </w:p>
              </w:tc>
              <w:tc>
                <w:tcPr>
                  <w:tcW w:w="271" w:type="pct"/>
                  <w:vAlign w:val="center"/>
                </w:tcPr>
                <w:p w14:paraId="59A122F3">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污染治理工艺</w:t>
                  </w:r>
                </w:p>
              </w:tc>
              <w:tc>
                <w:tcPr>
                  <w:tcW w:w="219" w:type="pct"/>
                  <w:vAlign w:val="center"/>
                </w:tcPr>
                <w:p w14:paraId="1FC6B634">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治理能力</w:t>
                  </w:r>
                </w:p>
              </w:tc>
              <w:tc>
                <w:tcPr>
                  <w:tcW w:w="293" w:type="pct"/>
                  <w:vAlign w:val="center"/>
                </w:tcPr>
                <w:p w14:paraId="09E7AB50">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治理效率（%）</w:t>
                  </w:r>
                </w:p>
              </w:tc>
              <w:tc>
                <w:tcPr>
                  <w:tcW w:w="352" w:type="pct"/>
                  <w:vAlign w:val="center"/>
                </w:tcPr>
                <w:p w14:paraId="087CE02B">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是否为可行技术</w:t>
                  </w:r>
                </w:p>
              </w:tc>
              <w:tc>
                <w:tcPr>
                  <w:tcW w:w="251" w:type="pct"/>
                  <w:vAlign w:val="center"/>
                </w:tcPr>
                <w:p w14:paraId="5A6BD8EA">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浓度mg/L</w:t>
                  </w:r>
                </w:p>
              </w:tc>
              <w:tc>
                <w:tcPr>
                  <w:tcW w:w="275" w:type="pct"/>
                  <w:vAlign w:val="center"/>
                </w:tcPr>
                <w:p w14:paraId="13C1A351">
                  <w:pPr>
                    <w:spacing w:line="360" w:lineRule="exact"/>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排放量t/a</w:t>
                  </w:r>
                </w:p>
              </w:tc>
              <w:tc>
                <w:tcPr>
                  <w:tcW w:w="331" w:type="pct"/>
                  <w:vMerge w:val="continue"/>
                  <w:vAlign w:val="center"/>
                </w:tcPr>
                <w:p w14:paraId="52395C00">
                  <w:pPr>
                    <w:spacing w:line="360" w:lineRule="exact"/>
                    <w:jc w:val="center"/>
                    <w:rPr>
                      <w:rFonts w:hint="default" w:ascii="Times New Roman" w:hAnsi="Times New Roman" w:eastAsia="宋体" w:cs="Times New Roman"/>
                      <w:color w:val="auto"/>
                      <w:szCs w:val="21"/>
                    </w:rPr>
                  </w:pPr>
                </w:p>
              </w:tc>
              <w:tc>
                <w:tcPr>
                  <w:tcW w:w="272" w:type="pct"/>
                  <w:vMerge w:val="continue"/>
                  <w:vAlign w:val="center"/>
                </w:tcPr>
                <w:p w14:paraId="6B60CB6D">
                  <w:pPr>
                    <w:spacing w:line="360" w:lineRule="exact"/>
                    <w:jc w:val="center"/>
                    <w:rPr>
                      <w:rFonts w:hint="default" w:ascii="Times New Roman" w:hAnsi="Times New Roman" w:eastAsia="宋体" w:cs="Times New Roman"/>
                      <w:color w:val="auto"/>
                      <w:szCs w:val="21"/>
                    </w:rPr>
                  </w:pPr>
                </w:p>
              </w:tc>
              <w:tc>
                <w:tcPr>
                  <w:tcW w:w="293" w:type="pct"/>
                  <w:vMerge w:val="continue"/>
                  <w:vAlign w:val="center"/>
                </w:tcPr>
                <w:p w14:paraId="703DB60F">
                  <w:pPr>
                    <w:spacing w:line="360" w:lineRule="exact"/>
                    <w:jc w:val="center"/>
                    <w:rPr>
                      <w:rFonts w:hint="default" w:ascii="Times New Roman" w:hAnsi="Times New Roman" w:eastAsia="宋体" w:cs="Times New Roman"/>
                      <w:color w:val="auto"/>
                      <w:szCs w:val="21"/>
                    </w:rPr>
                  </w:pPr>
                </w:p>
              </w:tc>
              <w:tc>
                <w:tcPr>
                  <w:tcW w:w="677" w:type="pct"/>
                  <w:vMerge w:val="continue"/>
                  <w:tcBorders>
                    <w:right w:val="nil"/>
                  </w:tcBorders>
                  <w:vAlign w:val="center"/>
                </w:tcPr>
                <w:p w14:paraId="53C12D5B">
                  <w:pPr>
                    <w:spacing w:line="360" w:lineRule="exact"/>
                    <w:jc w:val="center"/>
                    <w:rPr>
                      <w:rFonts w:hint="default" w:ascii="Times New Roman" w:hAnsi="Times New Roman" w:eastAsia="宋体" w:cs="Times New Roman"/>
                      <w:color w:val="auto"/>
                      <w:szCs w:val="21"/>
                    </w:rPr>
                  </w:pPr>
                </w:p>
              </w:tc>
            </w:tr>
            <w:tr w14:paraId="3FCA9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restart"/>
                  <w:tcBorders>
                    <w:left w:val="nil"/>
                  </w:tcBorders>
                  <w:vAlign w:val="center"/>
                </w:tcPr>
                <w:p w14:paraId="127ABE9A">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1</w:t>
                  </w:r>
                </w:p>
              </w:tc>
              <w:tc>
                <w:tcPr>
                  <w:tcW w:w="202" w:type="pct"/>
                  <w:vMerge w:val="restart"/>
                  <w:vAlign w:val="center"/>
                </w:tcPr>
                <w:p w14:paraId="4AA8B223">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员工生活</w:t>
                  </w:r>
                </w:p>
              </w:tc>
              <w:tc>
                <w:tcPr>
                  <w:tcW w:w="212" w:type="pct"/>
                  <w:vMerge w:val="restart"/>
                  <w:vAlign w:val="center"/>
                </w:tcPr>
                <w:p w14:paraId="7CCF97B5">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生活污水</w:t>
                  </w:r>
                </w:p>
              </w:tc>
              <w:tc>
                <w:tcPr>
                  <w:tcW w:w="312" w:type="pct"/>
                  <w:vAlign w:val="center"/>
                </w:tcPr>
                <w:p w14:paraId="16507F07">
                  <w:pPr>
                    <w:widowControl w:val="0"/>
                    <w:spacing w:line="36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pacing w:val="-2"/>
                      <w:kern w:val="2"/>
                      <w:sz w:val="21"/>
                      <w:szCs w:val="21"/>
                      <w:lang w:val="en-US" w:eastAsia="en-US" w:bidi="ar-SA"/>
                    </w:rPr>
                    <w:t>水量</w:t>
                  </w:r>
                </w:p>
              </w:tc>
              <w:tc>
                <w:tcPr>
                  <w:tcW w:w="366" w:type="pct"/>
                  <w:vAlign w:val="center"/>
                </w:tcPr>
                <w:p w14:paraId="0BAA7DF6">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position w:val="-2"/>
                      <w:szCs w:val="21"/>
                    </w:rPr>
                    <w:t>-</w:t>
                  </w:r>
                </w:p>
              </w:tc>
              <w:tc>
                <w:tcPr>
                  <w:tcW w:w="311" w:type="pct"/>
                  <w:vAlign w:val="center"/>
                </w:tcPr>
                <w:p w14:paraId="4720CFDC">
                  <w:pPr>
                    <w:spacing w:line="360" w:lineRule="exact"/>
                    <w:jc w:val="center"/>
                    <w:rPr>
                      <w:rFonts w:hint="default" w:ascii="Times New Roman" w:hAnsi="Times New Roman" w:eastAsia="宋体" w:cs="Times New Roman"/>
                      <w:color w:val="auto"/>
                      <w:spacing w:val="-3"/>
                      <w:szCs w:val="21"/>
                      <w:lang w:val="en-US" w:eastAsia="zh-CN"/>
                    </w:rPr>
                  </w:pPr>
                  <w:r>
                    <w:rPr>
                      <w:rFonts w:hint="eastAsia" w:ascii="Times New Roman" w:hAnsi="Times New Roman" w:eastAsia="宋体" w:cs="Times New Roman"/>
                      <w:color w:val="auto"/>
                      <w:spacing w:val="-3"/>
                      <w:szCs w:val="21"/>
                      <w:lang w:val="en-US" w:eastAsia="zh-CN"/>
                    </w:rPr>
                    <w:t>1350</w:t>
                  </w:r>
                </w:p>
              </w:tc>
              <w:tc>
                <w:tcPr>
                  <w:tcW w:w="236" w:type="pct"/>
                  <w:vMerge w:val="restart"/>
                  <w:vAlign w:val="center"/>
                </w:tcPr>
                <w:p w14:paraId="7298FB5D">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间接排放</w:t>
                  </w:r>
                </w:p>
              </w:tc>
              <w:tc>
                <w:tcPr>
                  <w:tcW w:w="271" w:type="pct"/>
                  <w:vMerge w:val="restart"/>
                  <w:vAlign w:val="center"/>
                </w:tcPr>
                <w:p w14:paraId="1EF82FBE">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三格式化粪池</w:t>
                  </w:r>
                </w:p>
              </w:tc>
              <w:tc>
                <w:tcPr>
                  <w:tcW w:w="219" w:type="pct"/>
                  <w:vMerge w:val="restart"/>
                  <w:vAlign w:val="center"/>
                </w:tcPr>
                <w:p w14:paraId="76EF2B0E">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有效</w:t>
                  </w:r>
                </w:p>
                <w:p w14:paraId="435C2715">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容积</w:t>
                  </w:r>
                </w:p>
                <w:p w14:paraId="59DB54BF">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10m</w:t>
                  </w:r>
                  <w:r>
                    <w:rPr>
                      <w:rFonts w:hint="default" w:ascii="Times New Roman" w:hAnsi="Times New Roman" w:eastAsia="宋体" w:cs="Times New Roman"/>
                      <w:color w:val="auto"/>
                      <w:szCs w:val="21"/>
                      <w:vertAlign w:val="superscript"/>
                    </w:rPr>
                    <w:t>3</w:t>
                  </w:r>
                </w:p>
              </w:tc>
              <w:tc>
                <w:tcPr>
                  <w:tcW w:w="293" w:type="pct"/>
                  <w:vAlign w:val="center"/>
                </w:tcPr>
                <w:p w14:paraId="7CCD1304">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position w:val="-2"/>
                      <w:szCs w:val="21"/>
                    </w:rPr>
                    <w:t>-</w:t>
                  </w:r>
                </w:p>
              </w:tc>
              <w:tc>
                <w:tcPr>
                  <w:tcW w:w="352" w:type="pct"/>
                  <w:vMerge w:val="restart"/>
                  <w:vAlign w:val="center"/>
                </w:tcPr>
                <w:p w14:paraId="2C16641B">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是</w:t>
                  </w:r>
                </w:p>
              </w:tc>
              <w:tc>
                <w:tcPr>
                  <w:tcW w:w="251" w:type="pct"/>
                  <w:vAlign w:val="center"/>
                </w:tcPr>
                <w:p w14:paraId="2E3912D2">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position w:val="-2"/>
                      <w:szCs w:val="21"/>
                    </w:rPr>
                    <w:t>-</w:t>
                  </w:r>
                </w:p>
              </w:tc>
              <w:tc>
                <w:tcPr>
                  <w:tcW w:w="275" w:type="pct"/>
                  <w:vAlign w:val="center"/>
                </w:tcPr>
                <w:p w14:paraId="368E0BCA">
                  <w:pPr>
                    <w:spacing w:line="360" w:lineRule="exact"/>
                    <w:jc w:val="center"/>
                    <w:rPr>
                      <w:rFonts w:hint="default" w:ascii="Times New Roman" w:hAnsi="Times New Roman" w:eastAsia="宋体" w:cs="Times New Roman"/>
                      <w:color w:val="auto"/>
                      <w:spacing w:val="-3"/>
                      <w:szCs w:val="21"/>
                      <w:lang w:val="en-US" w:eastAsia="zh-CN"/>
                    </w:rPr>
                  </w:pPr>
                  <w:r>
                    <w:rPr>
                      <w:rFonts w:hint="eastAsia" w:ascii="Times New Roman" w:hAnsi="Times New Roman" w:eastAsia="宋体" w:cs="Times New Roman"/>
                      <w:color w:val="auto"/>
                      <w:spacing w:val="-3"/>
                      <w:szCs w:val="21"/>
                      <w:lang w:val="en-US" w:eastAsia="zh-CN"/>
                    </w:rPr>
                    <w:t>1350</w:t>
                  </w:r>
                </w:p>
              </w:tc>
              <w:tc>
                <w:tcPr>
                  <w:tcW w:w="331" w:type="pct"/>
                  <w:vAlign w:val="center"/>
                </w:tcPr>
                <w:p w14:paraId="5BAC0092">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position w:val="-2"/>
                      <w:szCs w:val="21"/>
                    </w:rPr>
                    <w:t>-</w:t>
                  </w:r>
                </w:p>
              </w:tc>
              <w:tc>
                <w:tcPr>
                  <w:tcW w:w="272" w:type="pct"/>
                  <w:vMerge w:val="restart"/>
                  <w:vAlign w:val="center"/>
                </w:tcPr>
                <w:p w14:paraId="32B463CE">
                  <w:pPr>
                    <w:spacing w:line="360" w:lineRule="exact"/>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徐溜镇污水处理厂</w:t>
                  </w:r>
                </w:p>
              </w:tc>
              <w:tc>
                <w:tcPr>
                  <w:tcW w:w="293" w:type="pct"/>
                  <w:vMerge w:val="restart"/>
                  <w:vAlign w:val="center"/>
                </w:tcPr>
                <w:p w14:paraId="4FAE94BD">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间歇排放，排放期间流量不稳定</w:t>
                  </w:r>
                </w:p>
              </w:tc>
              <w:tc>
                <w:tcPr>
                  <w:tcW w:w="677" w:type="pct"/>
                  <w:vMerge w:val="restart"/>
                  <w:tcBorders>
                    <w:right w:val="nil"/>
                  </w:tcBorders>
                  <w:vAlign w:val="center"/>
                </w:tcPr>
                <w:p w14:paraId="77CE7B77">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编号：DW001</w:t>
                  </w:r>
                </w:p>
                <w:p w14:paraId="49C5A029">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名称：生活污水排口</w:t>
                  </w:r>
                </w:p>
                <w:p w14:paraId="6B6FFC21">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类型：企业总排口</w:t>
                  </w:r>
                </w:p>
                <w:p w14:paraId="3AF58F99">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地理坐标：</w:t>
                  </w:r>
                </w:p>
                <w:p w14:paraId="225E0CA1">
                  <w:pPr>
                    <w:pStyle w:val="18"/>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firstLine="0" w:firstLineChars="0"/>
                    <w:jc w:val="center"/>
                    <w:textAlignment w:val="auto"/>
                    <w:rPr>
                      <w:rFonts w:hint="default" w:ascii="Times New Roman" w:hAnsi="Times New Roman" w:eastAsia="宋体" w:cs="Times New Roman"/>
                      <w:color w:val="auto"/>
                      <w:szCs w:val="21"/>
                    </w:rPr>
                  </w:pPr>
                  <w:r>
                    <w:rPr>
                      <w:rFonts w:hint="default" w:ascii="Times New Roman" w:hAnsi="Times New Roman" w:eastAsia="宋体" w:cs="Times New Roman"/>
                      <w:color w:val="auto"/>
                      <w:kern w:val="2"/>
                      <w:sz w:val="21"/>
                      <w:szCs w:val="21"/>
                      <w:lang w:val="en-US" w:eastAsia="zh-CN" w:bidi="ar-SA"/>
                    </w:rPr>
                    <w:t>118°54′57.096″E</w:t>
                  </w:r>
                  <w:r>
                    <w:rPr>
                      <w:rFonts w:hint="eastAsia" w:ascii="Times New Roman" w:hAnsi="Times New Roman" w:eastAsia="宋体" w:cs="Times New Roman"/>
                      <w:color w:val="auto"/>
                      <w:kern w:val="2"/>
                      <w:sz w:val="21"/>
                      <w:szCs w:val="21"/>
                      <w:lang w:val="en-US" w:eastAsia="zh-CN" w:bidi="ar-SA"/>
                    </w:rPr>
                    <w:t>，</w:t>
                  </w:r>
                  <w:r>
                    <w:rPr>
                      <w:rFonts w:hint="default" w:ascii="Times New Roman" w:hAnsi="Times New Roman" w:eastAsia="宋体" w:cs="Times New Roman"/>
                      <w:color w:val="auto"/>
                      <w:kern w:val="2"/>
                      <w:sz w:val="21"/>
                      <w:szCs w:val="21"/>
                      <w:lang w:val="en-US" w:eastAsia="zh-CN" w:bidi="ar-SA"/>
                    </w:rPr>
                    <w:t>33°51′6.115″N</w:t>
                  </w:r>
                </w:p>
                <w:p w14:paraId="202E2295">
                  <w:pPr>
                    <w:pStyle w:val="18"/>
                    <w:rPr>
                      <w:rFonts w:hint="default" w:ascii="Times New Roman" w:hAnsi="Times New Roman" w:eastAsia="宋体" w:cs="Times New Roman"/>
                      <w:color w:val="auto"/>
                      <w:szCs w:val="21"/>
                    </w:rPr>
                  </w:pPr>
                </w:p>
              </w:tc>
            </w:tr>
            <w:tr w14:paraId="33628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tcBorders>
                    <w:left w:val="nil"/>
                  </w:tcBorders>
                  <w:vAlign w:val="center"/>
                </w:tcPr>
                <w:p w14:paraId="6BF0BA36">
                  <w:pPr>
                    <w:spacing w:line="360" w:lineRule="exact"/>
                    <w:jc w:val="center"/>
                    <w:rPr>
                      <w:rFonts w:hint="default" w:ascii="Times New Roman" w:hAnsi="Times New Roman" w:eastAsia="宋体" w:cs="Times New Roman"/>
                      <w:color w:val="auto"/>
                      <w:szCs w:val="21"/>
                    </w:rPr>
                  </w:pPr>
                </w:p>
              </w:tc>
              <w:tc>
                <w:tcPr>
                  <w:tcW w:w="202" w:type="pct"/>
                  <w:vMerge w:val="continue"/>
                  <w:vAlign w:val="center"/>
                </w:tcPr>
                <w:p w14:paraId="54BEFFCA">
                  <w:pPr>
                    <w:spacing w:line="360" w:lineRule="exact"/>
                    <w:jc w:val="center"/>
                    <w:rPr>
                      <w:rFonts w:hint="default" w:ascii="Times New Roman" w:hAnsi="Times New Roman" w:eastAsia="宋体" w:cs="Times New Roman"/>
                      <w:color w:val="auto"/>
                      <w:szCs w:val="21"/>
                    </w:rPr>
                  </w:pPr>
                </w:p>
              </w:tc>
              <w:tc>
                <w:tcPr>
                  <w:tcW w:w="212" w:type="pct"/>
                  <w:vMerge w:val="continue"/>
                  <w:vAlign w:val="center"/>
                </w:tcPr>
                <w:p w14:paraId="77B001DC">
                  <w:pPr>
                    <w:spacing w:line="360" w:lineRule="exact"/>
                    <w:jc w:val="center"/>
                    <w:rPr>
                      <w:rFonts w:hint="default" w:ascii="Times New Roman" w:hAnsi="Times New Roman" w:eastAsia="宋体" w:cs="Times New Roman"/>
                      <w:color w:val="auto"/>
                      <w:szCs w:val="21"/>
                    </w:rPr>
                  </w:pPr>
                </w:p>
              </w:tc>
              <w:tc>
                <w:tcPr>
                  <w:tcW w:w="312" w:type="pct"/>
                  <w:vAlign w:val="center"/>
                </w:tcPr>
                <w:p w14:paraId="1A8D0299">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COD</w:t>
                  </w:r>
                </w:p>
              </w:tc>
              <w:tc>
                <w:tcPr>
                  <w:tcW w:w="366" w:type="pct"/>
                  <w:vAlign w:val="center"/>
                </w:tcPr>
                <w:p w14:paraId="0CEDE581">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350</w:t>
                  </w:r>
                </w:p>
              </w:tc>
              <w:tc>
                <w:tcPr>
                  <w:tcW w:w="864" w:type="dxa"/>
                  <w:vAlign w:val="center"/>
                </w:tcPr>
                <w:p w14:paraId="0128CD83">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0.473 </w:t>
                  </w:r>
                </w:p>
              </w:tc>
              <w:tc>
                <w:tcPr>
                  <w:tcW w:w="236" w:type="pct"/>
                  <w:vMerge w:val="continue"/>
                  <w:vAlign w:val="center"/>
                </w:tcPr>
                <w:p w14:paraId="5AC967B0">
                  <w:pPr>
                    <w:spacing w:line="360" w:lineRule="exact"/>
                    <w:jc w:val="center"/>
                    <w:rPr>
                      <w:rFonts w:hint="default" w:ascii="Times New Roman" w:hAnsi="Times New Roman" w:eastAsia="宋体" w:cs="Times New Roman"/>
                      <w:color w:val="auto"/>
                      <w:spacing w:val="-1"/>
                      <w:szCs w:val="21"/>
                    </w:rPr>
                  </w:pPr>
                </w:p>
              </w:tc>
              <w:tc>
                <w:tcPr>
                  <w:tcW w:w="271" w:type="pct"/>
                  <w:vMerge w:val="continue"/>
                  <w:vAlign w:val="center"/>
                </w:tcPr>
                <w:p w14:paraId="28935A33">
                  <w:pPr>
                    <w:spacing w:line="360" w:lineRule="exact"/>
                    <w:jc w:val="center"/>
                    <w:rPr>
                      <w:rFonts w:hint="default" w:ascii="Times New Roman" w:hAnsi="Times New Roman" w:eastAsia="宋体" w:cs="Times New Roman"/>
                      <w:color w:val="auto"/>
                      <w:spacing w:val="-1"/>
                      <w:szCs w:val="21"/>
                    </w:rPr>
                  </w:pPr>
                </w:p>
              </w:tc>
              <w:tc>
                <w:tcPr>
                  <w:tcW w:w="219" w:type="pct"/>
                  <w:vMerge w:val="continue"/>
                  <w:vAlign w:val="center"/>
                </w:tcPr>
                <w:p w14:paraId="5AF488E2">
                  <w:pPr>
                    <w:spacing w:line="360" w:lineRule="exact"/>
                    <w:jc w:val="center"/>
                    <w:rPr>
                      <w:rFonts w:hint="default" w:ascii="Times New Roman" w:hAnsi="Times New Roman" w:eastAsia="宋体" w:cs="Times New Roman"/>
                      <w:color w:val="auto"/>
                      <w:spacing w:val="-1"/>
                      <w:szCs w:val="21"/>
                    </w:rPr>
                  </w:pPr>
                </w:p>
              </w:tc>
              <w:tc>
                <w:tcPr>
                  <w:tcW w:w="293" w:type="pct"/>
                  <w:vAlign w:val="center"/>
                </w:tcPr>
                <w:p w14:paraId="30D2B3C9">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50</w:t>
                  </w:r>
                </w:p>
              </w:tc>
              <w:tc>
                <w:tcPr>
                  <w:tcW w:w="352" w:type="pct"/>
                  <w:vMerge w:val="continue"/>
                  <w:vAlign w:val="center"/>
                </w:tcPr>
                <w:p w14:paraId="699528E6">
                  <w:pPr>
                    <w:spacing w:line="360" w:lineRule="exact"/>
                    <w:jc w:val="center"/>
                    <w:rPr>
                      <w:rFonts w:hint="default" w:ascii="Times New Roman" w:hAnsi="Times New Roman" w:eastAsia="宋体" w:cs="Times New Roman"/>
                      <w:color w:val="auto"/>
                      <w:spacing w:val="-1"/>
                      <w:szCs w:val="21"/>
                    </w:rPr>
                  </w:pPr>
                </w:p>
              </w:tc>
              <w:tc>
                <w:tcPr>
                  <w:tcW w:w="251" w:type="pct"/>
                  <w:vAlign w:val="center"/>
                </w:tcPr>
                <w:p w14:paraId="52E74498">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175</w:t>
                  </w:r>
                </w:p>
              </w:tc>
              <w:tc>
                <w:tcPr>
                  <w:tcW w:w="764" w:type="dxa"/>
                  <w:vAlign w:val="center"/>
                </w:tcPr>
                <w:p w14:paraId="6D536A91">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0.236 </w:t>
                  </w:r>
                </w:p>
              </w:tc>
              <w:tc>
                <w:tcPr>
                  <w:tcW w:w="331" w:type="pct"/>
                  <w:vAlign w:val="center"/>
                </w:tcPr>
                <w:p w14:paraId="6558624D">
                  <w:pPr>
                    <w:spacing w:line="360" w:lineRule="exact"/>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pacing w:val="-2"/>
                      <w:szCs w:val="21"/>
                      <w:lang w:val="en-US" w:eastAsia="zh-CN"/>
                    </w:rPr>
                    <w:t>4</w:t>
                  </w:r>
                  <w:r>
                    <w:rPr>
                      <w:rFonts w:hint="default" w:ascii="Times New Roman" w:hAnsi="Times New Roman" w:eastAsia="宋体" w:cs="Times New Roman"/>
                      <w:color w:val="auto"/>
                      <w:spacing w:val="-2"/>
                      <w:szCs w:val="21"/>
                    </w:rPr>
                    <w:t>00</w:t>
                  </w:r>
                </w:p>
              </w:tc>
              <w:tc>
                <w:tcPr>
                  <w:tcW w:w="272" w:type="pct"/>
                  <w:vMerge w:val="continue"/>
                  <w:vAlign w:val="center"/>
                </w:tcPr>
                <w:p w14:paraId="64B5FFAA">
                  <w:pPr>
                    <w:spacing w:line="360" w:lineRule="exact"/>
                    <w:jc w:val="center"/>
                    <w:rPr>
                      <w:rFonts w:hint="default" w:ascii="Times New Roman" w:hAnsi="Times New Roman" w:eastAsia="宋体" w:cs="Times New Roman"/>
                      <w:color w:val="auto"/>
                      <w:szCs w:val="21"/>
                    </w:rPr>
                  </w:pPr>
                </w:p>
              </w:tc>
              <w:tc>
                <w:tcPr>
                  <w:tcW w:w="293" w:type="pct"/>
                  <w:vMerge w:val="continue"/>
                  <w:vAlign w:val="center"/>
                </w:tcPr>
                <w:p w14:paraId="41761163">
                  <w:pPr>
                    <w:spacing w:line="360" w:lineRule="exact"/>
                    <w:jc w:val="center"/>
                    <w:rPr>
                      <w:rFonts w:hint="default" w:ascii="Times New Roman" w:hAnsi="Times New Roman" w:eastAsia="宋体" w:cs="Times New Roman"/>
                      <w:color w:val="auto"/>
                      <w:szCs w:val="21"/>
                    </w:rPr>
                  </w:pPr>
                </w:p>
              </w:tc>
              <w:tc>
                <w:tcPr>
                  <w:tcW w:w="677" w:type="pct"/>
                  <w:vMerge w:val="continue"/>
                  <w:tcBorders>
                    <w:right w:val="nil"/>
                  </w:tcBorders>
                  <w:vAlign w:val="center"/>
                </w:tcPr>
                <w:p w14:paraId="66454EAB">
                  <w:pPr>
                    <w:spacing w:line="360" w:lineRule="exact"/>
                    <w:jc w:val="center"/>
                    <w:rPr>
                      <w:rFonts w:hint="default" w:ascii="Times New Roman" w:hAnsi="Times New Roman" w:eastAsia="宋体" w:cs="Times New Roman"/>
                      <w:color w:val="auto"/>
                      <w:szCs w:val="21"/>
                    </w:rPr>
                  </w:pPr>
                </w:p>
              </w:tc>
            </w:tr>
            <w:tr w14:paraId="13D6E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tcBorders>
                    <w:left w:val="nil"/>
                  </w:tcBorders>
                  <w:vAlign w:val="center"/>
                </w:tcPr>
                <w:p w14:paraId="32EA97B7">
                  <w:pPr>
                    <w:spacing w:line="360" w:lineRule="exact"/>
                    <w:jc w:val="center"/>
                    <w:rPr>
                      <w:rFonts w:hint="default" w:ascii="Times New Roman" w:hAnsi="Times New Roman" w:eastAsia="宋体" w:cs="Times New Roman"/>
                      <w:color w:val="auto"/>
                      <w:szCs w:val="21"/>
                    </w:rPr>
                  </w:pPr>
                </w:p>
              </w:tc>
              <w:tc>
                <w:tcPr>
                  <w:tcW w:w="202" w:type="pct"/>
                  <w:vMerge w:val="continue"/>
                  <w:vAlign w:val="center"/>
                </w:tcPr>
                <w:p w14:paraId="17DD3C6C">
                  <w:pPr>
                    <w:spacing w:line="360" w:lineRule="exact"/>
                    <w:jc w:val="center"/>
                    <w:rPr>
                      <w:rFonts w:hint="default" w:ascii="Times New Roman" w:hAnsi="Times New Roman" w:eastAsia="宋体" w:cs="Times New Roman"/>
                      <w:color w:val="auto"/>
                      <w:szCs w:val="21"/>
                    </w:rPr>
                  </w:pPr>
                </w:p>
              </w:tc>
              <w:tc>
                <w:tcPr>
                  <w:tcW w:w="212" w:type="pct"/>
                  <w:vMerge w:val="continue"/>
                  <w:vAlign w:val="center"/>
                </w:tcPr>
                <w:p w14:paraId="7BBA494E">
                  <w:pPr>
                    <w:spacing w:line="360" w:lineRule="exact"/>
                    <w:jc w:val="center"/>
                    <w:rPr>
                      <w:rFonts w:hint="default" w:ascii="Times New Roman" w:hAnsi="Times New Roman" w:eastAsia="宋体" w:cs="Times New Roman"/>
                      <w:color w:val="auto"/>
                      <w:szCs w:val="21"/>
                    </w:rPr>
                  </w:pPr>
                </w:p>
              </w:tc>
              <w:tc>
                <w:tcPr>
                  <w:tcW w:w="312" w:type="pct"/>
                  <w:vAlign w:val="center"/>
                </w:tcPr>
                <w:p w14:paraId="0BBE554C">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6"/>
                      <w:szCs w:val="21"/>
                    </w:rPr>
                    <w:t>SS</w:t>
                  </w:r>
                </w:p>
              </w:tc>
              <w:tc>
                <w:tcPr>
                  <w:tcW w:w="366" w:type="pct"/>
                  <w:vAlign w:val="center"/>
                </w:tcPr>
                <w:p w14:paraId="333D07B9">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300</w:t>
                  </w:r>
                </w:p>
              </w:tc>
              <w:tc>
                <w:tcPr>
                  <w:tcW w:w="864" w:type="dxa"/>
                  <w:vAlign w:val="center"/>
                </w:tcPr>
                <w:p w14:paraId="55C547C4">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0.405 </w:t>
                  </w:r>
                </w:p>
              </w:tc>
              <w:tc>
                <w:tcPr>
                  <w:tcW w:w="236" w:type="pct"/>
                  <w:vMerge w:val="continue"/>
                  <w:vAlign w:val="center"/>
                </w:tcPr>
                <w:p w14:paraId="61EE37CE">
                  <w:pPr>
                    <w:spacing w:line="360" w:lineRule="exact"/>
                    <w:jc w:val="center"/>
                    <w:rPr>
                      <w:rFonts w:hint="default" w:ascii="Times New Roman" w:hAnsi="Times New Roman" w:eastAsia="宋体" w:cs="Times New Roman"/>
                      <w:color w:val="auto"/>
                      <w:spacing w:val="-1"/>
                      <w:szCs w:val="21"/>
                    </w:rPr>
                  </w:pPr>
                </w:p>
              </w:tc>
              <w:tc>
                <w:tcPr>
                  <w:tcW w:w="271" w:type="pct"/>
                  <w:vMerge w:val="continue"/>
                  <w:vAlign w:val="center"/>
                </w:tcPr>
                <w:p w14:paraId="0751DC2E">
                  <w:pPr>
                    <w:spacing w:line="360" w:lineRule="exact"/>
                    <w:jc w:val="center"/>
                    <w:rPr>
                      <w:rFonts w:hint="default" w:ascii="Times New Roman" w:hAnsi="Times New Roman" w:eastAsia="宋体" w:cs="Times New Roman"/>
                      <w:color w:val="auto"/>
                      <w:spacing w:val="-1"/>
                      <w:szCs w:val="21"/>
                    </w:rPr>
                  </w:pPr>
                </w:p>
              </w:tc>
              <w:tc>
                <w:tcPr>
                  <w:tcW w:w="219" w:type="pct"/>
                  <w:vMerge w:val="continue"/>
                  <w:vAlign w:val="center"/>
                </w:tcPr>
                <w:p w14:paraId="3AC71954">
                  <w:pPr>
                    <w:spacing w:line="360" w:lineRule="exact"/>
                    <w:jc w:val="center"/>
                    <w:rPr>
                      <w:rFonts w:hint="default" w:ascii="Times New Roman" w:hAnsi="Times New Roman" w:eastAsia="宋体" w:cs="Times New Roman"/>
                      <w:color w:val="auto"/>
                      <w:spacing w:val="-1"/>
                      <w:szCs w:val="21"/>
                    </w:rPr>
                  </w:pPr>
                </w:p>
              </w:tc>
              <w:tc>
                <w:tcPr>
                  <w:tcW w:w="293" w:type="pct"/>
                  <w:vAlign w:val="center"/>
                </w:tcPr>
                <w:p w14:paraId="0702CA48">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60</w:t>
                  </w:r>
                </w:p>
              </w:tc>
              <w:tc>
                <w:tcPr>
                  <w:tcW w:w="352" w:type="pct"/>
                  <w:vMerge w:val="continue"/>
                  <w:vAlign w:val="center"/>
                </w:tcPr>
                <w:p w14:paraId="31524899">
                  <w:pPr>
                    <w:spacing w:line="360" w:lineRule="exact"/>
                    <w:jc w:val="center"/>
                    <w:rPr>
                      <w:rFonts w:hint="default" w:ascii="Times New Roman" w:hAnsi="Times New Roman" w:eastAsia="宋体" w:cs="Times New Roman"/>
                      <w:color w:val="auto"/>
                      <w:spacing w:val="-1"/>
                      <w:szCs w:val="21"/>
                    </w:rPr>
                  </w:pPr>
                </w:p>
              </w:tc>
              <w:tc>
                <w:tcPr>
                  <w:tcW w:w="251" w:type="pct"/>
                  <w:vAlign w:val="center"/>
                </w:tcPr>
                <w:p w14:paraId="57550B16">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120</w:t>
                  </w:r>
                </w:p>
              </w:tc>
              <w:tc>
                <w:tcPr>
                  <w:tcW w:w="764" w:type="dxa"/>
                  <w:vAlign w:val="center"/>
                </w:tcPr>
                <w:p w14:paraId="1BF4CCEA">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0.162 </w:t>
                  </w:r>
                </w:p>
              </w:tc>
              <w:tc>
                <w:tcPr>
                  <w:tcW w:w="331" w:type="pct"/>
                  <w:vAlign w:val="center"/>
                </w:tcPr>
                <w:p w14:paraId="2CAF2475">
                  <w:pPr>
                    <w:spacing w:line="360" w:lineRule="exact"/>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pacing w:val="-1"/>
                      <w:szCs w:val="21"/>
                      <w:lang w:val="en-US" w:eastAsia="zh-CN"/>
                    </w:rPr>
                    <w:t>2</w:t>
                  </w:r>
                  <w:r>
                    <w:rPr>
                      <w:rFonts w:hint="default" w:ascii="Times New Roman" w:hAnsi="Times New Roman" w:eastAsia="宋体" w:cs="Times New Roman"/>
                      <w:color w:val="auto"/>
                      <w:spacing w:val="-1"/>
                      <w:szCs w:val="21"/>
                    </w:rPr>
                    <w:t>00</w:t>
                  </w:r>
                </w:p>
              </w:tc>
              <w:tc>
                <w:tcPr>
                  <w:tcW w:w="272" w:type="pct"/>
                  <w:vMerge w:val="continue"/>
                  <w:vAlign w:val="center"/>
                </w:tcPr>
                <w:p w14:paraId="3F36467B">
                  <w:pPr>
                    <w:spacing w:line="360" w:lineRule="exact"/>
                    <w:jc w:val="center"/>
                    <w:rPr>
                      <w:rFonts w:hint="default" w:ascii="Times New Roman" w:hAnsi="Times New Roman" w:eastAsia="宋体" w:cs="Times New Roman"/>
                      <w:color w:val="auto"/>
                      <w:szCs w:val="21"/>
                    </w:rPr>
                  </w:pPr>
                </w:p>
              </w:tc>
              <w:tc>
                <w:tcPr>
                  <w:tcW w:w="293" w:type="pct"/>
                  <w:vMerge w:val="continue"/>
                  <w:vAlign w:val="center"/>
                </w:tcPr>
                <w:p w14:paraId="609933A9">
                  <w:pPr>
                    <w:spacing w:line="360" w:lineRule="exact"/>
                    <w:jc w:val="center"/>
                    <w:rPr>
                      <w:rFonts w:hint="default" w:ascii="Times New Roman" w:hAnsi="Times New Roman" w:eastAsia="宋体" w:cs="Times New Roman"/>
                      <w:color w:val="auto"/>
                      <w:szCs w:val="21"/>
                    </w:rPr>
                  </w:pPr>
                </w:p>
              </w:tc>
              <w:tc>
                <w:tcPr>
                  <w:tcW w:w="677" w:type="pct"/>
                  <w:vMerge w:val="continue"/>
                  <w:tcBorders>
                    <w:right w:val="nil"/>
                  </w:tcBorders>
                  <w:vAlign w:val="center"/>
                </w:tcPr>
                <w:p w14:paraId="271A2A48">
                  <w:pPr>
                    <w:spacing w:line="360" w:lineRule="exact"/>
                    <w:jc w:val="center"/>
                    <w:rPr>
                      <w:rFonts w:hint="default" w:ascii="Times New Roman" w:hAnsi="Times New Roman" w:eastAsia="宋体" w:cs="Times New Roman"/>
                      <w:color w:val="auto"/>
                      <w:szCs w:val="21"/>
                    </w:rPr>
                  </w:pPr>
                </w:p>
              </w:tc>
            </w:tr>
            <w:tr w14:paraId="47856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tcBorders>
                    <w:left w:val="nil"/>
                  </w:tcBorders>
                  <w:vAlign w:val="center"/>
                </w:tcPr>
                <w:p w14:paraId="5CBD85BB">
                  <w:pPr>
                    <w:spacing w:line="360" w:lineRule="exact"/>
                    <w:jc w:val="center"/>
                    <w:rPr>
                      <w:rFonts w:hint="default" w:ascii="Times New Roman" w:hAnsi="Times New Roman" w:eastAsia="宋体" w:cs="Times New Roman"/>
                      <w:color w:val="auto"/>
                      <w:szCs w:val="21"/>
                    </w:rPr>
                  </w:pPr>
                </w:p>
              </w:tc>
              <w:tc>
                <w:tcPr>
                  <w:tcW w:w="202" w:type="pct"/>
                  <w:vMerge w:val="continue"/>
                  <w:vAlign w:val="center"/>
                </w:tcPr>
                <w:p w14:paraId="64BA3299">
                  <w:pPr>
                    <w:spacing w:line="360" w:lineRule="exact"/>
                    <w:jc w:val="center"/>
                    <w:rPr>
                      <w:rFonts w:hint="default" w:ascii="Times New Roman" w:hAnsi="Times New Roman" w:eastAsia="宋体" w:cs="Times New Roman"/>
                      <w:color w:val="auto"/>
                      <w:szCs w:val="21"/>
                    </w:rPr>
                  </w:pPr>
                </w:p>
              </w:tc>
              <w:tc>
                <w:tcPr>
                  <w:tcW w:w="212" w:type="pct"/>
                  <w:vMerge w:val="continue"/>
                  <w:vAlign w:val="center"/>
                </w:tcPr>
                <w:p w14:paraId="4D944961">
                  <w:pPr>
                    <w:spacing w:line="360" w:lineRule="exact"/>
                    <w:jc w:val="center"/>
                    <w:rPr>
                      <w:rFonts w:hint="default" w:ascii="Times New Roman" w:hAnsi="Times New Roman" w:eastAsia="宋体" w:cs="Times New Roman"/>
                      <w:color w:val="auto"/>
                      <w:szCs w:val="21"/>
                    </w:rPr>
                  </w:pPr>
                </w:p>
              </w:tc>
              <w:tc>
                <w:tcPr>
                  <w:tcW w:w="312" w:type="pct"/>
                  <w:vAlign w:val="center"/>
                </w:tcPr>
                <w:p w14:paraId="4F559C53">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NH</w:t>
                  </w:r>
                  <w:r>
                    <w:rPr>
                      <w:rFonts w:hint="default" w:ascii="Times New Roman" w:hAnsi="Times New Roman" w:eastAsia="宋体" w:cs="Times New Roman"/>
                      <w:color w:val="auto"/>
                      <w:spacing w:val="3"/>
                      <w:position w:val="-1"/>
                      <w:sz w:val="13"/>
                      <w:szCs w:val="13"/>
                    </w:rPr>
                    <w:t>3</w:t>
                  </w:r>
                  <w:r>
                    <w:rPr>
                      <w:rFonts w:hint="default" w:ascii="Times New Roman" w:hAnsi="Times New Roman" w:eastAsia="宋体" w:cs="Times New Roman"/>
                      <w:color w:val="auto"/>
                      <w:spacing w:val="3"/>
                      <w:szCs w:val="21"/>
                    </w:rPr>
                    <w:t>-N</w:t>
                  </w:r>
                </w:p>
              </w:tc>
              <w:tc>
                <w:tcPr>
                  <w:tcW w:w="366" w:type="pct"/>
                  <w:vAlign w:val="center"/>
                </w:tcPr>
                <w:p w14:paraId="288AA8B7">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30</w:t>
                  </w:r>
                </w:p>
              </w:tc>
              <w:tc>
                <w:tcPr>
                  <w:tcW w:w="864" w:type="dxa"/>
                  <w:vAlign w:val="center"/>
                </w:tcPr>
                <w:p w14:paraId="52D6F871">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0.041 </w:t>
                  </w:r>
                </w:p>
              </w:tc>
              <w:tc>
                <w:tcPr>
                  <w:tcW w:w="236" w:type="pct"/>
                  <w:vMerge w:val="continue"/>
                  <w:vAlign w:val="center"/>
                </w:tcPr>
                <w:p w14:paraId="4F534591">
                  <w:pPr>
                    <w:spacing w:line="360" w:lineRule="exact"/>
                    <w:jc w:val="center"/>
                    <w:rPr>
                      <w:rFonts w:hint="default" w:ascii="Times New Roman" w:hAnsi="Times New Roman" w:eastAsia="宋体" w:cs="Times New Roman"/>
                      <w:color w:val="auto"/>
                      <w:spacing w:val="-1"/>
                      <w:szCs w:val="21"/>
                    </w:rPr>
                  </w:pPr>
                </w:p>
              </w:tc>
              <w:tc>
                <w:tcPr>
                  <w:tcW w:w="271" w:type="pct"/>
                  <w:vMerge w:val="continue"/>
                  <w:vAlign w:val="center"/>
                </w:tcPr>
                <w:p w14:paraId="116D8A32">
                  <w:pPr>
                    <w:spacing w:line="360" w:lineRule="exact"/>
                    <w:jc w:val="center"/>
                    <w:rPr>
                      <w:rFonts w:hint="default" w:ascii="Times New Roman" w:hAnsi="Times New Roman" w:eastAsia="宋体" w:cs="Times New Roman"/>
                      <w:color w:val="auto"/>
                      <w:spacing w:val="-1"/>
                      <w:szCs w:val="21"/>
                    </w:rPr>
                  </w:pPr>
                </w:p>
              </w:tc>
              <w:tc>
                <w:tcPr>
                  <w:tcW w:w="219" w:type="pct"/>
                  <w:vMerge w:val="continue"/>
                  <w:vAlign w:val="center"/>
                </w:tcPr>
                <w:p w14:paraId="7FB222CB">
                  <w:pPr>
                    <w:spacing w:line="360" w:lineRule="exact"/>
                    <w:jc w:val="center"/>
                    <w:rPr>
                      <w:rFonts w:hint="default" w:ascii="Times New Roman" w:hAnsi="Times New Roman" w:eastAsia="宋体" w:cs="Times New Roman"/>
                      <w:color w:val="auto"/>
                      <w:spacing w:val="-1"/>
                      <w:szCs w:val="21"/>
                    </w:rPr>
                  </w:pPr>
                </w:p>
              </w:tc>
              <w:tc>
                <w:tcPr>
                  <w:tcW w:w="293" w:type="pct"/>
                  <w:vAlign w:val="center"/>
                </w:tcPr>
                <w:p w14:paraId="5EAF4BD7">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10</w:t>
                  </w:r>
                </w:p>
              </w:tc>
              <w:tc>
                <w:tcPr>
                  <w:tcW w:w="352" w:type="pct"/>
                  <w:vMerge w:val="continue"/>
                  <w:vAlign w:val="center"/>
                </w:tcPr>
                <w:p w14:paraId="28BCD176">
                  <w:pPr>
                    <w:spacing w:line="360" w:lineRule="exact"/>
                    <w:jc w:val="center"/>
                    <w:rPr>
                      <w:rFonts w:hint="default" w:ascii="Times New Roman" w:hAnsi="Times New Roman" w:eastAsia="宋体" w:cs="Times New Roman"/>
                      <w:color w:val="auto"/>
                      <w:spacing w:val="-1"/>
                      <w:szCs w:val="21"/>
                    </w:rPr>
                  </w:pPr>
                </w:p>
              </w:tc>
              <w:tc>
                <w:tcPr>
                  <w:tcW w:w="251" w:type="pct"/>
                  <w:vAlign w:val="center"/>
                </w:tcPr>
                <w:p w14:paraId="00C22975">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27</w:t>
                  </w:r>
                </w:p>
              </w:tc>
              <w:tc>
                <w:tcPr>
                  <w:tcW w:w="764" w:type="dxa"/>
                  <w:vAlign w:val="center"/>
                </w:tcPr>
                <w:p w14:paraId="2BD060DE">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0.036 </w:t>
                  </w:r>
                </w:p>
              </w:tc>
              <w:tc>
                <w:tcPr>
                  <w:tcW w:w="331" w:type="pct"/>
                  <w:vAlign w:val="center"/>
                </w:tcPr>
                <w:p w14:paraId="4015DF2B">
                  <w:pPr>
                    <w:spacing w:line="360" w:lineRule="exact"/>
                    <w:jc w:val="center"/>
                    <w:rPr>
                      <w:rFonts w:hint="eastAsia" w:ascii="Times New Roman" w:hAnsi="Times New Roman" w:eastAsia="宋体" w:cs="Times New Roman"/>
                      <w:color w:val="auto"/>
                      <w:szCs w:val="21"/>
                      <w:lang w:val="en-US" w:eastAsia="zh-CN"/>
                    </w:rPr>
                  </w:pPr>
                  <w:r>
                    <w:rPr>
                      <w:rFonts w:hint="default" w:ascii="Times New Roman" w:hAnsi="Times New Roman" w:eastAsia="宋体" w:cs="Times New Roman"/>
                      <w:color w:val="auto"/>
                      <w:spacing w:val="-1"/>
                      <w:szCs w:val="21"/>
                    </w:rPr>
                    <w:t>4</w:t>
                  </w:r>
                  <w:r>
                    <w:rPr>
                      <w:rFonts w:hint="eastAsia" w:ascii="Times New Roman" w:hAnsi="Times New Roman" w:eastAsia="宋体" w:cs="Times New Roman"/>
                      <w:color w:val="auto"/>
                      <w:spacing w:val="-1"/>
                      <w:szCs w:val="21"/>
                      <w:lang w:val="en-US" w:eastAsia="zh-CN"/>
                    </w:rPr>
                    <w:t>0</w:t>
                  </w:r>
                </w:p>
              </w:tc>
              <w:tc>
                <w:tcPr>
                  <w:tcW w:w="272" w:type="pct"/>
                  <w:vMerge w:val="continue"/>
                  <w:vAlign w:val="center"/>
                </w:tcPr>
                <w:p w14:paraId="01BE1347">
                  <w:pPr>
                    <w:spacing w:line="360" w:lineRule="exact"/>
                    <w:jc w:val="center"/>
                    <w:rPr>
                      <w:rFonts w:hint="default" w:ascii="Times New Roman" w:hAnsi="Times New Roman" w:eastAsia="宋体" w:cs="Times New Roman"/>
                      <w:color w:val="auto"/>
                      <w:szCs w:val="21"/>
                    </w:rPr>
                  </w:pPr>
                </w:p>
              </w:tc>
              <w:tc>
                <w:tcPr>
                  <w:tcW w:w="293" w:type="pct"/>
                  <w:vMerge w:val="continue"/>
                  <w:vAlign w:val="center"/>
                </w:tcPr>
                <w:p w14:paraId="0A8AC763">
                  <w:pPr>
                    <w:spacing w:line="360" w:lineRule="exact"/>
                    <w:jc w:val="center"/>
                    <w:rPr>
                      <w:rFonts w:hint="default" w:ascii="Times New Roman" w:hAnsi="Times New Roman" w:eastAsia="宋体" w:cs="Times New Roman"/>
                      <w:color w:val="auto"/>
                      <w:szCs w:val="21"/>
                    </w:rPr>
                  </w:pPr>
                </w:p>
              </w:tc>
              <w:tc>
                <w:tcPr>
                  <w:tcW w:w="677" w:type="pct"/>
                  <w:vMerge w:val="continue"/>
                  <w:tcBorders>
                    <w:right w:val="nil"/>
                  </w:tcBorders>
                  <w:vAlign w:val="center"/>
                </w:tcPr>
                <w:p w14:paraId="209F540C">
                  <w:pPr>
                    <w:spacing w:line="360" w:lineRule="exact"/>
                    <w:jc w:val="center"/>
                    <w:rPr>
                      <w:rFonts w:hint="default" w:ascii="Times New Roman" w:hAnsi="Times New Roman" w:eastAsia="宋体" w:cs="Times New Roman"/>
                      <w:color w:val="auto"/>
                      <w:szCs w:val="21"/>
                    </w:rPr>
                  </w:pPr>
                </w:p>
              </w:tc>
            </w:tr>
            <w:tr w14:paraId="087D1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tcBorders>
                    <w:left w:val="nil"/>
                  </w:tcBorders>
                  <w:vAlign w:val="center"/>
                </w:tcPr>
                <w:p w14:paraId="73330786">
                  <w:pPr>
                    <w:spacing w:line="360" w:lineRule="exact"/>
                    <w:jc w:val="center"/>
                    <w:rPr>
                      <w:rFonts w:hint="default" w:ascii="Times New Roman" w:hAnsi="Times New Roman" w:eastAsia="宋体" w:cs="Times New Roman"/>
                      <w:color w:val="auto"/>
                      <w:szCs w:val="21"/>
                    </w:rPr>
                  </w:pPr>
                </w:p>
              </w:tc>
              <w:tc>
                <w:tcPr>
                  <w:tcW w:w="202" w:type="pct"/>
                  <w:vMerge w:val="continue"/>
                  <w:vAlign w:val="center"/>
                </w:tcPr>
                <w:p w14:paraId="179709DD">
                  <w:pPr>
                    <w:spacing w:line="360" w:lineRule="exact"/>
                    <w:jc w:val="center"/>
                    <w:rPr>
                      <w:rFonts w:hint="default" w:ascii="Times New Roman" w:hAnsi="Times New Roman" w:eastAsia="宋体" w:cs="Times New Roman"/>
                      <w:color w:val="auto"/>
                      <w:szCs w:val="21"/>
                    </w:rPr>
                  </w:pPr>
                </w:p>
              </w:tc>
              <w:tc>
                <w:tcPr>
                  <w:tcW w:w="212" w:type="pct"/>
                  <w:vMerge w:val="continue"/>
                  <w:vAlign w:val="center"/>
                </w:tcPr>
                <w:p w14:paraId="1F44E6A0">
                  <w:pPr>
                    <w:spacing w:line="360" w:lineRule="exact"/>
                    <w:jc w:val="center"/>
                    <w:rPr>
                      <w:rFonts w:hint="default" w:ascii="Times New Roman" w:hAnsi="Times New Roman" w:eastAsia="宋体" w:cs="Times New Roman"/>
                      <w:color w:val="auto"/>
                      <w:szCs w:val="21"/>
                    </w:rPr>
                  </w:pPr>
                </w:p>
              </w:tc>
              <w:tc>
                <w:tcPr>
                  <w:tcW w:w="312" w:type="pct"/>
                  <w:vAlign w:val="center"/>
                </w:tcPr>
                <w:p w14:paraId="70567A0F">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TP</w:t>
                  </w:r>
                </w:p>
              </w:tc>
              <w:tc>
                <w:tcPr>
                  <w:tcW w:w="366" w:type="pct"/>
                  <w:vAlign w:val="center"/>
                </w:tcPr>
                <w:p w14:paraId="00E48DB5">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3</w:t>
                  </w:r>
                </w:p>
              </w:tc>
              <w:tc>
                <w:tcPr>
                  <w:tcW w:w="864" w:type="dxa"/>
                  <w:vAlign w:val="center"/>
                </w:tcPr>
                <w:p w14:paraId="1B2B6E4D">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0.004 </w:t>
                  </w:r>
                </w:p>
              </w:tc>
              <w:tc>
                <w:tcPr>
                  <w:tcW w:w="236" w:type="pct"/>
                  <w:vMerge w:val="continue"/>
                  <w:vAlign w:val="center"/>
                </w:tcPr>
                <w:p w14:paraId="1441B952">
                  <w:pPr>
                    <w:spacing w:line="360" w:lineRule="exact"/>
                    <w:jc w:val="center"/>
                    <w:rPr>
                      <w:rFonts w:hint="default" w:ascii="Times New Roman" w:hAnsi="Times New Roman" w:eastAsia="宋体" w:cs="Times New Roman"/>
                      <w:color w:val="auto"/>
                      <w:spacing w:val="-1"/>
                      <w:szCs w:val="21"/>
                    </w:rPr>
                  </w:pPr>
                </w:p>
              </w:tc>
              <w:tc>
                <w:tcPr>
                  <w:tcW w:w="271" w:type="pct"/>
                  <w:vMerge w:val="continue"/>
                  <w:vAlign w:val="center"/>
                </w:tcPr>
                <w:p w14:paraId="6AD843AE">
                  <w:pPr>
                    <w:spacing w:line="360" w:lineRule="exact"/>
                    <w:jc w:val="center"/>
                    <w:rPr>
                      <w:rFonts w:hint="default" w:ascii="Times New Roman" w:hAnsi="Times New Roman" w:eastAsia="宋体" w:cs="Times New Roman"/>
                      <w:color w:val="auto"/>
                      <w:spacing w:val="-1"/>
                      <w:szCs w:val="21"/>
                    </w:rPr>
                  </w:pPr>
                </w:p>
              </w:tc>
              <w:tc>
                <w:tcPr>
                  <w:tcW w:w="219" w:type="pct"/>
                  <w:vMerge w:val="continue"/>
                  <w:vAlign w:val="center"/>
                </w:tcPr>
                <w:p w14:paraId="1C19B3B3">
                  <w:pPr>
                    <w:spacing w:line="360" w:lineRule="exact"/>
                    <w:jc w:val="center"/>
                    <w:rPr>
                      <w:rFonts w:hint="default" w:ascii="Times New Roman" w:hAnsi="Times New Roman" w:eastAsia="宋体" w:cs="Times New Roman"/>
                      <w:color w:val="auto"/>
                      <w:spacing w:val="-1"/>
                      <w:szCs w:val="21"/>
                    </w:rPr>
                  </w:pPr>
                </w:p>
              </w:tc>
              <w:tc>
                <w:tcPr>
                  <w:tcW w:w="293" w:type="pct"/>
                  <w:vAlign w:val="center"/>
                </w:tcPr>
                <w:p w14:paraId="39B3C9E1">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20</w:t>
                  </w:r>
                </w:p>
              </w:tc>
              <w:tc>
                <w:tcPr>
                  <w:tcW w:w="352" w:type="pct"/>
                  <w:vMerge w:val="continue"/>
                  <w:vAlign w:val="center"/>
                </w:tcPr>
                <w:p w14:paraId="68F17761">
                  <w:pPr>
                    <w:spacing w:line="360" w:lineRule="exact"/>
                    <w:jc w:val="center"/>
                    <w:rPr>
                      <w:rFonts w:hint="default" w:ascii="Times New Roman" w:hAnsi="Times New Roman" w:eastAsia="宋体" w:cs="Times New Roman"/>
                      <w:color w:val="auto"/>
                      <w:spacing w:val="-1"/>
                      <w:szCs w:val="21"/>
                    </w:rPr>
                  </w:pPr>
                </w:p>
              </w:tc>
              <w:tc>
                <w:tcPr>
                  <w:tcW w:w="251" w:type="pct"/>
                  <w:vAlign w:val="center"/>
                </w:tcPr>
                <w:p w14:paraId="4777F9B8">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2.4</w:t>
                  </w:r>
                </w:p>
              </w:tc>
              <w:tc>
                <w:tcPr>
                  <w:tcW w:w="764" w:type="dxa"/>
                  <w:vAlign w:val="center"/>
                </w:tcPr>
                <w:p w14:paraId="1A2282B6">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0.003 </w:t>
                  </w:r>
                </w:p>
              </w:tc>
              <w:tc>
                <w:tcPr>
                  <w:tcW w:w="331" w:type="pct"/>
                  <w:vAlign w:val="center"/>
                </w:tcPr>
                <w:p w14:paraId="15B50B19">
                  <w:pPr>
                    <w:spacing w:line="36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4.0</w:t>
                  </w:r>
                </w:p>
              </w:tc>
              <w:tc>
                <w:tcPr>
                  <w:tcW w:w="272" w:type="pct"/>
                  <w:vMerge w:val="continue"/>
                  <w:vAlign w:val="center"/>
                </w:tcPr>
                <w:p w14:paraId="10942C06">
                  <w:pPr>
                    <w:spacing w:line="360" w:lineRule="exact"/>
                    <w:jc w:val="center"/>
                    <w:rPr>
                      <w:rFonts w:hint="default" w:ascii="Times New Roman" w:hAnsi="Times New Roman" w:eastAsia="宋体" w:cs="Times New Roman"/>
                      <w:color w:val="auto"/>
                      <w:szCs w:val="21"/>
                    </w:rPr>
                  </w:pPr>
                </w:p>
              </w:tc>
              <w:tc>
                <w:tcPr>
                  <w:tcW w:w="293" w:type="pct"/>
                  <w:vMerge w:val="continue"/>
                  <w:vAlign w:val="center"/>
                </w:tcPr>
                <w:p w14:paraId="5E16350C">
                  <w:pPr>
                    <w:spacing w:line="360" w:lineRule="exact"/>
                    <w:jc w:val="center"/>
                    <w:rPr>
                      <w:rFonts w:hint="default" w:ascii="Times New Roman" w:hAnsi="Times New Roman" w:eastAsia="宋体" w:cs="Times New Roman"/>
                      <w:color w:val="auto"/>
                      <w:szCs w:val="21"/>
                    </w:rPr>
                  </w:pPr>
                </w:p>
              </w:tc>
              <w:tc>
                <w:tcPr>
                  <w:tcW w:w="677" w:type="pct"/>
                  <w:vMerge w:val="continue"/>
                  <w:tcBorders>
                    <w:right w:val="nil"/>
                  </w:tcBorders>
                  <w:vAlign w:val="center"/>
                </w:tcPr>
                <w:p w14:paraId="73328E51">
                  <w:pPr>
                    <w:spacing w:line="360" w:lineRule="exact"/>
                    <w:jc w:val="center"/>
                    <w:rPr>
                      <w:rFonts w:hint="default" w:ascii="Times New Roman" w:hAnsi="Times New Roman" w:eastAsia="宋体" w:cs="Times New Roman"/>
                      <w:color w:val="auto"/>
                      <w:szCs w:val="21"/>
                    </w:rPr>
                  </w:pPr>
                </w:p>
              </w:tc>
            </w:tr>
            <w:tr w14:paraId="43C5F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121" w:type="pct"/>
                  <w:vMerge w:val="continue"/>
                  <w:tcBorders>
                    <w:left w:val="nil"/>
                    <w:bottom w:val="single" w:color="auto" w:sz="12" w:space="0"/>
                  </w:tcBorders>
                  <w:vAlign w:val="center"/>
                </w:tcPr>
                <w:p w14:paraId="52A0EF14">
                  <w:pPr>
                    <w:spacing w:line="360" w:lineRule="exact"/>
                    <w:jc w:val="center"/>
                    <w:rPr>
                      <w:rFonts w:hint="default" w:ascii="Times New Roman" w:hAnsi="Times New Roman" w:eastAsia="宋体" w:cs="Times New Roman"/>
                      <w:color w:val="auto"/>
                      <w:szCs w:val="21"/>
                    </w:rPr>
                  </w:pPr>
                </w:p>
              </w:tc>
              <w:tc>
                <w:tcPr>
                  <w:tcW w:w="202" w:type="pct"/>
                  <w:vMerge w:val="continue"/>
                  <w:tcBorders>
                    <w:bottom w:val="single" w:color="auto" w:sz="12" w:space="0"/>
                  </w:tcBorders>
                  <w:vAlign w:val="center"/>
                </w:tcPr>
                <w:p w14:paraId="286200FB">
                  <w:pPr>
                    <w:spacing w:line="360" w:lineRule="exact"/>
                    <w:jc w:val="center"/>
                    <w:rPr>
                      <w:rFonts w:hint="default" w:ascii="Times New Roman" w:hAnsi="Times New Roman" w:eastAsia="宋体" w:cs="Times New Roman"/>
                      <w:color w:val="auto"/>
                      <w:szCs w:val="21"/>
                    </w:rPr>
                  </w:pPr>
                </w:p>
              </w:tc>
              <w:tc>
                <w:tcPr>
                  <w:tcW w:w="212" w:type="pct"/>
                  <w:vMerge w:val="continue"/>
                  <w:tcBorders>
                    <w:bottom w:val="single" w:color="auto" w:sz="12" w:space="0"/>
                  </w:tcBorders>
                  <w:vAlign w:val="center"/>
                </w:tcPr>
                <w:p w14:paraId="7D6960CC">
                  <w:pPr>
                    <w:spacing w:line="360" w:lineRule="exact"/>
                    <w:jc w:val="center"/>
                    <w:rPr>
                      <w:rFonts w:hint="default" w:ascii="Times New Roman" w:hAnsi="Times New Roman" w:eastAsia="宋体" w:cs="Times New Roman"/>
                      <w:color w:val="auto"/>
                      <w:szCs w:val="21"/>
                    </w:rPr>
                  </w:pPr>
                </w:p>
              </w:tc>
              <w:tc>
                <w:tcPr>
                  <w:tcW w:w="312" w:type="pct"/>
                  <w:tcBorders>
                    <w:bottom w:val="single" w:color="auto" w:sz="12" w:space="0"/>
                  </w:tcBorders>
                  <w:vAlign w:val="center"/>
                </w:tcPr>
                <w:p w14:paraId="22D93F6B">
                  <w:pPr>
                    <w:spacing w:line="36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TN</w:t>
                  </w:r>
                </w:p>
              </w:tc>
              <w:tc>
                <w:tcPr>
                  <w:tcW w:w="366" w:type="pct"/>
                  <w:tcBorders>
                    <w:bottom w:val="single" w:color="auto" w:sz="12" w:space="0"/>
                  </w:tcBorders>
                  <w:vAlign w:val="center"/>
                </w:tcPr>
                <w:p w14:paraId="139108F2">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40</w:t>
                  </w:r>
                </w:p>
              </w:tc>
              <w:tc>
                <w:tcPr>
                  <w:tcW w:w="864" w:type="dxa"/>
                  <w:tcBorders>
                    <w:bottom w:val="single" w:color="auto" w:sz="12" w:space="0"/>
                  </w:tcBorders>
                  <w:vAlign w:val="center"/>
                </w:tcPr>
                <w:p w14:paraId="2C186F98">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 xml:space="preserve">0.068 </w:t>
                  </w:r>
                </w:p>
              </w:tc>
              <w:tc>
                <w:tcPr>
                  <w:tcW w:w="236" w:type="pct"/>
                  <w:vMerge w:val="continue"/>
                  <w:tcBorders>
                    <w:bottom w:val="single" w:color="auto" w:sz="12" w:space="0"/>
                  </w:tcBorders>
                  <w:vAlign w:val="center"/>
                </w:tcPr>
                <w:p w14:paraId="74C302CE">
                  <w:pPr>
                    <w:spacing w:line="360" w:lineRule="exact"/>
                    <w:jc w:val="center"/>
                    <w:rPr>
                      <w:rFonts w:hint="default" w:ascii="Times New Roman" w:hAnsi="Times New Roman" w:eastAsia="宋体" w:cs="Times New Roman"/>
                      <w:color w:val="auto"/>
                      <w:spacing w:val="-1"/>
                      <w:szCs w:val="21"/>
                    </w:rPr>
                  </w:pPr>
                </w:p>
              </w:tc>
              <w:tc>
                <w:tcPr>
                  <w:tcW w:w="271" w:type="pct"/>
                  <w:vMerge w:val="continue"/>
                  <w:tcBorders>
                    <w:bottom w:val="single" w:color="auto" w:sz="12" w:space="0"/>
                  </w:tcBorders>
                  <w:vAlign w:val="center"/>
                </w:tcPr>
                <w:p w14:paraId="1F5B00F4">
                  <w:pPr>
                    <w:spacing w:line="360" w:lineRule="exact"/>
                    <w:jc w:val="center"/>
                    <w:rPr>
                      <w:rFonts w:hint="default" w:ascii="Times New Roman" w:hAnsi="Times New Roman" w:eastAsia="宋体" w:cs="Times New Roman"/>
                      <w:color w:val="auto"/>
                      <w:spacing w:val="-1"/>
                      <w:szCs w:val="21"/>
                    </w:rPr>
                  </w:pPr>
                </w:p>
              </w:tc>
              <w:tc>
                <w:tcPr>
                  <w:tcW w:w="219" w:type="pct"/>
                  <w:vMerge w:val="continue"/>
                  <w:tcBorders>
                    <w:bottom w:val="single" w:color="auto" w:sz="12" w:space="0"/>
                  </w:tcBorders>
                  <w:vAlign w:val="center"/>
                </w:tcPr>
                <w:p w14:paraId="5801523B">
                  <w:pPr>
                    <w:spacing w:line="360" w:lineRule="exact"/>
                    <w:jc w:val="center"/>
                    <w:rPr>
                      <w:rFonts w:hint="default" w:ascii="Times New Roman" w:hAnsi="Times New Roman" w:eastAsia="宋体" w:cs="Times New Roman"/>
                      <w:color w:val="auto"/>
                      <w:spacing w:val="-1"/>
                      <w:szCs w:val="21"/>
                    </w:rPr>
                  </w:pPr>
                </w:p>
              </w:tc>
              <w:tc>
                <w:tcPr>
                  <w:tcW w:w="293" w:type="pct"/>
                  <w:tcBorders>
                    <w:bottom w:val="single" w:color="auto" w:sz="12" w:space="0"/>
                  </w:tcBorders>
                  <w:vAlign w:val="center"/>
                </w:tcPr>
                <w:p w14:paraId="4EA5CA33">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rPr>
                    <w:t>10</w:t>
                  </w:r>
                </w:p>
              </w:tc>
              <w:tc>
                <w:tcPr>
                  <w:tcW w:w="352" w:type="pct"/>
                  <w:vMerge w:val="continue"/>
                  <w:tcBorders>
                    <w:bottom w:val="single" w:color="auto" w:sz="12" w:space="0"/>
                  </w:tcBorders>
                  <w:vAlign w:val="center"/>
                </w:tcPr>
                <w:p w14:paraId="629C5AE8">
                  <w:pPr>
                    <w:spacing w:line="360" w:lineRule="exact"/>
                    <w:jc w:val="center"/>
                    <w:rPr>
                      <w:rFonts w:hint="default" w:ascii="Times New Roman" w:hAnsi="Times New Roman" w:eastAsia="宋体" w:cs="Times New Roman"/>
                      <w:color w:val="auto"/>
                      <w:spacing w:val="-1"/>
                      <w:szCs w:val="21"/>
                    </w:rPr>
                  </w:pPr>
                </w:p>
              </w:tc>
              <w:tc>
                <w:tcPr>
                  <w:tcW w:w="251" w:type="pct"/>
                  <w:tcBorders>
                    <w:bottom w:val="single" w:color="auto" w:sz="12" w:space="0"/>
                  </w:tcBorders>
                  <w:vAlign w:val="center"/>
                </w:tcPr>
                <w:p w14:paraId="40BD8764">
                  <w:pPr>
                    <w:spacing w:line="360" w:lineRule="exact"/>
                    <w:jc w:val="center"/>
                    <w:rPr>
                      <w:rFonts w:hint="default" w:ascii="Times New Roman" w:hAnsi="Times New Roman" w:eastAsia="宋体" w:cs="Times New Roman"/>
                      <w:color w:val="auto"/>
                      <w:spacing w:val="-1"/>
                      <w:szCs w:val="21"/>
                      <w:lang w:val="en-US" w:eastAsia="zh-CN"/>
                    </w:rPr>
                  </w:pPr>
                  <w:r>
                    <w:rPr>
                      <w:rFonts w:hint="eastAsia" w:ascii="Times New Roman" w:hAnsi="Times New Roman" w:eastAsia="宋体" w:cs="Times New Roman"/>
                      <w:color w:val="auto"/>
                      <w:spacing w:val="-1"/>
                      <w:szCs w:val="21"/>
                      <w:lang w:val="en-US" w:eastAsia="zh-CN"/>
                    </w:rPr>
                    <w:t>36</w:t>
                  </w:r>
                </w:p>
              </w:tc>
              <w:tc>
                <w:tcPr>
                  <w:tcW w:w="764" w:type="dxa"/>
                  <w:tcBorders>
                    <w:bottom w:val="single" w:color="auto" w:sz="12" w:space="0"/>
                  </w:tcBorders>
                  <w:vAlign w:val="center"/>
                </w:tcPr>
                <w:p w14:paraId="7E8B488E">
                  <w:pPr>
                    <w:spacing w:line="360" w:lineRule="exact"/>
                    <w:jc w:val="center"/>
                    <w:rPr>
                      <w:rFonts w:hint="default" w:ascii="Times New Roman" w:hAnsi="Times New Roman" w:eastAsia="宋体" w:cs="Times New Roman"/>
                      <w:color w:val="auto"/>
                      <w:spacing w:val="-1"/>
                      <w:szCs w:val="21"/>
                    </w:rPr>
                  </w:pPr>
                  <w:r>
                    <w:rPr>
                      <w:rFonts w:hint="default" w:ascii="Times New Roman" w:hAnsi="Times New Roman" w:eastAsia="宋体" w:cs="Times New Roman"/>
                      <w:color w:val="auto"/>
                      <w:spacing w:val="-1"/>
                      <w:szCs w:val="21"/>
                      <w:lang w:val="en-US" w:eastAsia="zh-CN"/>
                    </w:rPr>
                    <w:t>0.04</w:t>
                  </w:r>
                  <w:r>
                    <w:rPr>
                      <w:rFonts w:hint="eastAsia" w:ascii="Times New Roman" w:hAnsi="Times New Roman" w:eastAsia="宋体" w:cs="Times New Roman"/>
                      <w:color w:val="auto"/>
                      <w:spacing w:val="-1"/>
                      <w:szCs w:val="21"/>
                      <w:lang w:val="en-US" w:eastAsia="zh-CN"/>
                    </w:rPr>
                    <w:t>9</w:t>
                  </w:r>
                  <w:r>
                    <w:rPr>
                      <w:rFonts w:hint="default" w:ascii="Times New Roman" w:hAnsi="Times New Roman" w:eastAsia="宋体" w:cs="Times New Roman"/>
                      <w:color w:val="auto"/>
                      <w:spacing w:val="-1"/>
                      <w:szCs w:val="21"/>
                      <w:lang w:val="en-US" w:eastAsia="zh-CN"/>
                    </w:rPr>
                    <w:t xml:space="preserve"> </w:t>
                  </w:r>
                </w:p>
              </w:tc>
              <w:tc>
                <w:tcPr>
                  <w:tcW w:w="331" w:type="pct"/>
                  <w:tcBorders>
                    <w:bottom w:val="single" w:color="auto" w:sz="12" w:space="0"/>
                  </w:tcBorders>
                  <w:vAlign w:val="center"/>
                </w:tcPr>
                <w:p w14:paraId="6CF9143B">
                  <w:pPr>
                    <w:spacing w:line="36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40</w:t>
                  </w:r>
                </w:p>
              </w:tc>
              <w:tc>
                <w:tcPr>
                  <w:tcW w:w="272" w:type="pct"/>
                  <w:vMerge w:val="continue"/>
                  <w:tcBorders>
                    <w:bottom w:val="single" w:color="auto" w:sz="12" w:space="0"/>
                  </w:tcBorders>
                  <w:vAlign w:val="center"/>
                </w:tcPr>
                <w:p w14:paraId="160EB57C">
                  <w:pPr>
                    <w:spacing w:line="360" w:lineRule="exact"/>
                    <w:jc w:val="center"/>
                    <w:rPr>
                      <w:rFonts w:hint="default" w:ascii="Times New Roman" w:hAnsi="Times New Roman" w:eastAsia="宋体" w:cs="Times New Roman"/>
                      <w:color w:val="auto"/>
                      <w:szCs w:val="21"/>
                    </w:rPr>
                  </w:pPr>
                </w:p>
              </w:tc>
              <w:tc>
                <w:tcPr>
                  <w:tcW w:w="293" w:type="pct"/>
                  <w:vMerge w:val="continue"/>
                  <w:tcBorders>
                    <w:bottom w:val="single" w:color="auto" w:sz="12" w:space="0"/>
                  </w:tcBorders>
                  <w:vAlign w:val="center"/>
                </w:tcPr>
                <w:p w14:paraId="79805C01">
                  <w:pPr>
                    <w:spacing w:line="360" w:lineRule="exact"/>
                    <w:jc w:val="center"/>
                    <w:rPr>
                      <w:rFonts w:hint="default" w:ascii="Times New Roman" w:hAnsi="Times New Roman" w:eastAsia="宋体" w:cs="Times New Roman"/>
                      <w:color w:val="auto"/>
                      <w:szCs w:val="21"/>
                    </w:rPr>
                  </w:pPr>
                </w:p>
              </w:tc>
              <w:tc>
                <w:tcPr>
                  <w:tcW w:w="677" w:type="pct"/>
                  <w:vMerge w:val="continue"/>
                  <w:tcBorders>
                    <w:bottom w:val="single" w:color="auto" w:sz="12" w:space="0"/>
                    <w:right w:val="nil"/>
                  </w:tcBorders>
                  <w:vAlign w:val="center"/>
                </w:tcPr>
                <w:p w14:paraId="2AB1D3BF">
                  <w:pPr>
                    <w:spacing w:line="360" w:lineRule="exact"/>
                    <w:jc w:val="center"/>
                    <w:rPr>
                      <w:rFonts w:hint="default" w:ascii="Times New Roman" w:hAnsi="Times New Roman" w:eastAsia="宋体" w:cs="Times New Roman"/>
                      <w:color w:val="auto"/>
                      <w:szCs w:val="21"/>
                    </w:rPr>
                  </w:pPr>
                </w:p>
              </w:tc>
            </w:tr>
          </w:tbl>
          <w:p w14:paraId="7D5B43BC">
            <w:pPr>
              <w:keepNext w:val="0"/>
              <w:keepLines w:val="0"/>
              <w:pageBreakBefore w:val="0"/>
              <w:widowControl w:val="0"/>
              <w:kinsoku w:val="0"/>
              <w:wordWrap/>
              <w:overflowPunct/>
              <w:topLinePunct w:val="0"/>
              <w:autoSpaceDE w:val="0"/>
              <w:autoSpaceDN w:val="0"/>
              <w:bidi w:val="0"/>
              <w:adjustRightInd w:val="0"/>
              <w:snapToGrid w:val="0"/>
              <w:spacing w:line="500" w:lineRule="exact"/>
              <w:ind w:left="0" w:firstLine="442" w:firstLineChars="200"/>
              <w:jc w:val="left"/>
              <w:textAlignment w:val="baseline"/>
              <w:rPr>
                <w:rFonts w:hint="default" w:ascii="Times New Roman" w:hAnsi="Times New Roman" w:eastAsia="宋体" w:cs="Times New Roman"/>
                <w:snapToGrid w:val="0"/>
                <w:color w:val="auto"/>
                <w:kern w:val="0"/>
                <w:sz w:val="24"/>
              </w:rPr>
            </w:pPr>
            <w:r>
              <w:rPr>
                <w:rFonts w:hint="default" w:ascii="Times New Roman" w:hAnsi="Times New Roman" w:eastAsia="宋体" w:cs="Times New Roman"/>
                <w:b/>
                <w:bCs/>
                <w:snapToGrid w:val="0"/>
                <w:color w:val="auto"/>
                <w:kern w:val="0"/>
                <w:sz w:val="22"/>
                <w:szCs w:val="22"/>
              </w:rPr>
              <w:t>⑵废水治理措施</w:t>
            </w:r>
          </w:p>
          <w:p w14:paraId="6D5993BF">
            <w:pPr>
              <w:keepNext w:val="0"/>
              <w:keepLines w:val="0"/>
              <w:pageBreakBefore w:val="0"/>
              <w:widowControl w:val="0"/>
              <w:wordWrap/>
              <w:overflowPunct/>
              <w:topLinePunct w:val="0"/>
              <w:autoSpaceDE w:val="0"/>
              <w:autoSpaceDN w:val="0"/>
              <w:bidi w:val="0"/>
              <w:adjustRightInd w:val="0"/>
              <w:spacing w:before="0" w:line="500" w:lineRule="exact"/>
              <w:ind w:left="0" w:firstLine="440"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本项目循环冷却水</w:t>
            </w:r>
            <w:r>
              <w:rPr>
                <w:rFonts w:hint="eastAsia" w:ascii="Times New Roman" w:hAnsi="Times New Roman" w:eastAsia="宋体" w:cs="Times New Roman"/>
                <w:color w:val="auto"/>
                <w:sz w:val="22"/>
                <w:szCs w:val="22"/>
                <w:lang w:val="en-US" w:eastAsia="zh-CN" w:bidi="ar-SA"/>
              </w:rPr>
              <w:t>循环使用</w:t>
            </w:r>
            <w:r>
              <w:rPr>
                <w:rFonts w:hint="default" w:ascii="Times New Roman" w:hAnsi="Times New Roman" w:eastAsia="宋体" w:cs="Times New Roman"/>
                <w:color w:val="auto"/>
                <w:sz w:val="22"/>
                <w:szCs w:val="22"/>
                <w:lang w:val="en-US" w:eastAsia="zh-CN" w:bidi="ar-SA"/>
              </w:rPr>
              <w:t>，定期补充，不排放。生活污水经三格式化粪池处理后接管</w:t>
            </w:r>
            <w:r>
              <w:rPr>
                <w:rFonts w:hint="eastAsia" w:ascii="Times New Roman" w:hAnsi="Times New Roman" w:eastAsia="宋体" w:cs="Times New Roman"/>
                <w:color w:val="auto"/>
                <w:sz w:val="22"/>
                <w:szCs w:val="22"/>
                <w:lang w:val="en-US" w:eastAsia="zh-CN" w:bidi="ar-SA"/>
              </w:rPr>
              <w:t>徐溜镇污水处理厂</w:t>
            </w:r>
            <w:r>
              <w:rPr>
                <w:rFonts w:hint="default" w:ascii="Times New Roman" w:hAnsi="Times New Roman" w:eastAsia="宋体" w:cs="Times New Roman"/>
                <w:color w:val="auto"/>
                <w:sz w:val="22"/>
                <w:szCs w:val="22"/>
                <w:lang w:val="en-US" w:eastAsia="zh-CN" w:bidi="ar-SA"/>
              </w:rPr>
              <w:t>。三格式化粪池是利用重力沉降和厌氧发酵原理，对粪便污染物进行沉淀、消解的污水处理设施。沉淀粪便通过厌氧消化，使有机物分解，易腐败的新鲜粪便转化为稳定的熟污泥。上清液作为三格式化粪池的出水。三格式化粪池处理工艺流程见图4.2-1。</w:t>
            </w:r>
          </w:p>
          <w:p w14:paraId="68660EF4">
            <w:pPr>
              <w:widowControl w:val="0"/>
              <w:autoSpaceDE w:val="0"/>
              <w:autoSpaceDN w:val="0"/>
              <w:adjustRightInd w:val="0"/>
              <w:spacing w:line="480" w:lineRule="exact"/>
              <w:ind w:firstLine="44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snapToGrid w:val="0"/>
                <w:color w:val="auto"/>
                <w:sz w:val="22"/>
                <w:szCs w:val="22"/>
                <w:lang w:val="en-US" w:eastAsia="zh-CN" w:bidi="ar-SA"/>
              </w:rPr>
              <w:t>⑶治理设施可行性分析</w:t>
            </w:r>
          </w:p>
          <w:p w14:paraId="7CF54833">
            <w:pPr>
              <w:widowControl w:val="0"/>
              <w:autoSpaceDE w:val="0"/>
              <w:autoSpaceDN w:val="0"/>
              <w:adjustRightInd w:val="0"/>
              <w:spacing w:line="480" w:lineRule="exact"/>
              <w:ind w:firstLine="440"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项目</w:t>
            </w:r>
            <w:r>
              <w:rPr>
                <w:rFonts w:hint="eastAsia" w:cs="Times New Roman"/>
                <w:color w:val="auto"/>
                <w:sz w:val="22"/>
                <w:szCs w:val="22"/>
                <w:lang w:val="en-US" w:eastAsia="zh-CN" w:bidi="ar-SA"/>
              </w:rPr>
              <w:t>建设</w:t>
            </w:r>
            <w:r>
              <w:rPr>
                <w:rFonts w:hint="default" w:ascii="Times New Roman" w:hAnsi="Times New Roman" w:eastAsia="宋体" w:cs="Times New Roman"/>
                <w:color w:val="auto"/>
                <w:sz w:val="22"/>
                <w:szCs w:val="22"/>
                <w:lang w:val="en-US" w:eastAsia="zh-CN" w:bidi="ar-SA"/>
              </w:rPr>
              <w:t>有效容积为10m</w:t>
            </w:r>
            <w:r>
              <w:rPr>
                <w:rFonts w:hint="default" w:ascii="Times New Roman" w:hAnsi="Times New Roman" w:eastAsia="宋体" w:cs="Times New Roman"/>
                <w:color w:val="auto"/>
                <w:sz w:val="22"/>
                <w:szCs w:val="22"/>
                <w:vertAlign w:val="superscript"/>
                <w:lang w:val="en-US" w:eastAsia="zh-CN" w:bidi="ar-SA"/>
              </w:rPr>
              <w:t>3</w:t>
            </w:r>
            <w:r>
              <w:rPr>
                <w:rFonts w:hint="default" w:ascii="Times New Roman" w:hAnsi="Times New Roman" w:eastAsia="宋体" w:cs="Times New Roman"/>
                <w:color w:val="auto"/>
                <w:sz w:val="22"/>
                <w:szCs w:val="22"/>
                <w:lang w:val="en-US" w:eastAsia="zh-CN" w:bidi="ar-SA"/>
              </w:rPr>
              <w:t>的三格式化粪池，生活污水通常在三格式化粪池停留时间约为12-</w:t>
            </w:r>
            <w:r>
              <w:rPr>
                <w:rFonts w:hint="eastAsia" w:ascii="Times New Roman" w:hAnsi="Times New Roman" w:eastAsia="宋体" w:cs="Times New Roman"/>
                <w:color w:val="auto"/>
                <w:sz w:val="22"/>
                <w:szCs w:val="22"/>
                <w:lang w:val="en-US" w:eastAsia="zh-CN" w:bidi="ar-SA"/>
              </w:rPr>
              <w:t xml:space="preserve"> </w:t>
            </w:r>
            <w:r>
              <w:rPr>
                <w:rFonts w:hint="default" w:ascii="Times New Roman" w:hAnsi="Times New Roman" w:eastAsia="宋体" w:cs="Times New Roman"/>
                <w:color w:val="auto"/>
                <w:sz w:val="22"/>
                <w:szCs w:val="22"/>
                <w:lang w:val="en-US" w:eastAsia="zh-CN" w:bidi="ar-SA"/>
              </w:rPr>
              <w:t>36h。本项目生活污水产生量约为</w:t>
            </w:r>
            <w:r>
              <w:rPr>
                <w:rFonts w:hint="eastAsia" w:ascii="Times New Roman" w:hAnsi="Times New Roman" w:eastAsia="宋体" w:cs="Times New Roman"/>
                <w:color w:val="auto"/>
                <w:sz w:val="22"/>
                <w:szCs w:val="22"/>
                <w:lang w:val="en-US" w:eastAsia="zh-CN" w:bidi="ar-SA"/>
              </w:rPr>
              <w:t>4.5</w:t>
            </w:r>
            <w:r>
              <w:rPr>
                <w:rFonts w:hint="default" w:ascii="Times New Roman" w:hAnsi="Times New Roman" w:eastAsia="宋体" w:cs="Times New Roman"/>
                <w:color w:val="auto"/>
                <w:sz w:val="22"/>
                <w:szCs w:val="22"/>
                <w:lang w:val="en-US" w:eastAsia="zh-CN" w:bidi="ar-SA"/>
              </w:rPr>
              <w:t>m</w:t>
            </w:r>
            <w:r>
              <w:rPr>
                <w:rFonts w:hint="default" w:ascii="Times New Roman" w:hAnsi="Times New Roman" w:eastAsia="宋体" w:cs="Times New Roman"/>
                <w:color w:val="auto"/>
                <w:sz w:val="22"/>
                <w:szCs w:val="22"/>
                <w:vertAlign w:val="superscript"/>
                <w:lang w:val="en-US" w:eastAsia="zh-CN" w:bidi="ar-SA"/>
              </w:rPr>
              <w:t>3</w:t>
            </w:r>
            <w:r>
              <w:rPr>
                <w:rFonts w:hint="default" w:ascii="Times New Roman" w:hAnsi="Times New Roman" w:eastAsia="宋体" w:cs="Times New Roman"/>
                <w:color w:val="auto"/>
                <w:sz w:val="22"/>
                <w:szCs w:val="22"/>
                <w:lang w:val="en-US" w:eastAsia="zh-CN" w:bidi="ar-SA"/>
              </w:rPr>
              <w:t>/d，三格式化粪池可以满足生活污水处理要求。</w:t>
            </w:r>
          </w:p>
          <w:p w14:paraId="1AAC7B8B">
            <w:pPr>
              <w:widowControl w:val="0"/>
              <w:autoSpaceDE w:val="0"/>
              <w:autoSpaceDN w:val="0"/>
              <w:adjustRightInd w:val="0"/>
              <w:spacing w:line="480" w:lineRule="exact"/>
              <w:ind w:firstLine="440" w:firstLineChars="200"/>
              <w:rPr>
                <w:rFonts w:hint="default" w:ascii="Times New Roman" w:hAnsi="Times New Roman" w:eastAsia="宋体" w:cs="Times New Roman"/>
                <w:color w:val="auto"/>
                <w:szCs w:val="21"/>
              </w:rPr>
            </w:pPr>
            <w:r>
              <w:rPr>
                <w:rFonts w:hint="default" w:ascii="Times New Roman" w:hAnsi="Times New Roman" w:eastAsia="宋体" w:cs="Times New Roman"/>
                <w:color w:val="auto"/>
                <w:sz w:val="22"/>
                <w:szCs w:val="22"/>
                <w:lang w:val="en-US" w:eastAsia="zh-CN" w:bidi="ar-SA"/>
              </w:rPr>
              <w:t>参照《村镇生活污染防治最佳可行技术指南（试行）》（HJ-BAT-9）中三格式化粪池对污染物的去除效率：COD：40%-50%（本次环评取50%），SS：60%-70%（本次环评取60%），TN：不大于10%（本次环评取10%），TP：不大于20%（本次环评取20%），因此三格式化粪池为生活污水处理的可行技术。处理后的生活污水达到了</w:t>
            </w:r>
            <w:r>
              <w:rPr>
                <w:rFonts w:hint="eastAsia" w:ascii="Times New Roman" w:hAnsi="Times New Roman" w:eastAsia="宋体" w:cs="Times New Roman"/>
                <w:color w:val="auto"/>
                <w:sz w:val="22"/>
                <w:szCs w:val="22"/>
                <w:lang w:val="en-US" w:eastAsia="zh-CN" w:bidi="ar-SA"/>
              </w:rPr>
              <w:t>徐溜镇污水处理厂</w:t>
            </w:r>
            <w:r>
              <w:rPr>
                <w:rFonts w:hint="default" w:ascii="Times New Roman" w:hAnsi="Times New Roman" w:eastAsia="宋体" w:cs="Times New Roman"/>
                <w:color w:val="auto"/>
                <w:sz w:val="22"/>
                <w:szCs w:val="22"/>
                <w:lang w:val="en-US" w:eastAsia="zh-CN" w:bidi="ar-SA"/>
              </w:rPr>
              <w:t>接管标准，满足达标排放要求。</w:t>
            </w:r>
          </w:p>
        </w:tc>
      </w:tr>
    </w:tbl>
    <w:p w14:paraId="7566AFD8">
      <w:pPr>
        <w:pStyle w:val="36"/>
        <w:outlineLvl w:val="9"/>
        <w:rPr>
          <w:rFonts w:hint="eastAsia"/>
          <w:color w:val="auto"/>
        </w:rPr>
        <w:sectPr>
          <w:pgSz w:w="16840" w:h="11907" w:orient="landscape"/>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8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50"/>
        <w:gridCol w:w="9385"/>
      </w:tblGrid>
      <w:tr w14:paraId="4258B8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776" w:hRule="atLeast"/>
          <w:jc w:val="center"/>
        </w:trPr>
        <w:tc>
          <w:tcPr>
            <w:tcW w:w="277" w:type="pct"/>
            <w:tcBorders>
              <w:tl2br w:val="nil"/>
              <w:tr2bl w:val="nil"/>
            </w:tcBorders>
            <w:noWrap w:val="0"/>
            <w:tcMar>
              <w:left w:w="28" w:type="dxa"/>
              <w:right w:w="28" w:type="dxa"/>
            </w:tcMar>
            <w:vAlign w:val="center"/>
          </w:tcPr>
          <w:p w14:paraId="6BB946D9">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运营</w:t>
            </w:r>
          </w:p>
          <w:p w14:paraId="4B85160F">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期环</w:t>
            </w:r>
          </w:p>
          <w:p w14:paraId="221EBAA9">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境影</w:t>
            </w:r>
          </w:p>
          <w:p w14:paraId="350F4CDB">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响和</w:t>
            </w:r>
          </w:p>
          <w:p w14:paraId="7F2C7013">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保护</w:t>
            </w:r>
          </w:p>
          <w:p w14:paraId="68A72501">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措施</w:t>
            </w:r>
          </w:p>
        </w:tc>
        <w:tc>
          <w:tcPr>
            <w:tcW w:w="4722" w:type="pct"/>
            <w:tcBorders>
              <w:tl2br w:val="nil"/>
              <w:tr2bl w:val="nil"/>
            </w:tcBorders>
            <w:noWrap w:val="0"/>
            <w:vAlign w:val="top"/>
          </w:tcPr>
          <w:tbl>
            <w:tblPr>
              <w:tblStyle w:val="44"/>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314"/>
            </w:tblGrid>
            <w:tr w14:paraId="4BD464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314" w:type="dxa"/>
                  <w:tcBorders>
                    <w:tl2br w:val="nil"/>
                    <w:tr2bl w:val="nil"/>
                  </w:tcBorders>
                </w:tcPr>
                <w:p w14:paraId="614CA716">
                  <w:pPr>
                    <w:keepNext w:val="0"/>
                    <w:keepLines w:val="0"/>
                    <w:pageBreakBefore w:val="0"/>
                    <w:widowControl w:val="0"/>
                    <w:kinsoku/>
                    <w:wordWrap/>
                    <w:overflowPunct/>
                    <w:topLinePunct w:val="0"/>
                    <w:autoSpaceDE w:val="0"/>
                    <w:autoSpaceDN w:val="0"/>
                    <w:bidi w:val="0"/>
                    <w:adjustRightInd w:val="0"/>
                    <w:snapToGrid/>
                    <w:spacing w:line="500" w:lineRule="exact"/>
                    <w:jc w:val="center"/>
                    <w:textAlignment w:val="auto"/>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drawing>
                      <wp:anchor distT="0" distB="0" distL="114300" distR="114300" simplePos="0" relativeHeight="251666432" behindDoc="0" locked="0" layoutInCell="1" allowOverlap="1">
                        <wp:simplePos x="0" y="0"/>
                        <wp:positionH relativeFrom="column">
                          <wp:posOffset>135255</wp:posOffset>
                        </wp:positionH>
                        <wp:positionV relativeFrom="paragraph">
                          <wp:posOffset>-2148205</wp:posOffset>
                        </wp:positionV>
                        <wp:extent cx="5120640" cy="2072005"/>
                        <wp:effectExtent l="0" t="0" r="3810" b="4445"/>
                        <wp:wrapTopAndBottom/>
                        <wp:docPr id="12" name="图片 12" descr="v2-ee32fd7307fab890cf7dc60684d614e8_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v2-ee32fd7307fab890cf7dc60684d614e8_r"/>
                                <pic:cNvPicPr>
                                  <a:picLocks noChangeAspect="1"/>
                                </pic:cNvPicPr>
                              </pic:nvPicPr>
                              <pic:blipFill>
                                <a:blip r:embed="rId24"/>
                                <a:srcRect t="16756" b="21045"/>
                                <a:stretch>
                                  <a:fillRect/>
                                </a:stretch>
                              </pic:blipFill>
                              <pic:spPr>
                                <a:xfrm>
                                  <a:off x="0" y="0"/>
                                  <a:ext cx="5120640" cy="2072005"/>
                                </a:xfrm>
                                <a:prstGeom prst="rect">
                                  <a:avLst/>
                                </a:prstGeom>
                              </pic:spPr>
                            </pic:pic>
                          </a:graphicData>
                        </a:graphic>
                      </wp:anchor>
                    </w:drawing>
                  </w:r>
                  <w:r>
                    <w:rPr>
                      <w:rFonts w:hint="default" w:ascii="Times New Roman" w:hAnsi="Times New Roman" w:eastAsia="宋体" w:cs="Times New Roman"/>
                      <w:b/>
                      <w:bCs/>
                      <w:color w:val="auto"/>
                      <w:kern w:val="2"/>
                      <w:sz w:val="22"/>
                      <w:szCs w:val="22"/>
                      <w:lang w:val="en-US" w:eastAsia="zh-CN" w:bidi="ar-SA"/>
                    </w:rPr>
                    <w:t>图4.2-1   三格式化粪池污水处理工艺流程图</w:t>
                  </w:r>
                </w:p>
              </w:tc>
            </w:tr>
          </w:tbl>
          <w:p w14:paraId="6A6C9E6F">
            <w:pPr>
              <w:widowControl w:val="0"/>
              <w:autoSpaceDE w:val="0"/>
              <w:autoSpaceDN w:val="0"/>
              <w:adjustRightInd w:val="0"/>
              <w:spacing w:line="480" w:lineRule="exact"/>
              <w:ind w:firstLine="44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snapToGrid w:val="0"/>
                <w:color w:val="auto"/>
                <w:sz w:val="22"/>
                <w:szCs w:val="22"/>
                <w:lang w:val="en-US" w:eastAsia="zh-CN" w:bidi="ar-SA"/>
              </w:rPr>
              <w:t>⑷接管可行性分析</w:t>
            </w:r>
          </w:p>
          <w:p w14:paraId="6BDF0194">
            <w:pPr>
              <w:widowControl w:val="0"/>
              <w:autoSpaceDE w:val="0"/>
              <w:autoSpaceDN w:val="0"/>
              <w:adjustRightInd w:val="0"/>
              <w:spacing w:line="480" w:lineRule="exact"/>
              <w:ind w:firstLine="44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snapToGrid w:val="0"/>
                <w:color w:val="auto"/>
                <w:sz w:val="22"/>
                <w:szCs w:val="22"/>
                <w:lang w:val="en-US" w:eastAsia="zh-CN" w:bidi="ar-SA"/>
              </w:rPr>
              <w:t>①污水处理厂概况</w:t>
            </w:r>
          </w:p>
          <w:p w14:paraId="42B897EC">
            <w:pPr>
              <w:pStyle w:val="17"/>
              <w:keepNext w:val="0"/>
              <w:keepLines w:val="0"/>
              <w:pageBreakBefore w:val="0"/>
              <w:widowControl/>
              <w:kinsoku/>
              <w:wordWrap/>
              <w:overflowPunct/>
              <w:topLinePunct w:val="0"/>
              <w:autoSpaceDE/>
              <w:autoSpaceDN/>
              <w:bidi w:val="0"/>
              <w:adjustRightInd/>
              <w:snapToGrid w:val="0"/>
              <w:spacing w:before="0" w:after="0" w:line="500" w:lineRule="exact"/>
              <w:ind w:right="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徐溜镇污水处理厂位于淮安市淮阴区徐溜镇205国道东侧，主要负责淮安市淮阴区徐溜镇居民及企事业单位的生活污水处理。徐溜镇污水处理厂现有处理能力为500m</w:t>
            </w:r>
            <w:r>
              <w:rPr>
                <w:rFonts w:hint="eastAsia" w:ascii="Times New Roman" w:hAnsi="Times New Roman" w:eastAsia="宋体" w:cs="Times New Roman"/>
                <w:color w:val="auto"/>
                <w:kern w:val="2"/>
                <w:sz w:val="22"/>
                <w:szCs w:val="22"/>
                <w:vertAlign w:val="superscript"/>
                <w:lang w:val="en-US" w:eastAsia="zh-CN" w:bidi="ar-SA"/>
              </w:rPr>
              <w:t>3</w:t>
            </w:r>
            <w:r>
              <w:rPr>
                <w:rFonts w:hint="eastAsia" w:ascii="Times New Roman" w:hAnsi="Times New Roman" w:eastAsia="宋体" w:cs="Times New Roman"/>
                <w:color w:val="auto"/>
                <w:kern w:val="2"/>
                <w:sz w:val="22"/>
                <w:szCs w:val="22"/>
                <w:lang w:val="en-US" w:eastAsia="zh-CN" w:bidi="ar-SA"/>
              </w:rPr>
              <w:t>/d，远期计划1000m</w:t>
            </w:r>
            <w:r>
              <w:rPr>
                <w:rFonts w:hint="eastAsia" w:ascii="Times New Roman" w:hAnsi="Times New Roman" w:eastAsia="宋体" w:cs="Times New Roman"/>
                <w:color w:val="auto"/>
                <w:kern w:val="2"/>
                <w:sz w:val="22"/>
                <w:szCs w:val="22"/>
                <w:vertAlign w:val="superscript"/>
                <w:lang w:val="en-US" w:eastAsia="zh-CN" w:bidi="ar-SA"/>
              </w:rPr>
              <w:t>3</w:t>
            </w:r>
            <w:r>
              <w:rPr>
                <w:rFonts w:hint="eastAsia" w:ascii="Times New Roman" w:hAnsi="Times New Roman" w:eastAsia="宋体" w:cs="Times New Roman"/>
                <w:color w:val="auto"/>
                <w:kern w:val="2"/>
                <w:sz w:val="22"/>
                <w:szCs w:val="22"/>
                <w:lang w:val="en-US" w:eastAsia="zh-CN" w:bidi="ar-SA"/>
              </w:rPr>
              <w:t>/d处理能力。徐溜镇污水处理厂采用A</w:t>
            </w:r>
            <w:r>
              <w:rPr>
                <w:rFonts w:hint="eastAsia" w:ascii="Times New Roman" w:hAnsi="Times New Roman" w:eastAsia="宋体" w:cs="Times New Roman"/>
                <w:color w:val="auto"/>
                <w:kern w:val="2"/>
                <w:sz w:val="22"/>
                <w:szCs w:val="22"/>
                <w:vertAlign w:val="superscript"/>
                <w:lang w:val="en-US" w:eastAsia="zh-CN" w:bidi="ar-SA"/>
              </w:rPr>
              <w:t>2</w:t>
            </w:r>
            <w:r>
              <w:rPr>
                <w:rFonts w:hint="eastAsia" w:ascii="Times New Roman" w:hAnsi="Times New Roman" w:eastAsia="宋体" w:cs="Times New Roman"/>
                <w:color w:val="auto"/>
                <w:kern w:val="2"/>
                <w:sz w:val="22"/>
                <w:szCs w:val="22"/>
                <w:lang w:val="en-US" w:eastAsia="zh-CN" w:bidi="ar-SA"/>
              </w:rPr>
              <w:t>/O+MBR一体化处理工艺。</w:t>
            </w:r>
          </w:p>
          <w:p w14:paraId="4FF52222">
            <w:pPr>
              <w:keepNext w:val="0"/>
              <w:keepLines w:val="0"/>
              <w:pageBreakBefore w:val="0"/>
              <w:widowControl w:val="0"/>
              <w:kinsoku/>
              <w:wordWrap/>
              <w:overflowPunct/>
              <w:topLinePunct w:val="0"/>
              <w:autoSpaceDE/>
              <w:autoSpaceDN/>
              <w:bidi w:val="0"/>
              <w:spacing w:line="500" w:lineRule="exact"/>
              <w:ind w:left="0" w:right="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A</w:t>
            </w:r>
            <w:r>
              <w:rPr>
                <w:rFonts w:hint="eastAsia" w:ascii="Times New Roman" w:hAnsi="Times New Roman" w:eastAsia="宋体" w:cs="Times New Roman"/>
                <w:color w:val="auto"/>
                <w:kern w:val="2"/>
                <w:sz w:val="22"/>
                <w:szCs w:val="22"/>
                <w:vertAlign w:val="superscript"/>
                <w:lang w:val="en-US" w:eastAsia="zh-CN" w:bidi="ar-SA"/>
              </w:rPr>
              <w:t>2</w:t>
            </w:r>
            <w:r>
              <w:rPr>
                <w:rFonts w:hint="eastAsia" w:ascii="Times New Roman" w:hAnsi="Times New Roman" w:eastAsia="宋体" w:cs="Times New Roman"/>
                <w:color w:val="auto"/>
                <w:kern w:val="2"/>
                <w:sz w:val="22"/>
                <w:szCs w:val="22"/>
                <w:lang w:val="en-US" w:eastAsia="zh-CN" w:bidi="ar-SA"/>
              </w:rPr>
              <w:t>/O+MBR一体化处理设备具有针对生活污水处理设备节能化、高效化、小型化、装备化的特点。该设备将好氧区、沉淀区、MBR膜区三部分有机集成于一体，可设备化，生产制作简单，安装方便，施工周期短，同时一体化结构形式不仅节省了工程占地，而且减少了运行过程中的水头损失，降低了能耗。通过改造原有生化池，分隔为厌氧区、缺氧区何好氧区，与一体化设备结合使用。采用活性污泥法与膜法相结合，膜组件取代传统生物处理技术末端的二沉池和深度处理工艺，在生物反应器中保持高活性污泥浓度，提高生物处理有机负荷，从而减少污水处理设施占地面积，并通过保持低污泥负荷减少剩余污泥量，污泥龄</w:t>
            </w:r>
            <w:r>
              <w:rPr>
                <w:rFonts w:hint="eastAsia" w:cs="Times New Roman"/>
                <w:color w:val="auto"/>
                <w:kern w:val="2"/>
                <w:sz w:val="22"/>
                <w:szCs w:val="22"/>
                <w:lang w:val="en-US" w:eastAsia="zh-CN" w:bidi="ar-SA"/>
              </w:rPr>
              <w:t>（</w:t>
            </w:r>
            <w:r>
              <w:rPr>
                <w:rFonts w:hint="eastAsia" w:ascii="Times New Roman" w:hAnsi="Times New Roman" w:eastAsia="宋体" w:cs="Times New Roman"/>
                <w:color w:val="auto"/>
                <w:kern w:val="2"/>
                <w:sz w:val="22"/>
                <w:szCs w:val="22"/>
                <w:lang w:val="en-US" w:eastAsia="zh-CN" w:bidi="ar-SA"/>
              </w:rPr>
              <w:t>SRT</w:t>
            </w:r>
            <w:r>
              <w:rPr>
                <w:rFonts w:hint="eastAsia" w:cs="Times New Roman"/>
                <w:color w:val="auto"/>
                <w:kern w:val="2"/>
                <w:sz w:val="22"/>
                <w:szCs w:val="22"/>
                <w:lang w:val="en-US" w:eastAsia="zh-CN" w:bidi="ar-SA"/>
              </w:rPr>
              <w:t>）</w:t>
            </w:r>
            <w:r>
              <w:rPr>
                <w:rFonts w:hint="eastAsia" w:ascii="Times New Roman" w:hAnsi="Times New Roman" w:eastAsia="宋体" w:cs="Times New Roman"/>
                <w:color w:val="auto"/>
                <w:kern w:val="2"/>
                <w:sz w:val="22"/>
                <w:szCs w:val="22"/>
                <w:lang w:val="en-US" w:eastAsia="zh-CN" w:bidi="ar-SA"/>
              </w:rPr>
              <w:t>可延</w:t>
            </w:r>
            <w:r>
              <w:rPr>
                <w:rFonts w:hint="default" w:ascii="Times New Roman" w:hAnsi="Times New Roman" w:eastAsia="宋体" w:cs="Times New Roman"/>
                <w:color w:val="auto"/>
                <w:kern w:val="2"/>
                <w:sz w:val="22"/>
                <w:szCs w:val="22"/>
                <w:lang w:val="en-US" w:eastAsia="zh-CN" w:bidi="ar-SA"/>
              </w:rPr>
              <w:t>长至30天以上。</w:t>
            </w:r>
          </w:p>
          <w:p w14:paraId="5CE1B52F">
            <w:pPr>
              <w:keepNext w:val="0"/>
              <w:keepLines w:val="0"/>
              <w:pageBreakBefore w:val="0"/>
              <w:widowControl w:val="0"/>
              <w:kinsoku/>
              <w:wordWrap/>
              <w:overflowPunct/>
              <w:topLinePunct w:val="0"/>
              <w:autoSpaceDE/>
              <w:autoSpaceDN/>
              <w:bidi w:val="0"/>
              <w:spacing w:line="500" w:lineRule="exact"/>
              <w:ind w:left="0" w:right="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在该工艺流程内，BOD、SS和以各种形式存在的氮和磷将一并被去除。该系统的活性污泥中，菌群主要由硝化菌、反硝化菌和聚磷菌组成，专性厌氧和一般专性好氧菌群均基本被工艺过程所淘汰。在好氧段，硝化细菌将入流中的氨氮及由有机氮氨化成的氨氮，通过生物硝化作用，转化成硝酸盐；在缺氧段，反硝化细菌将内回流带入的硝酸盐通过生物反硝化作用，转化成氮气逸入大气中，从而达到脱氮的目的；在厌氧段，聚磷菌释放磷，并吸收低级脂肪酸等易降解的有机物；而在好氧段，聚磷菌超量吸收磷，并通过剩余污泥的排放，将磷去除。</w:t>
            </w:r>
          </w:p>
          <w:p w14:paraId="3C1FDEF6">
            <w:pPr>
              <w:keepNext w:val="0"/>
              <w:keepLines w:val="0"/>
              <w:pageBreakBefore w:val="0"/>
              <w:widowControl w:val="0"/>
              <w:kinsoku/>
              <w:wordWrap/>
              <w:overflowPunct/>
              <w:topLinePunct w:val="0"/>
              <w:autoSpaceDE/>
              <w:autoSpaceDN/>
              <w:bidi w:val="0"/>
              <w:spacing w:line="500" w:lineRule="exact"/>
              <w:ind w:left="0" w:right="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该一体化设备沉淀区为竖流式沉淀池与斜管沉淀相结合的方式。由于一体化设备为箱式集装箱型，为便于运输，设备宽度最大仅能达3米宽，因此为保证沉淀效果，沉淀池过水负荷不应过高，这样势必需保证沉淀池的表面积不能过小，而沉淀池的宽度一定的情况下，则沉淀区域需要增加，过长的沉淀区域容易造成沉淀池比例不协调，从而使功能分区美观性降低，同时增大了设备占地面积。而斜管沉淀池过水负荷是一般平流式沉淀池及竖流式沉淀池的两倍，因此可大大减小设备占地面积，大大便于设备集成，节省了设备投资成本。因此采用竖流沉淀与斜管沉淀相结合的技术方式，既保证了沉淀效果，也减轻膜过滤负荷。</w:t>
            </w:r>
          </w:p>
          <w:p w14:paraId="601AE863">
            <w:pPr>
              <w:widowControl w:val="0"/>
              <w:autoSpaceDE w:val="0"/>
              <w:autoSpaceDN w:val="0"/>
              <w:adjustRightInd w:val="0"/>
              <w:spacing w:line="480" w:lineRule="exact"/>
              <w:ind w:firstLine="440" w:firstLineChars="200"/>
              <w:rPr>
                <w:rFonts w:hint="default" w:ascii="Times New Roman" w:hAnsi="Times New Roman" w:eastAsia="宋体" w:cs="Times New Roman"/>
                <w:color w:val="auto"/>
                <w:sz w:val="22"/>
                <w:szCs w:val="22"/>
                <w:lang w:val="en-US" w:eastAsia="zh-CN" w:bidi="ar-SA"/>
              </w:rPr>
            </w:pPr>
            <w:r>
              <w:rPr>
                <w:rFonts w:hint="eastAsia" w:ascii="Times New Roman" w:hAnsi="Times New Roman" w:eastAsia="宋体" w:cs="Times New Roman"/>
                <w:color w:val="auto"/>
                <w:kern w:val="2"/>
                <w:sz w:val="22"/>
                <w:szCs w:val="22"/>
                <w:lang w:val="en-US" w:eastAsia="zh-CN" w:bidi="ar-SA"/>
              </w:rPr>
              <w:t>MBR膜区设置在沉淀区后，生物降解后的水在滤液自吸泵的抽提作用下通过A</w:t>
            </w:r>
            <w:r>
              <w:rPr>
                <w:rFonts w:hint="eastAsia" w:ascii="Times New Roman" w:hAnsi="Times New Roman" w:eastAsia="宋体" w:cs="Times New Roman"/>
                <w:color w:val="auto"/>
                <w:kern w:val="2"/>
                <w:sz w:val="22"/>
                <w:szCs w:val="22"/>
                <w:vertAlign w:val="superscript"/>
                <w:lang w:val="en-US" w:eastAsia="zh-CN" w:bidi="ar-SA"/>
              </w:rPr>
              <w:t>2</w:t>
            </w:r>
            <w:r>
              <w:rPr>
                <w:rFonts w:hint="eastAsia" w:ascii="Times New Roman" w:hAnsi="Times New Roman" w:eastAsia="宋体" w:cs="Times New Roman"/>
                <w:color w:val="auto"/>
                <w:kern w:val="2"/>
                <w:sz w:val="22"/>
                <w:szCs w:val="22"/>
                <w:lang w:val="en-US" w:eastAsia="zh-CN" w:bidi="ar-SA"/>
              </w:rPr>
              <w:t>/O+MBR膜，滤过液经由A</w:t>
            </w:r>
            <w:r>
              <w:rPr>
                <w:rFonts w:hint="eastAsia" w:ascii="Times New Roman" w:hAnsi="Times New Roman" w:eastAsia="宋体" w:cs="Times New Roman"/>
                <w:color w:val="auto"/>
                <w:kern w:val="2"/>
                <w:sz w:val="22"/>
                <w:szCs w:val="22"/>
                <w:vertAlign w:val="superscript"/>
                <w:lang w:val="en-US" w:eastAsia="zh-CN" w:bidi="ar-SA"/>
              </w:rPr>
              <w:t>2</w:t>
            </w:r>
            <w:r>
              <w:rPr>
                <w:rFonts w:hint="eastAsia" w:ascii="Times New Roman" w:hAnsi="Times New Roman" w:eastAsia="宋体" w:cs="Times New Roman"/>
                <w:color w:val="auto"/>
                <w:kern w:val="2"/>
                <w:sz w:val="22"/>
                <w:szCs w:val="22"/>
                <w:lang w:val="en-US" w:eastAsia="zh-CN" w:bidi="ar-SA"/>
              </w:rPr>
              <w:t>/O+MBR集水管中汇集到消毒池，高浓度混合液部分回流至缺氧区、好氧区，以控制系统内活性污泥的浓度，剩余污泥排入污泥池，配置的运输车定期脱水后外运集中处置。</w:t>
            </w:r>
          </w:p>
          <w:p w14:paraId="2C94CADF">
            <w:pPr>
              <w:widowControl w:val="0"/>
              <w:autoSpaceDE w:val="0"/>
              <w:autoSpaceDN w:val="0"/>
              <w:adjustRightInd w:val="0"/>
              <w:spacing w:line="500" w:lineRule="exact"/>
              <w:ind w:firstLine="48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snapToGrid w:val="0"/>
                <w:color w:val="auto"/>
                <w:sz w:val="24"/>
                <w:szCs w:val="24"/>
                <w:lang w:val="en-US" w:eastAsia="zh-CN" w:bidi="ar-SA"/>
              </w:rPr>
              <w:t>②可行性分析</w:t>
            </w:r>
          </w:p>
          <w:p w14:paraId="5998FAA2">
            <w:pPr>
              <w:widowControl w:val="0"/>
              <w:autoSpaceDE w:val="0"/>
              <w:autoSpaceDN w:val="0"/>
              <w:adjustRightInd w:val="0"/>
              <w:spacing w:line="480" w:lineRule="exact"/>
              <w:ind w:firstLine="44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a、废水水量可行性分析</w:t>
            </w:r>
          </w:p>
          <w:p w14:paraId="06C3A176">
            <w:pPr>
              <w:widowControl w:val="0"/>
              <w:autoSpaceDE w:val="0"/>
              <w:autoSpaceDN w:val="0"/>
              <w:adjustRightInd w:val="0"/>
              <w:spacing w:line="480" w:lineRule="exact"/>
              <w:ind w:firstLine="440" w:firstLineChars="200"/>
              <w:rPr>
                <w:rFonts w:hint="eastAsia"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本项目投产营运后，预计生活污水排放量为</w:t>
            </w:r>
            <w:r>
              <w:rPr>
                <w:rFonts w:hint="eastAsia" w:ascii="Times New Roman" w:hAnsi="Times New Roman" w:eastAsia="宋体" w:cs="Times New Roman"/>
                <w:color w:val="auto"/>
                <w:sz w:val="22"/>
                <w:szCs w:val="22"/>
                <w:lang w:val="en-US" w:eastAsia="zh-CN" w:bidi="ar-SA"/>
              </w:rPr>
              <w:t>4.5</w:t>
            </w:r>
            <w:r>
              <w:rPr>
                <w:rFonts w:hint="default" w:ascii="Times New Roman" w:hAnsi="Times New Roman" w:eastAsia="宋体" w:cs="Times New Roman"/>
                <w:color w:val="auto"/>
                <w:sz w:val="22"/>
                <w:szCs w:val="22"/>
                <w:lang w:val="en-US" w:eastAsia="zh-CN" w:bidi="ar-SA"/>
              </w:rPr>
              <w:t>m</w:t>
            </w:r>
            <w:r>
              <w:rPr>
                <w:rFonts w:hint="default" w:ascii="Times New Roman" w:hAnsi="Times New Roman" w:eastAsia="宋体" w:cs="Times New Roman"/>
                <w:color w:val="auto"/>
                <w:sz w:val="22"/>
                <w:szCs w:val="22"/>
                <w:vertAlign w:val="superscript"/>
                <w:lang w:val="en-US" w:eastAsia="zh-CN" w:bidi="ar-SA"/>
              </w:rPr>
              <w:t>3</w:t>
            </w:r>
            <w:r>
              <w:rPr>
                <w:rFonts w:hint="default" w:ascii="Times New Roman" w:hAnsi="Times New Roman" w:eastAsia="宋体" w:cs="Times New Roman"/>
                <w:color w:val="auto"/>
                <w:sz w:val="22"/>
                <w:szCs w:val="22"/>
                <w:lang w:val="en-US" w:eastAsia="zh-CN" w:bidi="ar-SA"/>
              </w:rPr>
              <w:t>/d，</w:t>
            </w:r>
            <w:r>
              <w:rPr>
                <w:rFonts w:hint="eastAsia" w:ascii="Times New Roman" w:hAnsi="Times New Roman" w:eastAsia="宋体" w:cs="Times New Roman"/>
                <w:color w:val="auto"/>
                <w:sz w:val="22"/>
                <w:szCs w:val="22"/>
                <w:lang w:val="en-US" w:eastAsia="zh-CN" w:bidi="ar-SA"/>
              </w:rPr>
              <w:t>目前徐溜镇污水处理厂处理能力为500m</w:t>
            </w:r>
            <w:r>
              <w:rPr>
                <w:rFonts w:hint="eastAsia" w:ascii="Times New Roman" w:hAnsi="Times New Roman" w:eastAsia="宋体" w:cs="Times New Roman"/>
                <w:color w:val="auto"/>
                <w:sz w:val="22"/>
                <w:szCs w:val="22"/>
                <w:vertAlign w:val="superscript"/>
                <w:lang w:val="en-US" w:eastAsia="zh-CN" w:bidi="ar-SA"/>
              </w:rPr>
              <w:t>3</w:t>
            </w:r>
            <w:r>
              <w:rPr>
                <w:rFonts w:hint="eastAsia" w:ascii="Times New Roman" w:hAnsi="Times New Roman" w:eastAsia="宋体" w:cs="Times New Roman"/>
                <w:color w:val="auto"/>
                <w:sz w:val="22"/>
                <w:szCs w:val="22"/>
                <w:lang w:val="en-US" w:eastAsia="zh-CN" w:bidi="ar-SA"/>
              </w:rPr>
              <w:t>/d，远期计划1000m</w:t>
            </w:r>
            <w:r>
              <w:rPr>
                <w:rFonts w:hint="eastAsia" w:ascii="Times New Roman" w:hAnsi="Times New Roman" w:eastAsia="宋体" w:cs="Times New Roman"/>
                <w:color w:val="auto"/>
                <w:sz w:val="22"/>
                <w:szCs w:val="22"/>
                <w:vertAlign w:val="superscript"/>
                <w:lang w:val="en-US" w:eastAsia="zh-CN" w:bidi="ar-SA"/>
              </w:rPr>
              <w:t>3</w:t>
            </w:r>
            <w:r>
              <w:rPr>
                <w:rFonts w:hint="eastAsia" w:ascii="Times New Roman" w:hAnsi="Times New Roman" w:eastAsia="宋体" w:cs="Times New Roman"/>
                <w:color w:val="auto"/>
                <w:sz w:val="22"/>
                <w:szCs w:val="22"/>
                <w:lang w:val="en-US" w:eastAsia="zh-CN" w:bidi="ar-SA"/>
              </w:rPr>
              <w:t>/d处理能力，有足够能力接纳建设项目污水。</w:t>
            </w:r>
          </w:p>
          <w:p w14:paraId="6A33C0FD">
            <w:pPr>
              <w:widowControl w:val="0"/>
              <w:autoSpaceDE w:val="0"/>
              <w:autoSpaceDN w:val="0"/>
              <w:adjustRightInd w:val="0"/>
              <w:spacing w:line="480" w:lineRule="exact"/>
              <w:ind w:firstLine="44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b、废水接入污水处理厂时间和管网的可行性分析</w:t>
            </w:r>
          </w:p>
          <w:p w14:paraId="038E817B">
            <w:pPr>
              <w:widowControl w:val="0"/>
              <w:autoSpaceDE w:val="0"/>
              <w:autoSpaceDN w:val="0"/>
              <w:adjustRightInd w:val="0"/>
              <w:spacing w:line="480" w:lineRule="exact"/>
              <w:ind w:firstLine="440"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目前项目所在地污水收集管网已建成，废水经污水管网排入徐溜镇污水处理厂。</w:t>
            </w:r>
          </w:p>
          <w:p w14:paraId="11A92B7B">
            <w:pPr>
              <w:widowControl w:val="0"/>
              <w:autoSpaceDE w:val="0"/>
              <w:autoSpaceDN w:val="0"/>
              <w:adjustRightInd w:val="0"/>
              <w:spacing w:line="480" w:lineRule="exact"/>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综上所述，项目生活污水经厂内化粪池处理后，满足徐溜镇污水处理厂接管标准；所依托徐溜镇污水处理厂有足够的处理能力收纳建设项目废水，采用的以A</w:t>
            </w:r>
            <w:r>
              <w:rPr>
                <w:rFonts w:hint="default" w:ascii="Times New Roman" w:hAnsi="Times New Roman" w:eastAsia="宋体" w:cs="Times New Roman"/>
                <w:color w:val="auto"/>
                <w:sz w:val="22"/>
                <w:szCs w:val="22"/>
                <w:vertAlign w:val="superscript"/>
                <w:lang w:val="en-US" w:eastAsia="zh-CN" w:bidi="ar-SA"/>
              </w:rPr>
              <w:t>2</w:t>
            </w:r>
            <w:r>
              <w:rPr>
                <w:rFonts w:hint="default" w:ascii="Times New Roman" w:hAnsi="Times New Roman" w:eastAsia="宋体" w:cs="Times New Roman"/>
                <w:color w:val="auto"/>
                <w:sz w:val="22"/>
                <w:szCs w:val="22"/>
                <w:lang w:val="en-US" w:eastAsia="zh-CN" w:bidi="ar-SA"/>
              </w:rPr>
              <w:t>/O+MBR一体化处理工艺为主体的处理工艺能够处理建设项目废水。因此项目生活废水依托徐溜镇污水处理厂间接排放，具有环境可行性。</w:t>
            </w:r>
          </w:p>
          <w:p w14:paraId="7C5349EA">
            <w:pPr>
              <w:widowControl w:val="0"/>
              <w:autoSpaceDE w:val="0"/>
              <w:autoSpaceDN w:val="0"/>
              <w:adjustRightInd w:val="0"/>
              <w:spacing w:line="480" w:lineRule="exact"/>
              <w:ind w:firstLine="482"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snapToGrid w:val="0"/>
                <w:color w:val="auto"/>
                <w:sz w:val="24"/>
                <w:szCs w:val="24"/>
                <w:lang w:val="en-US" w:eastAsia="zh-CN" w:bidi="ar-SA"/>
              </w:rPr>
              <w:t>⑸废水污染源监测计划</w:t>
            </w:r>
          </w:p>
          <w:p w14:paraId="4573F413">
            <w:pPr>
              <w:widowControl w:val="0"/>
              <w:autoSpaceDE w:val="0"/>
              <w:autoSpaceDN w:val="0"/>
              <w:adjustRightInd w:val="0"/>
              <w:spacing w:line="480" w:lineRule="exact"/>
              <w:ind w:firstLine="440" w:firstLineChars="200"/>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参照《排污单位自行监测技术指南 总则》（HJ819-2017）、《排污单位自行监测技术指南 橡胶和塑料制品》（HJ1207-2021）中的自行监测要求，本项目运营期废水监测计划见表4.2-2。</w:t>
            </w:r>
          </w:p>
          <w:p w14:paraId="0877A801">
            <w:pPr>
              <w:widowControl w:val="0"/>
              <w:autoSpaceDE w:val="0"/>
              <w:autoSpaceDN w:val="0"/>
              <w:adjustRightInd w:val="0"/>
              <w:spacing w:line="500" w:lineRule="exact"/>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表4.2-2  运营期废水监测方案表</w:t>
            </w:r>
          </w:p>
          <w:tbl>
            <w:tblPr>
              <w:tblStyle w:val="44"/>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2614"/>
              <w:gridCol w:w="4194"/>
              <w:gridCol w:w="2349"/>
            </w:tblGrid>
            <w:tr w14:paraId="511BF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427" w:type="pct"/>
                  <w:tcBorders>
                    <w:top w:val="single" w:color="auto" w:sz="12" w:space="0"/>
                  </w:tcBorders>
                  <w:vAlign w:val="center"/>
                </w:tcPr>
                <w:p w14:paraId="482095D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监测点位</w:t>
                  </w:r>
                </w:p>
              </w:tc>
              <w:tc>
                <w:tcPr>
                  <w:tcW w:w="2289" w:type="pct"/>
                  <w:tcBorders>
                    <w:top w:val="single" w:color="auto" w:sz="12" w:space="0"/>
                  </w:tcBorders>
                  <w:vAlign w:val="center"/>
                </w:tcPr>
                <w:p w14:paraId="4FE6E7C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监测因子</w:t>
                  </w:r>
                </w:p>
              </w:tc>
              <w:tc>
                <w:tcPr>
                  <w:tcW w:w="1282" w:type="pct"/>
                  <w:tcBorders>
                    <w:top w:val="single" w:color="auto" w:sz="12" w:space="0"/>
                    <w:right w:val="nil"/>
                  </w:tcBorders>
                  <w:vAlign w:val="center"/>
                </w:tcPr>
                <w:p w14:paraId="7B61CB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监测频次</w:t>
                  </w:r>
                </w:p>
              </w:tc>
            </w:tr>
            <w:tr w14:paraId="2E166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trPr>
              <w:tc>
                <w:tcPr>
                  <w:tcW w:w="1427" w:type="pct"/>
                  <w:tcBorders>
                    <w:left w:val="nil"/>
                    <w:bottom w:val="single" w:color="auto" w:sz="12" w:space="0"/>
                  </w:tcBorders>
                  <w:vAlign w:val="center"/>
                </w:tcPr>
                <w:p w14:paraId="1D5ABE8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废水总排口DW001</w:t>
                  </w:r>
                </w:p>
              </w:tc>
              <w:tc>
                <w:tcPr>
                  <w:tcW w:w="2289" w:type="pct"/>
                  <w:tcBorders>
                    <w:bottom w:val="single" w:color="auto" w:sz="12" w:space="0"/>
                  </w:tcBorders>
                  <w:vAlign w:val="center"/>
                </w:tcPr>
                <w:p w14:paraId="5BE20BC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pH值、CODcr、SS、NH</w:t>
                  </w:r>
                  <w:r>
                    <w:rPr>
                      <w:rFonts w:hint="default" w:ascii="Times New Roman" w:hAnsi="Times New Roman" w:eastAsia="宋体" w:cs="Times New Roman"/>
                      <w:color w:val="auto"/>
                      <w:sz w:val="21"/>
                      <w:szCs w:val="21"/>
                      <w:vertAlign w:val="subscript"/>
                      <w:lang w:val="en-US" w:eastAsia="zh-CN" w:bidi="ar-SA"/>
                    </w:rPr>
                    <w:t>3</w:t>
                  </w:r>
                  <w:r>
                    <w:rPr>
                      <w:rFonts w:hint="default" w:ascii="Times New Roman" w:hAnsi="Times New Roman" w:eastAsia="宋体" w:cs="Times New Roman"/>
                      <w:color w:val="auto"/>
                      <w:sz w:val="21"/>
                      <w:szCs w:val="21"/>
                      <w:lang w:val="en-US" w:eastAsia="zh-CN" w:bidi="ar-SA"/>
                    </w:rPr>
                    <w:t>-N、TP、TN</w:t>
                  </w:r>
                </w:p>
              </w:tc>
              <w:tc>
                <w:tcPr>
                  <w:tcW w:w="1282" w:type="pct"/>
                  <w:tcBorders>
                    <w:bottom w:val="single" w:color="auto" w:sz="12" w:space="0"/>
                    <w:right w:val="nil"/>
                  </w:tcBorders>
                  <w:vAlign w:val="center"/>
                </w:tcPr>
                <w:p w14:paraId="3E43058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1次/年</w:t>
                  </w:r>
                </w:p>
              </w:tc>
            </w:tr>
          </w:tbl>
          <w:p w14:paraId="5D7D0166">
            <w:pPr>
              <w:keepNext w:val="0"/>
              <w:keepLines w:val="0"/>
              <w:pageBreakBefore w:val="0"/>
              <w:widowControl w:val="0"/>
              <w:kinsoku/>
              <w:wordWrap/>
              <w:overflowPunct/>
              <w:topLinePunct w:val="0"/>
              <w:bidi w:val="0"/>
              <w:spacing w:line="500" w:lineRule="exact"/>
              <w:ind w:firstLine="442" w:firstLineChars="200"/>
              <w:jc w:val="both"/>
              <w:textAlignment w:val="auto"/>
              <w:rPr>
                <w:rFonts w:hint="default" w:ascii="Times New Roman" w:hAnsi="Times New Roman" w:eastAsia="宋体" w:cs="Times New Roman"/>
                <w:b/>
                <w:color w:val="auto"/>
                <w:sz w:val="22"/>
                <w:szCs w:val="22"/>
              </w:rPr>
            </w:pPr>
            <w:r>
              <w:rPr>
                <w:rFonts w:hint="default" w:ascii="Times New Roman" w:hAnsi="Times New Roman" w:eastAsia="宋体" w:cs="Times New Roman"/>
                <w:b/>
                <w:color w:val="auto"/>
                <w:sz w:val="22"/>
                <w:szCs w:val="22"/>
              </w:rPr>
              <w:t>4.3 噪声</w:t>
            </w:r>
          </w:p>
          <w:p w14:paraId="2685BC13">
            <w:pPr>
              <w:keepNext w:val="0"/>
              <w:keepLines w:val="0"/>
              <w:pageBreakBefore w:val="0"/>
              <w:widowControl w:val="0"/>
              <w:kinsoku/>
              <w:wordWrap/>
              <w:overflowPunct/>
              <w:topLinePunct w:val="0"/>
              <w:autoSpaceDE w:val="0"/>
              <w:autoSpaceDN w:val="0"/>
              <w:bidi w:val="0"/>
              <w:spacing w:line="500" w:lineRule="exact"/>
              <w:ind w:firstLine="442" w:firstLineChars="200"/>
              <w:jc w:val="left"/>
              <w:textAlignment w:val="auto"/>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4.3.1 噪声源强参数</w:t>
            </w:r>
          </w:p>
          <w:p w14:paraId="7F070F0B">
            <w:pPr>
              <w:keepNext w:val="0"/>
              <w:keepLines w:val="0"/>
              <w:pageBreakBefore w:val="0"/>
              <w:widowControl w:val="0"/>
              <w:kinsoku/>
              <w:wordWrap/>
              <w:overflowPunct/>
              <w:topLinePunct w:val="0"/>
              <w:autoSpaceDE w:val="0"/>
              <w:autoSpaceDN w:val="0"/>
              <w:bidi w:val="0"/>
              <w:adjustRightInd w:val="0"/>
              <w:snapToGrid/>
              <w:spacing w:line="500" w:lineRule="exact"/>
              <w:ind w:firstLine="440" w:firstLineChars="200"/>
              <w:jc w:val="left"/>
              <w:textAlignment w:val="auto"/>
              <w:rPr>
                <w:rFonts w:hint="default" w:ascii="Times New Roman" w:hAnsi="Times New Roman" w:eastAsia="宋体" w:cs="Times New Roman"/>
                <w:b w:val="0"/>
                <w:bCs w:val="0"/>
                <w:color w:val="auto"/>
                <w:sz w:val="22"/>
                <w:szCs w:val="22"/>
                <w:lang w:val="en-US" w:eastAsia="zh-CN" w:bidi="ar-SA"/>
              </w:rPr>
            </w:pPr>
            <w:r>
              <w:rPr>
                <w:rFonts w:hint="default" w:ascii="Times New Roman" w:hAnsi="Times New Roman" w:eastAsia="宋体" w:cs="Times New Roman"/>
                <w:color w:val="auto"/>
                <w:sz w:val="22"/>
                <w:szCs w:val="22"/>
              </w:rPr>
              <w:t>本项目噪声主要来源生产设备，具体源强见表4.3.1-1、表4.3.1-2。</w:t>
            </w:r>
          </w:p>
          <w:p w14:paraId="66B6AD20">
            <w:pPr>
              <w:keepNext w:val="0"/>
              <w:keepLines w:val="0"/>
              <w:pageBreakBefore w:val="0"/>
              <w:widowControl w:val="0"/>
              <w:kinsoku/>
              <w:wordWrap/>
              <w:overflowPunct/>
              <w:topLinePunct w:val="0"/>
              <w:autoSpaceDE/>
              <w:autoSpaceDN/>
              <w:bidi w:val="0"/>
              <w:adjustRightInd w:val="0"/>
              <w:snapToGrid w:val="0"/>
              <w:spacing w:line="500" w:lineRule="exact"/>
              <w:ind w:firstLine="442" w:firstLineChars="200"/>
              <w:textAlignment w:val="auto"/>
              <w:rPr>
                <w:rFonts w:hint="default" w:ascii="Times New Roman" w:hAnsi="Times New Roman" w:cs="Times New Roman" w:eastAsiaTheme="minorEastAsia"/>
                <w:bCs/>
                <w:color w:val="auto"/>
                <w:spacing w:val="-10"/>
                <w:sz w:val="22"/>
                <w:szCs w:val="22"/>
                <w:lang w:val="en-US" w:eastAsia="zh-CN"/>
              </w:rPr>
            </w:pPr>
            <w:r>
              <w:rPr>
                <w:rFonts w:hint="default" w:ascii="Times New Roman" w:hAnsi="Times New Roman" w:cs="Times New Roman" w:eastAsiaTheme="minorEastAsia"/>
                <w:b/>
                <w:bCs/>
                <w:color w:val="auto"/>
                <w:w w:val="100"/>
                <w:sz w:val="22"/>
                <w:szCs w:val="22"/>
                <w:lang w:val="en-US" w:eastAsia="zh-CN"/>
              </w:rPr>
              <w:t xml:space="preserve">         </w:t>
            </w:r>
          </w:p>
        </w:tc>
      </w:tr>
    </w:tbl>
    <w:p w14:paraId="5C50E51C">
      <w:pPr>
        <w:pStyle w:val="42"/>
        <w:rPr>
          <w:rFonts w:hint="eastAsia"/>
          <w:color w:val="auto"/>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670"/>
        <w:gridCol w:w="13958"/>
      </w:tblGrid>
      <w:tr w14:paraId="618994D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802" w:hRule="atLeast"/>
          <w:jc w:val="center"/>
        </w:trPr>
        <w:tc>
          <w:tcPr>
            <w:tcW w:w="229" w:type="pct"/>
            <w:tcBorders>
              <w:tl2br w:val="nil"/>
              <w:tr2bl w:val="nil"/>
            </w:tcBorders>
            <w:vAlign w:val="center"/>
          </w:tcPr>
          <w:p w14:paraId="476A4D41">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运营期环境影响和保护措施</w:t>
            </w:r>
          </w:p>
        </w:tc>
        <w:tc>
          <w:tcPr>
            <w:tcW w:w="4770" w:type="pct"/>
            <w:tcBorders>
              <w:tl2br w:val="nil"/>
              <w:tr2bl w:val="nil"/>
            </w:tcBorders>
          </w:tcPr>
          <w:p w14:paraId="0BD508C9">
            <w:pPr>
              <w:keepNext w:val="0"/>
              <w:keepLines w:val="0"/>
              <w:pageBreakBefore w:val="0"/>
              <w:widowControl w:val="0"/>
              <w:kinsoku/>
              <w:wordWrap/>
              <w:overflowPunct/>
              <w:topLinePunct w:val="0"/>
              <w:autoSpaceDE w:val="0"/>
              <w:autoSpaceDN w:val="0"/>
              <w:bidi w:val="0"/>
              <w:adjustRightInd w:val="0"/>
              <w:snapToGrid/>
              <w:spacing w:line="500" w:lineRule="exact"/>
              <w:jc w:val="center"/>
              <w:textAlignment w:val="auto"/>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表4.3-1 工业企业噪声源强调查清单（室内声源）</w:t>
            </w:r>
          </w:p>
          <w:tbl>
            <w:tblPr>
              <w:tblStyle w:val="43"/>
              <w:tblW w:w="492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831"/>
              <w:gridCol w:w="1648"/>
              <w:gridCol w:w="1139"/>
              <w:gridCol w:w="660"/>
              <w:gridCol w:w="813"/>
              <w:gridCol w:w="747"/>
              <w:gridCol w:w="639"/>
              <w:gridCol w:w="872"/>
              <w:gridCol w:w="1264"/>
              <w:gridCol w:w="1188"/>
              <w:gridCol w:w="1188"/>
              <w:gridCol w:w="1351"/>
              <w:gridCol w:w="1367"/>
            </w:tblGrid>
            <w:tr w14:paraId="5DEFDA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blHeader/>
                <w:jc w:val="center"/>
              </w:trPr>
              <w:tc>
                <w:tcPr>
                  <w:tcW w:w="303" w:type="pct"/>
                  <w:vMerge w:val="restart"/>
                  <w:tcBorders>
                    <w:tl2br w:val="nil"/>
                    <w:tr2bl w:val="nil"/>
                  </w:tcBorders>
                  <w:noWrap/>
                  <w:vAlign w:val="center"/>
                </w:tcPr>
                <w:p w14:paraId="50074A6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序号</w:t>
                  </w:r>
                </w:p>
              </w:tc>
              <w:tc>
                <w:tcPr>
                  <w:tcW w:w="601" w:type="pct"/>
                  <w:vMerge w:val="restart"/>
                  <w:tcBorders>
                    <w:tl2br w:val="nil"/>
                    <w:tr2bl w:val="nil"/>
                  </w:tcBorders>
                  <w:noWrap/>
                  <w:vAlign w:val="center"/>
                </w:tcPr>
                <w:p w14:paraId="7CA4681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声源名称</w:t>
                  </w:r>
                </w:p>
              </w:tc>
              <w:tc>
                <w:tcPr>
                  <w:tcW w:w="415" w:type="pct"/>
                  <w:vMerge w:val="restart"/>
                  <w:tcBorders>
                    <w:tl2br w:val="nil"/>
                    <w:tr2bl w:val="nil"/>
                  </w:tcBorders>
                  <w:noWrap/>
                  <w:vAlign w:val="center"/>
                </w:tcPr>
                <w:p w14:paraId="57ACA7C5">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
                      <w:color w:val="auto"/>
                      <w:kern w:val="0"/>
                      <w:sz w:val="21"/>
                      <w:szCs w:val="21"/>
                      <w:lang w:eastAsia="zh-CN"/>
                    </w:rPr>
                  </w:pPr>
                  <w:r>
                    <w:rPr>
                      <w:rFonts w:hint="default" w:ascii="Times New Roman" w:hAnsi="Times New Roman" w:eastAsia="宋体" w:cs="Times New Roman"/>
                      <w:b/>
                      <w:color w:val="auto"/>
                      <w:kern w:val="0"/>
                      <w:sz w:val="21"/>
                      <w:szCs w:val="21"/>
                    </w:rPr>
                    <w:t>声源源强：声功率级/dB</w:t>
                  </w:r>
                  <w:r>
                    <w:rPr>
                      <w:rFonts w:hint="eastAsia" w:cs="Times New Roman"/>
                      <w:b/>
                      <w:color w:val="auto"/>
                      <w:kern w:val="0"/>
                      <w:sz w:val="21"/>
                      <w:szCs w:val="21"/>
                      <w:lang w:eastAsia="zh-CN"/>
                    </w:rPr>
                    <w:t>（</w:t>
                  </w:r>
                  <w:r>
                    <w:rPr>
                      <w:rFonts w:hint="default" w:ascii="Times New Roman" w:hAnsi="Times New Roman" w:eastAsia="宋体" w:cs="Times New Roman"/>
                      <w:b/>
                      <w:color w:val="auto"/>
                      <w:kern w:val="0"/>
                      <w:sz w:val="21"/>
                      <w:szCs w:val="21"/>
                    </w:rPr>
                    <w:t>A</w:t>
                  </w:r>
                  <w:r>
                    <w:rPr>
                      <w:rFonts w:hint="eastAsia" w:cs="Times New Roman"/>
                      <w:b/>
                      <w:color w:val="auto"/>
                      <w:kern w:val="0"/>
                      <w:sz w:val="21"/>
                      <w:szCs w:val="21"/>
                      <w:lang w:eastAsia="zh-CN"/>
                    </w:rPr>
                    <w:t>）</w:t>
                  </w:r>
                </w:p>
              </w:tc>
              <w:tc>
                <w:tcPr>
                  <w:tcW w:w="240" w:type="pct"/>
                  <w:vMerge w:val="restart"/>
                  <w:tcBorders>
                    <w:tl2br w:val="nil"/>
                    <w:tr2bl w:val="nil"/>
                  </w:tcBorders>
                  <w:noWrap/>
                  <w:vAlign w:val="center"/>
                </w:tcPr>
                <w:p w14:paraId="7585B54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声源控制措施</w:t>
                  </w:r>
                </w:p>
              </w:tc>
              <w:tc>
                <w:tcPr>
                  <w:tcW w:w="802" w:type="pct"/>
                  <w:gridSpan w:val="3"/>
                  <w:tcBorders>
                    <w:tl2br w:val="nil"/>
                    <w:tr2bl w:val="nil"/>
                  </w:tcBorders>
                  <w:noWrap/>
                  <w:vAlign w:val="center"/>
                </w:tcPr>
                <w:p w14:paraId="1096C7C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空间相对位置/m</w:t>
                  </w:r>
                </w:p>
              </w:tc>
              <w:tc>
                <w:tcPr>
                  <w:tcW w:w="318" w:type="pct"/>
                  <w:vMerge w:val="restart"/>
                  <w:tcBorders>
                    <w:tl2br w:val="nil"/>
                    <w:tr2bl w:val="nil"/>
                  </w:tcBorders>
                  <w:noWrap/>
                  <w:vAlign w:val="center"/>
                </w:tcPr>
                <w:p w14:paraId="1E9F6D84">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距离室内边界距离/m</w:t>
                  </w:r>
                </w:p>
              </w:tc>
              <w:tc>
                <w:tcPr>
                  <w:tcW w:w="461" w:type="pct"/>
                  <w:vMerge w:val="restart"/>
                  <w:tcBorders>
                    <w:tl2br w:val="nil"/>
                    <w:tr2bl w:val="nil"/>
                  </w:tcBorders>
                  <w:noWrap/>
                  <w:vAlign w:val="center"/>
                </w:tcPr>
                <w:p w14:paraId="472CA4DA">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室内边界声级/dB（A）</w:t>
                  </w:r>
                </w:p>
              </w:tc>
              <w:tc>
                <w:tcPr>
                  <w:tcW w:w="433" w:type="pct"/>
                  <w:vMerge w:val="restart"/>
                  <w:tcBorders>
                    <w:tl2br w:val="nil"/>
                    <w:tr2bl w:val="nil"/>
                  </w:tcBorders>
                  <w:noWrap/>
                  <w:vAlign w:val="center"/>
                </w:tcPr>
                <w:p w14:paraId="675B9D77">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运行时段</w:t>
                  </w:r>
                </w:p>
              </w:tc>
              <w:tc>
                <w:tcPr>
                  <w:tcW w:w="433" w:type="pct"/>
                  <w:vMerge w:val="restart"/>
                  <w:tcBorders>
                    <w:tl2br w:val="nil"/>
                    <w:tr2bl w:val="nil"/>
                  </w:tcBorders>
                  <w:noWrap/>
                  <w:vAlign w:val="center"/>
                </w:tcPr>
                <w:p w14:paraId="1D2A7C48">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建筑物插入损失/dB（A）</w:t>
                  </w:r>
                </w:p>
              </w:tc>
              <w:tc>
                <w:tcPr>
                  <w:tcW w:w="991" w:type="pct"/>
                  <w:gridSpan w:val="2"/>
                  <w:tcBorders>
                    <w:tl2br w:val="nil"/>
                    <w:tr2bl w:val="nil"/>
                  </w:tcBorders>
                  <w:noWrap/>
                  <w:vAlign w:val="center"/>
                </w:tcPr>
                <w:p w14:paraId="29B9D59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sz w:val="21"/>
                      <w:szCs w:val="21"/>
                    </w:rPr>
                    <w:t>建筑物外噪声</w:t>
                  </w:r>
                </w:p>
              </w:tc>
            </w:tr>
            <w:tr w14:paraId="4E4D1ED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blHeader/>
                <w:jc w:val="center"/>
              </w:trPr>
              <w:tc>
                <w:tcPr>
                  <w:tcW w:w="303" w:type="pct"/>
                  <w:vMerge w:val="continue"/>
                  <w:tcBorders>
                    <w:tl2br w:val="nil"/>
                    <w:tr2bl w:val="nil"/>
                  </w:tcBorders>
                  <w:noWrap/>
                  <w:vAlign w:val="center"/>
                </w:tcPr>
                <w:p w14:paraId="5C48D8D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p>
              </w:tc>
              <w:tc>
                <w:tcPr>
                  <w:tcW w:w="601" w:type="pct"/>
                  <w:vMerge w:val="continue"/>
                  <w:tcBorders>
                    <w:tl2br w:val="nil"/>
                    <w:tr2bl w:val="nil"/>
                  </w:tcBorders>
                  <w:noWrap/>
                  <w:vAlign w:val="center"/>
                </w:tcPr>
                <w:p w14:paraId="406FDD7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p>
              </w:tc>
              <w:tc>
                <w:tcPr>
                  <w:tcW w:w="415" w:type="pct"/>
                  <w:vMerge w:val="continue"/>
                  <w:tcBorders>
                    <w:tl2br w:val="nil"/>
                    <w:tr2bl w:val="nil"/>
                  </w:tcBorders>
                  <w:noWrap/>
                  <w:vAlign w:val="center"/>
                </w:tcPr>
                <w:p w14:paraId="04CCC65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p>
              </w:tc>
              <w:tc>
                <w:tcPr>
                  <w:tcW w:w="240" w:type="pct"/>
                  <w:vMerge w:val="continue"/>
                  <w:tcBorders>
                    <w:tl2br w:val="nil"/>
                    <w:tr2bl w:val="nil"/>
                  </w:tcBorders>
                  <w:noWrap/>
                  <w:vAlign w:val="center"/>
                </w:tcPr>
                <w:p w14:paraId="5E495F2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p>
              </w:tc>
              <w:tc>
                <w:tcPr>
                  <w:tcW w:w="296" w:type="pct"/>
                  <w:tcBorders>
                    <w:tl2br w:val="nil"/>
                    <w:tr2bl w:val="nil"/>
                  </w:tcBorders>
                  <w:noWrap/>
                  <w:vAlign w:val="center"/>
                </w:tcPr>
                <w:p w14:paraId="4875C6E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X</w:t>
                  </w:r>
                </w:p>
              </w:tc>
              <w:tc>
                <w:tcPr>
                  <w:tcW w:w="272" w:type="pct"/>
                  <w:tcBorders>
                    <w:tl2br w:val="nil"/>
                    <w:tr2bl w:val="nil"/>
                  </w:tcBorders>
                  <w:noWrap/>
                  <w:vAlign w:val="center"/>
                </w:tcPr>
                <w:p w14:paraId="2369E49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Y</w:t>
                  </w:r>
                </w:p>
              </w:tc>
              <w:tc>
                <w:tcPr>
                  <w:tcW w:w="233" w:type="pct"/>
                  <w:tcBorders>
                    <w:tl2br w:val="nil"/>
                    <w:tr2bl w:val="nil"/>
                  </w:tcBorders>
                  <w:noWrap/>
                  <w:vAlign w:val="center"/>
                </w:tcPr>
                <w:p w14:paraId="6E9BF6D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Z</w:t>
                  </w:r>
                </w:p>
              </w:tc>
              <w:tc>
                <w:tcPr>
                  <w:tcW w:w="318" w:type="pct"/>
                  <w:vMerge w:val="continue"/>
                  <w:tcBorders>
                    <w:tl2br w:val="nil"/>
                    <w:tr2bl w:val="nil"/>
                  </w:tcBorders>
                  <w:noWrap/>
                  <w:vAlign w:val="center"/>
                </w:tcPr>
                <w:p w14:paraId="2E74FE1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p>
              </w:tc>
              <w:tc>
                <w:tcPr>
                  <w:tcW w:w="461" w:type="pct"/>
                  <w:vMerge w:val="continue"/>
                  <w:tcBorders>
                    <w:tl2br w:val="nil"/>
                    <w:tr2bl w:val="nil"/>
                  </w:tcBorders>
                  <w:noWrap/>
                  <w:vAlign w:val="center"/>
                </w:tcPr>
                <w:p w14:paraId="4CC8C6D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p>
              </w:tc>
              <w:tc>
                <w:tcPr>
                  <w:tcW w:w="433" w:type="pct"/>
                  <w:vMerge w:val="continue"/>
                  <w:tcBorders>
                    <w:tl2br w:val="nil"/>
                    <w:tr2bl w:val="nil"/>
                  </w:tcBorders>
                  <w:noWrap/>
                  <w:vAlign w:val="center"/>
                </w:tcPr>
                <w:p w14:paraId="7E9A28B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p>
              </w:tc>
              <w:tc>
                <w:tcPr>
                  <w:tcW w:w="433" w:type="pct"/>
                  <w:vMerge w:val="continue"/>
                  <w:tcBorders>
                    <w:tl2br w:val="nil"/>
                    <w:tr2bl w:val="nil"/>
                  </w:tcBorders>
                  <w:noWrap/>
                  <w:vAlign w:val="center"/>
                </w:tcPr>
                <w:p w14:paraId="5FF998B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
                      <w:color w:val="auto"/>
                      <w:kern w:val="0"/>
                      <w:sz w:val="21"/>
                      <w:szCs w:val="21"/>
                    </w:rPr>
                  </w:pPr>
                </w:p>
              </w:tc>
              <w:tc>
                <w:tcPr>
                  <w:tcW w:w="492" w:type="pct"/>
                  <w:tcBorders>
                    <w:tl2br w:val="nil"/>
                    <w:tr2bl w:val="nil"/>
                  </w:tcBorders>
                  <w:noWrap/>
                  <w:vAlign w:val="center"/>
                </w:tcPr>
                <w:p w14:paraId="531CC637">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声压级/dB（A）</w:t>
                  </w:r>
                </w:p>
              </w:tc>
              <w:tc>
                <w:tcPr>
                  <w:tcW w:w="498" w:type="pct"/>
                  <w:tcBorders>
                    <w:tl2br w:val="nil"/>
                    <w:tr2bl w:val="nil"/>
                  </w:tcBorders>
                  <w:noWrap/>
                  <w:vAlign w:val="center"/>
                </w:tcPr>
                <w:p w14:paraId="4EB81DFF">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建筑物外距离</w:t>
                  </w:r>
                  <w:r>
                    <w:rPr>
                      <w:rFonts w:hint="default" w:ascii="Times New Roman" w:hAnsi="Times New Roman" w:eastAsia="宋体" w:cs="Times New Roman"/>
                      <w:b/>
                      <w:color w:val="auto"/>
                      <w:sz w:val="21"/>
                      <w:szCs w:val="21"/>
                      <w:lang w:eastAsia="zh-CN"/>
                    </w:rPr>
                    <w:t>（m）</w:t>
                  </w:r>
                </w:p>
              </w:tc>
            </w:tr>
            <w:tr w14:paraId="177842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00" w:hRule="atLeast"/>
                <w:tblHeader/>
                <w:jc w:val="center"/>
              </w:trPr>
              <w:tc>
                <w:tcPr>
                  <w:tcW w:w="303" w:type="pct"/>
                  <w:tcBorders>
                    <w:tl2br w:val="nil"/>
                    <w:tr2bl w:val="nil"/>
                  </w:tcBorders>
                  <w:noWrap/>
                  <w:vAlign w:val="center"/>
                </w:tcPr>
                <w:p w14:paraId="0609AF75">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1</w:t>
                  </w:r>
                </w:p>
              </w:tc>
              <w:tc>
                <w:tcPr>
                  <w:tcW w:w="601" w:type="pct"/>
                  <w:tcBorders>
                    <w:tl2br w:val="nil"/>
                    <w:tr2bl w:val="nil"/>
                  </w:tcBorders>
                  <w:noWrap/>
                  <w:vAlign w:val="center"/>
                </w:tcPr>
                <w:p w14:paraId="0475F170">
                  <w:pPr>
                    <w:wordWrap w:val="0"/>
                    <w:autoSpaceDE w:val="0"/>
                    <w:autoSpaceDN w:val="0"/>
                    <w:spacing w:line="360" w:lineRule="exact"/>
                    <w:ind w:firstLine="102" w:firstLineChars="49"/>
                    <w:jc w:val="center"/>
                    <w:rPr>
                      <w:rFonts w:hint="default" w:ascii="Times New Roman" w:hAnsi="Times New Roman" w:eastAsia="宋体" w:cs="Times New Roman"/>
                      <w:color w:val="auto"/>
                      <w:sz w:val="21"/>
                      <w:szCs w:val="21"/>
                    </w:rPr>
                  </w:pPr>
                  <w:r>
                    <w:rPr>
                      <w:rFonts w:hint="eastAsia"/>
                      <w:color w:val="auto"/>
                      <w:szCs w:val="21"/>
                    </w:rPr>
                    <w:t>开炼</w:t>
                  </w:r>
                  <w:r>
                    <w:rPr>
                      <w:color w:val="auto"/>
                      <w:szCs w:val="21"/>
                    </w:rPr>
                    <w:t>机</w:t>
                  </w:r>
                </w:p>
              </w:tc>
              <w:tc>
                <w:tcPr>
                  <w:tcW w:w="415" w:type="pct"/>
                  <w:tcBorders>
                    <w:tl2br w:val="nil"/>
                    <w:tr2bl w:val="nil"/>
                  </w:tcBorders>
                  <w:noWrap/>
                  <w:vAlign w:val="center"/>
                </w:tcPr>
                <w:p w14:paraId="10F57F0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80</w:t>
                  </w:r>
                </w:p>
              </w:tc>
              <w:tc>
                <w:tcPr>
                  <w:tcW w:w="240" w:type="pct"/>
                  <w:vMerge w:val="restart"/>
                  <w:tcBorders>
                    <w:tl2br w:val="nil"/>
                    <w:tr2bl w:val="nil"/>
                  </w:tcBorders>
                  <w:noWrap/>
                  <w:vAlign w:val="center"/>
                </w:tcPr>
                <w:p w14:paraId="76B9255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选取低噪声设备、厂房隔声、绿化</w:t>
                  </w:r>
                </w:p>
              </w:tc>
              <w:tc>
                <w:tcPr>
                  <w:tcW w:w="296" w:type="pct"/>
                  <w:tcBorders>
                    <w:tl2br w:val="nil"/>
                    <w:tr2bl w:val="nil"/>
                  </w:tcBorders>
                  <w:noWrap/>
                  <w:vAlign w:val="center"/>
                </w:tcPr>
                <w:p w14:paraId="79F22DE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06CAFCE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18</w:t>
                  </w:r>
                </w:p>
              </w:tc>
              <w:tc>
                <w:tcPr>
                  <w:tcW w:w="233" w:type="pct"/>
                  <w:tcBorders>
                    <w:tl2br w:val="nil"/>
                    <w:tr2bl w:val="nil"/>
                  </w:tcBorders>
                  <w:noWrap/>
                  <w:vAlign w:val="center"/>
                </w:tcPr>
                <w:p w14:paraId="6BABAB94">
                  <w:pPr>
                    <w:keepNext w:val="0"/>
                    <w:keepLines w:val="0"/>
                    <w:pageBreakBefore w:val="0"/>
                    <w:widowControl w:val="0"/>
                    <w:tabs>
                      <w:tab w:val="left" w:pos="370"/>
                    </w:tabs>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6C7D534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5D899FC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73.98</w:t>
                  </w:r>
                </w:p>
              </w:tc>
              <w:tc>
                <w:tcPr>
                  <w:tcW w:w="433" w:type="pct"/>
                  <w:tcBorders>
                    <w:tl2br w:val="nil"/>
                    <w:tr2bl w:val="nil"/>
                  </w:tcBorders>
                  <w:noWrap/>
                  <w:vAlign w:val="center"/>
                </w:tcPr>
                <w:p w14:paraId="1881B9C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24</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4D523956">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4299DB20">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48.98</w:t>
                  </w:r>
                </w:p>
              </w:tc>
              <w:tc>
                <w:tcPr>
                  <w:tcW w:w="498" w:type="pct"/>
                  <w:tcBorders>
                    <w:tl2br w:val="nil"/>
                    <w:tr2bl w:val="nil"/>
                  </w:tcBorders>
                  <w:noWrap/>
                  <w:vAlign w:val="center"/>
                </w:tcPr>
                <w:p w14:paraId="0752A297">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val="en-US" w:eastAsia="zh-CN"/>
                    </w:rPr>
                    <w:t>2</w:t>
                  </w:r>
                </w:p>
              </w:tc>
            </w:tr>
            <w:tr w14:paraId="4FC3FA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noWrap/>
                  <w:vAlign w:val="center"/>
                </w:tcPr>
                <w:p w14:paraId="2832BB9F">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2</w:t>
                  </w:r>
                </w:p>
              </w:tc>
              <w:tc>
                <w:tcPr>
                  <w:tcW w:w="601" w:type="pct"/>
                  <w:tcBorders>
                    <w:tl2br w:val="nil"/>
                    <w:tr2bl w:val="nil"/>
                  </w:tcBorders>
                  <w:noWrap/>
                  <w:vAlign w:val="center"/>
                </w:tcPr>
                <w:p w14:paraId="371B91B7">
                  <w:pPr>
                    <w:wordWrap w:val="0"/>
                    <w:autoSpaceDE w:val="0"/>
                    <w:autoSpaceDN w:val="0"/>
                    <w:spacing w:line="360" w:lineRule="exact"/>
                    <w:ind w:firstLine="102" w:firstLineChars="49"/>
                    <w:jc w:val="center"/>
                    <w:rPr>
                      <w:rFonts w:hint="default" w:ascii="Times New Roman" w:hAnsi="Times New Roman" w:eastAsia="宋体" w:cs="Times New Roman"/>
                      <w:color w:val="auto"/>
                      <w:sz w:val="21"/>
                      <w:szCs w:val="21"/>
                    </w:rPr>
                  </w:pPr>
                  <w:r>
                    <w:rPr>
                      <w:rFonts w:hint="eastAsia"/>
                      <w:color w:val="auto"/>
                      <w:szCs w:val="21"/>
                    </w:rPr>
                    <w:t>密炼机</w:t>
                  </w:r>
                </w:p>
              </w:tc>
              <w:tc>
                <w:tcPr>
                  <w:tcW w:w="415" w:type="pct"/>
                  <w:tcBorders>
                    <w:tl2br w:val="nil"/>
                    <w:tr2bl w:val="nil"/>
                  </w:tcBorders>
                  <w:noWrap/>
                  <w:vAlign w:val="center"/>
                </w:tcPr>
                <w:p w14:paraId="199F2D1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75</w:t>
                  </w:r>
                </w:p>
              </w:tc>
              <w:tc>
                <w:tcPr>
                  <w:tcW w:w="240" w:type="pct"/>
                  <w:vMerge w:val="continue"/>
                  <w:tcBorders>
                    <w:tl2br w:val="nil"/>
                    <w:tr2bl w:val="nil"/>
                  </w:tcBorders>
                  <w:noWrap/>
                  <w:vAlign w:val="center"/>
                </w:tcPr>
                <w:p w14:paraId="6AF39E8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44C9963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6B21385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18</w:t>
                  </w:r>
                </w:p>
              </w:tc>
              <w:tc>
                <w:tcPr>
                  <w:tcW w:w="233" w:type="pct"/>
                  <w:tcBorders>
                    <w:tl2br w:val="nil"/>
                    <w:tr2bl w:val="nil"/>
                  </w:tcBorders>
                  <w:noWrap/>
                  <w:vAlign w:val="center"/>
                </w:tcPr>
                <w:p w14:paraId="1E55242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2D118BA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461ACB3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68.98</w:t>
                  </w:r>
                </w:p>
              </w:tc>
              <w:tc>
                <w:tcPr>
                  <w:tcW w:w="433" w:type="pct"/>
                  <w:tcBorders>
                    <w:tl2br w:val="nil"/>
                    <w:tr2bl w:val="nil"/>
                  </w:tcBorders>
                  <w:noWrap/>
                  <w:vAlign w:val="center"/>
                </w:tcPr>
                <w:p w14:paraId="1A17471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24</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635DA72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793073F4">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43.98</w:t>
                  </w:r>
                </w:p>
              </w:tc>
              <w:tc>
                <w:tcPr>
                  <w:tcW w:w="498" w:type="pct"/>
                  <w:tcBorders>
                    <w:tl2br w:val="nil"/>
                    <w:tr2bl w:val="nil"/>
                  </w:tcBorders>
                  <w:noWrap/>
                  <w:vAlign w:val="center"/>
                </w:tcPr>
                <w:p w14:paraId="6C3E839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4890097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noWrap/>
                  <w:vAlign w:val="center"/>
                </w:tcPr>
                <w:p w14:paraId="29A5FE1A">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3</w:t>
                  </w:r>
                </w:p>
              </w:tc>
              <w:tc>
                <w:tcPr>
                  <w:tcW w:w="601" w:type="pct"/>
                  <w:tcBorders>
                    <w:tl2br w:val="nil"/>
                    <w:tr2bl w:val="nil"/>
                  </w:tcBorders>
                  <w:shd w:val="clear" w:color="auto" w:fill="auto"/>
                  <w:noWrap/>
                  <w:vAlign w:val="center"/>
                </w:tcPr>
                <w:p w14:paraId="6FE04F8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过滤机</w:t>
                  </w:r>
                </w:p>
              </w:tc>
              <w:tc>
                <w:tcPr>
                  <w:tcW w:w="415" w:type="pct"/>
                  <w:tcBorders>
                    <w:tl2br w:val="nil"/>
                    <w:tr2bl w:val="nil"/>
                  </w:tcBorders>
                  <w:noWrap/>
                  <w:vAlign w:val="center"/>
                </w:tcPr>
                <w:p w14:paraId="32D6662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75</w:t>
                  </w:r>
                </w:p>
              </w:tc>
              <w:tc>
                <w:tcPr>
                  <w:tcW w:w="240" w:type="pct"/>
                  <w:vMerge w:val="continue"/>
                  <w:tcBorders>
                    <w:tl2br w:val="nil"/>
                    <w:tr2bl w:val="nil"/>
                  </w:tcBorders>
                  <w:noWrap/>
                  <w:vAlign w:val="center"/>
                </w:tcPr>
                <w:p w14:paraId="6E7797F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2945B02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41D0F3B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20</w:t>
                  </w:r>
                </w:p>
              </w:tc>
              <w:tc>
                <w:tcPr>
                  <w:tcW w:w="233" w:type="pct"/>
                  <w:tcBorders>
                    <w:tl2br w:val="nil"/>
                    <w:tr2bl w:val="nil"/>
                  </w:tcBorders>
                  <w:noWrap/>
                  <w:vAlign w:val="center"/>
                </w:tcPr>
                <w:p w14:paraId="5B4A879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22E0371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56D75CA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68.98</w:t>
                  </w:r>
                </w:p>
              </w:tc>
              <w:tc>
                <w:tcPr>
                  <w:tcW w:w="433" w:type="pct"/>
                  <w:tcBorders>
                    <w:tl2br w:val="nil"/>
                    <w:tr2bl w:val="nil"/>
                  </w:tcBorders>
                  <w:noWrap/>
                  <w:vAlign w:val="center"/>
                </w:tcPr>
                <w:p w14:paraId="395060E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24</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0465590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32EC1BF4">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43.98</w:t>
                  </w:r>
                </w:p>
              </w:tc>
              <w:tc>
                <w:tcPr>
                  <w:tcW w:w="498" w:type="pct"/>
                  <w:tcBorders>
                    <w:tl2br w:val="nil"/>
                    <w:tr2bl w:val="nil"/>
                  </w:tcBorders>
                  <w:noWrap/>
                  <w:vAlign w:val="center"/>
                </w:tcPr>
                <w:p w14:paraId="0B61FDF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48A1C3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noWrap/>
                  <w:vAlign w:val="center"/>
                </w:tcPr>
                <w:p w14:paraId="25C0A02B">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4</w:t>
                  </w:r>
                </w:p>
              </w:tc>
              <w:tc>
                <w:tcPr>
                  <w:tcW w:w="601" w:type="pct"/>
                  <w:tcBorders>
                    <w:tl2br w:val="nil"/>
                    <w:tr2bl w:val="nil"/>
                  </w:tcBorders>
                  <w:shd w:val="clear" w:color="auto" w:fill="auto"/>
                  <w:noWrap/>
                  <w:vAlign w:val="center"/>
                </w:tcPr>
                <w:p w14:paraId="0A263DB8">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裁断机</w:t>
                  </w:r>
                </w:p>
              </w:tc>
              <w:tc>
                <w:tcPr>
                  <w:tcW w:w="415" w:type="pct"/>
                  <w:tcBorders>
                    <w:tl2br w:val="nil"/>
                    <w:tr2bl w:val="nil"/>
                  </w:tcBorders>
                  <w:noWrap/>
                  <w:vAlign w:val="center"/>
                </w:tcPr>
                <w:p w14:paraId="17B7044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75</w:t>
                  </w:r>
                </w:p>
              </w:tc>
              <w:tc>
                <w:tcPr>
                  <w:tcW w:w="240" w:type="pct"/>
                  <w:vMerge w:val="continue"/>
                  <w:tcBorders>
                    <w:tl2br w:val="nil"/>
                    <w:tr2bl w:val="nil"/>
                  </w:tcBorders>
                  <w:noWrap/>
                  <w:vAlign w:val="center"/>
                </w:tcPr>
                <w:p w14:paraId="3F8372D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p>
              </w:tc>
              <w:tc>
                <w:tcPr>
                  <w:tcW w:w="296" w:type="pct"/>
                  <w:tcBorders>
                    <w:tl2br w:val="nil"/>
                    <w:tr2bl w:val="nil"/>
                  </w:tcBorders>
                  <w:noWrap/>
                  <w:vAlign w:val="center"/>
                </w:tcPr>
                <w:p w14:paraId="0D62C74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12C96BD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20</w:t>
                  </w:r>
                </w:p>
              </w:tc>
              <w:tc>
                <w:tcPr>
                  <w:tcW w:w="233" w:type="pct"/>
                  <w:tcBorders>
                    <w:tl2br w:val="nil"/>
                    <w:tr2bl w:val="nil"/>
                  </w:tcBorders>
                  <w:noWrap/>
                  <w:vAlign w:val="center"/>
                </w:tcPr>
                <w:p w14:paraId="40D70F6F">
                  <w:pPr>
                    <w:keepNext w:val="0"/>
                    <w:keepLines w:val="0"/>
                    <w:pageBreakBefore w:val="0"/>
                    <w:widowControl w:val="0"/>
                    <w:kinsoku/>
                    <w:wordWrap/>
                    <w:overflowPunct/>
                    <w:topLinePunct w:val="0"/>
                    <w:autoSpaceDE/>
                    <w:bidi w:val="0"/>
                    <w:spacing w:line="360" w:lineRule="exact"/>
                    <w:jc w:val="center"/>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44DF4E6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5FC85A7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68.98</w:t>
                  </w:r>
                </w:p>
              </w:tc>
              <w:tc>
                <w:tcPr>
                  <w:tcW w:w="433" w:type="pct"/>
                  <w:tcBorders>
                    <w:tl2br w:val="nil"/>
                    <w:tr2bl w:val="nil"/>
                  </w:tcBorders>
                  <w:noWrap/>
                  <w:vAlign w:val="center"/>
                </w:tcPr>
                <w:p w14:paraId="091649F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24</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67F5B82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773E0351">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43.98</w:t>
                  </w:r>
                </w:p>
              </w:tc>
              <w:tc>
                <w:tcPr>
                  <w:tcW w:w="498" w:type="pct"/>
                  <w:tcBorders>
                    <w:tl2br w:val="nil"/>
                    <w:tr2bl w:val="nil"/>
                  </w:tcBorders>
                  <w:noWrap/>
                  <w:vAlign w:val="center"/>
                </w:tcPr>
                <w:p w14:paraId="3BC233D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2DA481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16058003">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kern w:val="2"/>
                      <w:sz w:val="21"/>
                      <w:szCs w:val="21"/>
                      <w:lang w:val="en-US" w:eastAsia="zh-CN" w:bidi="ar-SA"/>
                    </w:rPr>
                    <w:t>5</w:t>
                  </w:r>
                </w:p>
              </w:tc>
              <w:tc>
                <w:tcPr>
                  <w:tcW w:w="601" w:type="pct"/>
                  <w:tcBorders>
                    <w:tl2br w:val="nil"/>
                    <w:tr2bl w:val="nil"/>
                  </w:tcBorders>
                  <w:shd w:val="clear" w:color="auto" w:fill="auto"/>
                  <w:noWrap/>
                  <w:vAlign w:val="center"/>
                </w:tcPr>
                <w:p w14:paraId="5830448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sz w:val="21"/>
                      <w:szCs w:val="21"/>
                      <w:lang w:val="en-US" w:eastAsia="zh-CN"/>
                    </w:rPr>
                  </w:pPr>
                  <w:r>
                    <w:rPr>
                      <w:rFonts w:hint="default" w:ascii="Times New Roman" w:hAnsi="Times New Roman" w:eastAsia="宋体" w:cs="Times New Roman"/>
                      <w:color w:val="auto"/>
                      <w:w w:val="100"/>
                      <w:sz w:val="21"/>
                      <w:szCs w:val="21"/>
                      <w:lang w:val="en-US" w:eastAsia="zh-CN"/>
                    </w:rPr>
                    <w:t>轴芯</w:t>
                  </w:r>
                  <w:r>
                    <w:rPr>
                      <w:rFonts w:hint="eastAsia" w:ascii="Times New Roman" w:hAnsi="Times New Roman" w:eastAsia="宋体" w:cs="Times New Roman"/>
                      <w:color w:val="auto"/>
                      <w:w w:val="100"/>
                      <w:sz w:val="21"/>
                      <w:szCs w:val="21"/>
                      <w:lang w:val="en-US" w:eastAsia="zh-CN"/>
                    </w:rPr>
                    <w:t>清洗</w:t>
                  </w:r>
                  <w:r>
                    <w:rPr>
                      <w:rFonts w:hint="default" w:ascii="Times New Roman" w:hAnsi="Times New Roman" w:eastAsia="宋体" w:cs="Times New Roman"/>
                      <w:color w:val="auto"/>
                      <w:w w:val="100"/>
                      <w:sz w:val="21"/>
                      <w:szCs w:val="21"/>
                      <w:lang w:val="en-US" w:eastAsia="zh-CN"/>
                    </w:rPr>
                    <w:t>机</w:t>
                  </w:r>
                </w:p>
              </w:tc>
              <w:tc>
                <w:tcPr>
                  <w:tcW w:w="415" w:type="pct"/>
                  <w:tcBorders>
                    <w:tl2br w:val="nil"/>
                    <w:tr2bl w:val="nil"/>
                  </w:tcBorders>
                  <w:noWrap/>
                  <w:vAlign w:val="center"/>
                </w:tcPr>
                <w:p w14:paraId="246A450E">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kern w:val="0"/>
                      <w:sz w:val="21"/>
                      <w:szCs w:val="21"/>
                    </w:rPr>
                    <w:t>7</w:t>
                  </w:r>
                  <w:r>
                    <w:rPr>
                      <w:rFonts w:hint="eastAsia" w:ascii="Times New Roman" w:hAnsi="Times New Roman" w:eastAsia="宋体" w:cs="Times New Roman"/>
                      <w:color w:val="auto"/>
                      <w:kern w:val="0"/>
                      <w:sz w:val="21"/>
                      <w:szCs w:val="21"/>
                      <w:lang w:val="en-US" w:eastAsia="zh-CN"/>
                    </w:rPr>
                    <w:t>0</w:t>
                  </w:r>
                </w:p>
              </w:tc>
              <w:tc>
                <w:tcPr>
                  <w:tcW w:w="240" w:type="pct"/>
                  <w:vMerge w:val="continue"/>
                  <w:tcBorders>
                    <w:tl2br w:val="nil"/>
                    <w:tr2bl w:val="nil"/>
                  </w:tcBorders>
                  <w:noWrap/>
                  <w:vAlign w:val="center"/>
                </w:tcPr>
                <w:p w14:paraId="396E097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5891DCB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12</w:t>
                  </w:r>
                </w:p>
              </w:tc>
              <w:tc>
                <w:tcPr>
                  <w:tcW w:w="272" w:type="pct"/>
                  <w:tcBorders>
                    <w:tl2br w:val="nil"/>
                    <w:tr2bl w:val="nil"/>
                  </w:tcBorders>
                  <w:noWrap/>
                  <w:vAlign w:val="center"/>
                </w:tcPr>
                <w:p w14:paraId="5635319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20</w:t>
                  </w:r>
                </w:p>
              </w:tc>
              <w:tc>
                <w:tcPr>
                  <w:tcW w:w="233" w:type="pct"/>
                  <w:tcBorders>
                    <w:tl2br w:val="nil"/>
                    <w:tr2bl w:val="nil"/>
                  </w:tcBorders>
                  <w:noWrap/>
                  <w:vAlign w:val="center"/>
                </w:tcPr>
                <w:p w14:paraId="79DB48CF">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Cs/>
                      <w:color w:val="auto"/>
                      <w:kern w:val="0"/>
                      <w:sz w:val="21"/>
                      <w:szCs w:val="21"/>
                      <w:lang w:val="en-US" w:eastAsia="zh-CN"/>
                    </w:rPr>
                  </w:pPr>
                  <w:r>
                    <w:rPr>
                      <w:rFonts w:hint="eastAsia" w:cs="Times New Roman"/>
                      <w:bCs/>
                      <w:color w:val="auto"/>
                      <w:kern w:val="0"/>
                      <w:sz w:val="21"/>
                      <w:szCs w:val="21"/>
                      <w:lang w:val="en-US" w:eastAsia="zh-CN"/>
                    </w:rPr>
                    <w:t>1</w:t>
                  </w:r>
                </w:p>
              </w:tc>
              <w:tc>
                <w:tcPr>
                  <w:tcW w:w="318" w:type="pct"/>
                  <w:tcBorders>
                    <w:tl2br w:val="nil"/>
                    <w:tr2bl w:val="nil"/>
                  </w:tcBorders>
                  <w:noWrap/>
                  <w:vAlign w:val="center"/>
                </w:tcPr>
                <w:p w14:paraId="3423BDA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p>
              </w:tc>
              <w:tc>
                <w:tcPr>
                  <w:tcW w:w="461" w:type="pct"/>
                  <w:tcBorders>
                    <w:tl2br w:val="nil"/>
                    <w:tr2bl w:val="nil"/>
                  </w:tcBorders>
                  <w:noWrap/>
                  <w:vAlign w:val="center"/>
                </w:tcPr>
                <w:p w14:paraId="5D2FBEFA">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36E2ED2F">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shd w:val="clear" w:color="auto" w:fill="auto"/>
                  <w:noWrap/>
                  <w:vAlign w:val="center"/>
                </w:tcPr>
                <w:p w14:paraId="217D2A4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shd w:val="clear" w:color="auto" w:fill="auto"/>
                  <w:noWrap/>
                  <w:vAlign w:val="center"/>
                </w:tcPr>
                <w:p w14:paraId="2F1144A1">
                  <w:pPr>
                    <w:keepNext w:val="0"/>
                    <w:keepLines w:val="0"/>
                    <w:widowControl/>
                    <w:suppressLineNumbers w:val="0"/>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shd w:val="clear" w:color="auto" w:fill="auto"/>
                  <w:noWrap/>
                  <w:vAlign w:val="center"/>
                </w:tcPr>
                <w:p w14:paraId="1DAE627A">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w:t>
                  </w:r>
                </w:p>
              </w:tc>
            </w:tr>
            <w:tr w14:paraId="72D926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7525E727">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6</w:t>
                  </w:r>
                </w:p>
              </w:tc>
              <w:tc>
                <w:tcPr>
                  <w:tcW w:w="601" w:type="pct"/>
                  <w:tcBorders>
                    <w:tl2br w:val="nil"/>
                    <w:tr2bl w:val="nil"/>
                  </w:tcBorders>
                  <w:shd w:val="clear" w:color="auto" w:fill="auto"/>
                  <w:noWrap/>
                  <w:vAlign w:val="center"/>
                </w:tcPr>
                <w:p w14:paraId="66F52F61">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轴芯涂胶机</w:t>
                  </w:r>
                </w:p>
              </w:tc>
              <w:tc>
                <w:tcPr>
                  <w:tcW w:w="415" w:type="pct"/>
                  <w:tcBorders>
                    <w:tl2br w:val="nil"/>
                    <w:tr2bl w:val="nil"/>
                  </w:tcBorders>
                  <w:noWrap/>
                  <w:vAlign w:val="center"/>
                </w:tcPr>
                <w:p w14:paraId="4B57709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60</w:t>
                  </w:r>
                </w:p>
              </w:tc>
              <w:tc>
                <w:tcPr>
                  <w:tcW w:w="240" w:type="pct"/>
                  <w:vMerge w:val="continue"/>
                  <w:tcBorders>
                    <w:tl2br w:val="nil"/>
                    <w:tr2bl w:val="nil"/>
                  </w:tcBorders>
                  <w:noWrap/>
                  <w:vAlign w:val="center"/>
                </w:tcPr>
                <w:p w14:paraId="54C6A04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7BA5722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5CD36EB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90</w:t>
                  </w:r>
                </w:p>
              </w:tc>
              <w:tc>
                <w:tcPr>
                  <w:tcW w:w="233" w:type="pct"/>
                  <w:tcBorders>
                    <w:tl2br w:val="nil"/>
                    <w:tr2bl w:val="nil"/>
                  </w:tcBorders>
                  <w:noWrap/>
                  <w:vAlign w:val="center"/>
                </w:tcPr>
                <w:p w14:paraId="02957CA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06E10C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1105915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53.98</w:t>
                  </w:r>
                </w:p>
              </w:tc>
              <w:tc>
                <w:tcPr>
                  <w:tcW w:w="433" w:type="pct"/>
                  <w:tcBorders>
                    <w:tl2br w:val="nil"/>
                    <w:tr2bl w:val="nil"/>
                  </w:tcBorders>
                  <w:noWrap/>
                  <w:vAlign w:val="center"/>
                </w:tcPr>
                <w:p w14:paraId="1E1099B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04659EA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1BD5D5AC">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28.98</w:t>
                  </w:r>
                </w:p>
              </w:tc>
              <w:tc>
                <w:tcPr>
                  <w:tcW w:w="498" w:type="pct"/>
                  <w:tcBorders>
                    <w:tl2br w:val="nil"/>
                    <w:tr2bl w:val="nil"/>
                  </w:tcBorders>
                  <w:noWrap/>
                  <w:vAlign w:val="center"/>
                </w:tcPr>
                <w:p w14:paraId="7435E8F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454AB6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03CB01F4">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7</w:t>
                  </w:r>
                </w:p>
              </w:tc>
              <w:tc>
                <w:tcPr>
                  <w:tcW w:w="601" w:type="pct"/>
                  <w:tcBorders>
                    <w:tl2br w:val="nil"/>
                    <w:tr2bl w:val="nil"/>
                  </w:tcBorders>
                  <w:shd w:val="clear" w:color="auto" w:fill="auto"/>
                  <w:noWrap/>
                  <w:vAlign w:val="center"/>
                </w:tcPr>
                <w:p w14:paraId="0D7F998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挤出机</w:t>
                  </w:r>
                </w:p>
              </w:tc>
              <w:tc>
                <w:tcPr>
                  <w:tcW w:w="415" w:type="pct"/>
                  <w:tcBorders>
                    <w:tl2br w:val="nil"/>
                    <w:tr2bl w:val="nil"/>
                  </w:tcBorders>
                  <w:noWrap/>
                  <w:vAlign w:val="center"/>
                </w:tcPr>
                <w:p w14:paraId="0EC5418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80</w:t>
                  </w:r>
                </w:p>
              </w:tc>
              <w:tc>
                <w:tcPr>
                  <w:tcW w:w="240" w:type="pct"/>
                  <w:vMerge w:val="continue"/>
                  <w:tcBorders>
                    <w:tl2br w:val="nil"/>
                    <w:tr2bl w:val="nil"/>
                  </w:tcBorders>
                  <w:noWrap/>
                  <w:vAlign w:val="center"/>
                </w:tcPr>
                <w:p w14:paraId="65409EE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741DB77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12FFB4C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65</w:t>
                  </w:r>
                </w:p>
              </w:tc>
              <w:tc>
                <w:tcPr>
                  <w:tcW w:w="233" w:type="pct"/>
                  <w:tcBorders>
                    <w:tl2br w:val="nil"/>
                    <w:tr2bl w:val="nil"/>
                  </w:tcBorders>
                  <w:noWrap/>
                  <w:vAlign w:val="center"/>
                </w:tcPr>
                <w:p w14:paraId="1E129C9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9D6C45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7D6077C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73.98</w:t>
                  </w:r>
                </w:p>
              </w:tc>
              <w:tc>
                <w:tcPr>
                  <w:tcW w:w="433" w:type="pct"/>
                  <w:tcBorders>
                    <w:tl2br w:val="nil"/>
                    <w:tr2bl w:val="nil"/>
                  </w:tcBorders>
                  <w:noWrap/>
                  <w:vAlign w:val="center"/>
                </w:tcPr>
                <w:p w14:paraId="3111754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2C46C73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1C157F2B">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48.98</w:t>
                  </w:r>
                </w:p>
              </w:tc>
              <w:tc>
                <w:tcPr>
                  <w:tcW w:w="498" w:type="pct"/>
                  <w:tcBorders>
                    <w:tl2br w:val="nil"/>
                    <w:tr2bl w:val="nil"/>
                  </w:tcBorders>
                  <w:noWrap/>
                  <w:vAlign w:val="center"/>
                </w:tcPr>
                <w:p w14:paraId="535A00D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4229E15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27F140B7">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8</w:t>
                  </w:r>
                </w:p>
              </w:tc>
              <w:tc>
                <w:tcPr>
                  <w:tcW w:w="601" w:type="pct"/>
                  <w:tcBorders>
                    <w:tl2br w:val="nil"/>
                    <w:tr2bl w:val="nil"/>
                  </w:tcBorders>
                  <w:shd w:val="clear" w:color="auto" w:fill="auto"/>
                  <w:noWrap/>
                  <w:vAlign w:val="center"/>
                </w:tcPr>
                <w:p w14:paraId="5F3231F3">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硫化</w:t>
                  </w:r>
                  <w:r>
                    <w:rPr>
                      <w:color w:val="auto"/>
                      <w:szCs w:val="21"/>
                    </w:rPr>
                    <w:t>罐</w:t>
                  </w:r>
                </w:p>
              </w:tc>
              <w:tc>
                <w:tcPr>
                  <w:tcW w:w="415" w:type="pct"/>
                  <w:tcBorders>
                    <w:tl2br w:val="nil"/>
                    <w:tr2bl w:val="nil"/>
                  </w:tcBorders>
                  <w:noWrap/>
                  <w:vAlign w:val="center"/>
                </w:tcPr>
                <w:p w14:paraId="504FBD4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eastAsia" w:ascii="Times New Roman" w:hAnsi="Times New Roman" w:eastAsia="宋体" w:cs="Times New Roman"/>
                      <w:bCs/>
                      <w:color w:val="auto"/>
                      <w:kern w:val="0"/>
                      <w:sz w:val="21"/>
                      <w:szCs w:val="21"/>
                      <w:lang w:val="en-US" w:eastAsia="zh-CN"/>
                    </w:rPr>
                    <w:t>6</w:t>
                  </w:r>
                  <w:r>
                    <w:rPr>
                      <w:rFonts w:hint="default" w:ascii="Times New Roman" w:hAnsi="Times New Roman" w:eastAsia="宋体" w:cs="Times New Roman"/>
                      <w:bCs/>
                      <w:color w:val="auto"/>
                      <w:kern w:val="0"/>
                      <w:sz w:val="21"/>
                      <w:szCs w:val="21"/>
                    </w:rPr>
                    <w:t>0</w:t>
                  </w:r>
                </w:p>
              </w:tc>
              <w:tc>
                <w:tcPr>
                  <w:tcW w:w="240" w:type="pct"/>
                  <w:vMerge w:val="continue"/>
                  <w:tcBorders>
                    <w:tl2br w:val="nil"/>
                    <w:tr2bl w:val="nil"/>
                  </w:tcBorders>
                  <w:noWrap/>
                  <w:vAlign w:val="center"/>
                </w:tcPr>
                <w:p w14:paraId="4B6CD0F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58F4FB2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011230C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105</w:t>
                  </w:r>
                </w:p>
              </w:tc>
              <w:tc>
                <w:tcPr>
                  <w:tcW w:w="233" w:type="pct"/>
                  <w:tcBorders>
                    <w:tl2br w:val="nil"/>
                    <w:tr2bl w:val="nil"/>
                  </w:tcBorders>
                  <w:noWrap/>
                  <w:vAlign w:val="center"/>
                </w:tcPr>
                <w:p w14:paraId="429967E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3F85196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1532A7A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53.98</w:t>
                  </w:r>
                </w:p>
              </w:tc>
              <w:tc>
                <w:tcPr>
                  <w:tcW w:w="433" w:type="pct"/>
                  <w:tcBorders>
                    <w:tl2br w:val="nil"/>
                    <w:tr2bl w:val="nil"/>
                  </w:tcBorders>
                  <w:noWrap/>
                  <w:vAlign w:val="center"/>
                </w:tcPr>
                <w:p w14:paraId="2F5C1AE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7AE2EE2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1D085467">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28.98</w:t>
                  </w:r>
                </w:p>
              </w:tc>
              <w:tc>
                <w:tcPr>
                  <w:tcW w:w="498" w:type="pct"/>
                  <w:tcBorders>
                    <w:tl2br w:val="nil"/>
                    <w:tr2bl w:val="nil"/>
                  </w:tcBorders>
                  <w:noWrap/>
                  <w:vAlign w:val="center"/>
                </w:tcPr>
                <w:p w14:paraId="458B08F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310EBE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7272334E">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9</w:t>
                  </w:r>
                </w:p>
              </w:tc>
              <w:tc>
                <w:tcPr>
                  <w:tcW w:w="601" w:type="pct"/>
                  <w:tcBorders>
                    <w:tl2br w:val="nil"/>
                    <w:tr2bl w:val="nil"/>
                  </w:tcBorders>
                  <w:shd w:val="clear" w:color="auto" w:fill="auto"/>
                  <w:noWrap/>
                  <w:vAlign w:val="center"/>
                </w:tcPr>
                <w:p w14:paraId="6ED03C2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导热油炉</w:t>
                  </w:r>
                </w:p>
              </w:tc>
              <w:tc>
                <w:tcPr>
                  <w:tcW w:w="415" w:type="pct"/>
                  <w:tcBorders>
                    <w:tl2br w:val="nil"/>
                    <w:tr2bl w:val="nil"/>
                  </w:tcBorders>
                  <w:noWrap/>
                  <w:vAlign w:val="center"/>
                </w:tcPr>
                <w:p w14:paraId="45819E1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75</w:t>
                  </w:r>
                </w:p>
              </w:tc>
              <w:tc>
                <w:tcPr>
                  <w:tcW w:w="240" w:type="pct"/>
                  <w:vMerge w:val="continue"/>
                  <w:tcBorders>
                    <w:tl2br w:val="nil"/>
                    <w:tr2bl w:val="nil"/>
                  </w:tcBorders>
                  <w:noWrap/>
                  <w:vAlign w:val="center"/>
                </w:tcPr>
                <w:p w14:paraId="0FCC585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5C4015E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45FAC10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108</w:t>
                  </w:r>
                </w:p>
              </w:tc>
              <w:tc>
                <w:tcPr>
                  <w:tcW w:w="233" w:type="pct"/>
                  <w:tcBorders>
                    <w:tl2br w:val="nil"/>
                    <w:tr2bl w:val="nil"/>
                  </w:tcBorders>
                  <w:noWrap/>
                  <w:vAlign w:val="center"/>
                </w:tcPr>
                <w:p w14:paraId="3AC1E17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B70D22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01D27FF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68.98</w:t>
                  </w:r>
                </w:p>
              </w:tc>
              <w:tc>
                <w:tcPr>
                  <w:tcW w:w="433" w:type="pct"/>
                  <w:tcBorders>
                    <w:tl2br w:val="nil"/>
                    <w:tr2bl w:val="nil"/>
                  </w:tcBorders>
                  <w:noWrap/>
                  <w:vAlign w:val="center"/>
                </w:tcPr>
                <w:p w14:paraId="71AD06D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4309314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4AD3737F">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43.98</w:t>
                  </w:r>
                </w:p>
              </w:tc>
              <w:tc>
                <w:tcPr>
                  <w:tcW w:w="498" w:type="pct"/>
                  <w:tcBorders>
                    <w:tl2br w:val="nil"/>
                    <w:tr2bl w:val="nil"/>
                  </w:tcBorders>
                  <w:noWrap/>
                  <w:vAlign w:val="center"/>
                </w:tcPr>
                <w:p w14:paraId="65EEB36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23CB4D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1EE73A73">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10</w:t>
                  </w:r>
                </w:p>
              </w:tc>
              <w:tc>
                <w:tcPr>
                  <w:tcW w:w="601" w:type="pct"/>
                  <w:tcBorders>
                    <w:tl2br w:val="nil"/>
                    <w:tr2bl w:val="nil"/>
                  </w:tcBorders>
                  <w:shd w:val="clear" w:color="auto" w:fill="auto"/>
                  <w:noWrap/>
                  <w:vAlign w:val="center"/>
                </w:tcPr>
                <w:p w14:paraId="7724BDF9">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恒温烘箱</w:t>
                  </w:r>
                </w:p>
              </w:tc>
              <w:tc>
                <w:tcPr>
                  <w:tcW w:w="415" w:type="pct"/>
                  <w:tcBorders>
                    <w:tl2br w:val="nil"/>
                    <w:tr2bl w:val="nil"/>
                  </w:tcBorders>
                  <w:noWrap/>
                  <w:vAlign w:val="center"/>
                </w:tcPr>
                <w:p w14:paraId="241BBD9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60</w:t>
                  </w:r>
                </w:p>
              </w:tc>
              <w:tc>
                <w:tcPr>
                  <w:tcW w:w="240" w:type="pct"/>
                  <w:vMerge w:val="continue"/>
                  <w:tcBorders>
                    <w:tl2br w:val="nil"/>
                    <w:tr2bl w:val="nil"/>
                  </w:tcBorders>
                  <w:noWrap/>
                  <w:vAlign w:val="center"/>
                </w:tcPr>
                <w:p w14:paraId="7A506E7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06A0557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272" w:type="pct"/>
                  <w:tcBorders>
                    <w:tl2br w:val="nil"/>
                    <w:tr2bl w:val="nil"/>
                  </w:tcBorders>
                  <w:noWrap/>
                  <w:vAlign w:val="center"/>
                </w:tcPr>
                <w:p w14:paraId="374BB40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110</w:t>
                  </w:r>
                </w:p>
              </w:tc>
              <w:tc>
                <w:tcPr>
                  <w:tcW w:w="233" w:type="pct"/>
                  <w:tcBorders>
                    <w:tl2br w:val="nil"/>
                    <w:tr2bl w:val="nil"/>
                  </w:tcBorders>
                  <w:noWrap/>
                  <w:vAlign w:val="center"/>
                </w:tcPr>
                <w:p w14:paraId="3340C96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6D127E8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72594D2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53.98</w:t>
                  </w:r>
                </w:p>
              </w:tc>
              <w:tc>
                <w:tcPr>
                  <w:tcW w:w="433" w:type="pct"/>
                  <w:tcBorders>
                    <w:tl2br w:val="nil"/>
                    <w:tr2bl w:val="nil"/>
                  </w:tcBorders>
                  <w:noWrap/>
                  <w:vAlign w:val="center"/>
                </w:tcPr>
                <w:p w14:paraId="0BDB212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0295151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6245A43E">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28.98</w:t>
                  </w:r>
                </w:p>
              </w:tc>
              <w:tc>
                <w:tcPr>
                  <w:tcW w:w="498" w:type="pct"/>
                  <w:tcBorders>
                    <w:tl2br w:val="nil"/>
                    <w:tr2bl w:val="nil"/>
                  </w:tcBorders>
                  <w:noWrap/>
                  <w:vAlign w:val="center"/>
                </w:tcPr>
                <w:p w14:paraId="1FC57FE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70E8CA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00EB4230">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11</w:t>
                  </w:r>
                </w:p>
              </w:tc>
              <w:tc>
                <w:tcPr>
                  <w:tcW w:w="601" w:type="pct"/>
                  <w:tcBorders>
                    <w:tl2br w:val="nil"/>
                    <w:tr2bl w:val="nil"/>
                  </w:tcBorders>
                  <w:shd w:val="clear" w:color="auto" w:fill="auto"/>
                  <w:noWrap/>
                  <w:vAlign w:val="center"/>
                </w:tcPr>
                <w:p w14:paraId="0F858E87">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olor w:val="auto"/>
                      <w:szCs w:val="21"/>
                    </w:rPr>
                    <w:t>穿管机</w:t>
                  </w:r>
                </w:p>
              </w:tc>
              <w:tc>
                <w:tcPr>
                  <w:tcW w:w="415" w:type="pct"/>
                  <w:tcBorders>
                    <w:tl2br w:val="nil"/>
                    <w:tr2bl w:val="nil"/>
                  </w:tcBorders>
                  <w:noWrap/>
                  <w:vAlign w:val="center"/>
                </w:tcPr>
                <w:p w14:paraId="3BE42BD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60</w:t>
                  </w:r>
                </w:p>
              </w:tc>
              <w:tc>
                <w:tcPr>
                  <w:tcW w:w="240" w:type="pct"/>
                  <w:vMerge w:val="continue"/>
                  <w:tcBorders>
                    <w:tl2br w:val="nil"/>
                    <w:tr2bl w:val="nil"/>
                  </w:tcBorders>
                  <w:noWrap/>
                  <w:vAlign w:val="center"/>
                </w:tcPr>
                <w:p w14:paraId="2A916A3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1AB128E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72" w:type="pct"/>
                  <w:tcBorders>
                    <w:tl2br w:val="nil"/>
                    <w:tr2bl w:val="nil"/>
                  </w:tcBorders>
                  <w:noWrap/>
                  <w:vAlign w:val="center"/>
                </w:tcPr>
                <w:p w14:paraId="216902B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33" w:type="pct"/>
                  <w:tcBorders>
                    <w:tl2br w:val="nil"/>
                    <w:tr2bl w:val="nil"/>
                  </w:tcBorders>
                  <w:noWrap/>
                  <w:vAlign w:val="center"/>
                </w:tcPr>
                <w:p w14:paraId="6B430D7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2C5EA4A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322C79A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53.98</w:t>
                  </w:r>
                </w:p>
              </w:tc>
              <w:tc>
                <w:tcPr>
                  <w:tcW w:w="433" w:type="pct"/>
                  <w:tcBorders>
                    <w:tl2br w:val="nil"/>
                    <w:tr2bl w:val="nil"/>
                  </w:tcBorders>
                  <w:noWrap/>
                  <w:vAlign w:val="center"/>
                </w:tcPr>
                <w:p w14:paraId="4EA400E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1BAFB28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42315608">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28.98</w:t>
                  </w:r>
                </w:p>
              </w:tc>
              <w:tc>
                <w:tcPr>
                  <w:tcW w:w="498" w:type="pct"/>
                  <w:tcBorders>
                    <w:tl2br w:val="nil"/>
                    <w:tr2bl w:val="nil"/>
                  </w:tcBorders>
                  <w:noWrap/>
                  <w:vAlign w:val="center"/>
                </w:tcPr>
                <w:p w14:paraId="11A8737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5694FE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21DA7240">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12</w:t>
                  </w:r>
                </w:p>
              </w:tc>
              <w:tc>
                <w:tcPr>
                  <w:tcW w:w="601" w:type="pct"/>
                  <w:tcBorders>
                    <w:tl2br w:val="nil"/>
                    <w:tr2bl w:val="nil"/>
                  </w:tcBorders>
                  <w:shd w:val="clear" w:color="auto" w:fill="auto"/>
                  <w:noWrap/>
                  <w:vAlign w:val="center"/>
                </w:tcPr>
                <w:p w14:paraId="6D0FA8E5">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切拔机</w:t>
                  </w:r>
                </w:p>
              </w:tc>
              <w:tc>
                <w:tcPr>
                  <w:tcW w:w="415" w:type="pct"/>
                  <w:tcBorders>
                    <w:tl2br w:val="nil"/>
                    <w:tr2bl w:val="nil"/>
                  </w:tcBorders>
                  <w:noWrap/>
                  <w:vAlign w:val="center"/>
                </w:tcPr>
                <w:p w14:paraId="4811A94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70</w:t>
                  </w:r>
                </w:p>
              </w:tc>
              <w:tc>
                <w:tcPr>
                  <w:tcW w:w="240" w:type="pct"/>
                  <w:vMerge w:val="continue"/>
                  <w:tcBorders>
                    <w:tl2br w:val="nil"/>
                    <w:tr2bl w:val="nil"/>
                  </w:tcBorders>
                  <w:noWrap/>
                  <w:vAlign w:val="center"/>
                </w:tcPr>
                <w:p w14:paraId="19E3903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5C78E60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65</w:t>
                  </w:r>
                </w:p>
              </w:tc>
              <w:tc>
                <w:tcPr>
                  <w:tcW w:w="272" w:type="pct"/>
                  <w:tcBorders>
                    <w:tl2br w:val="nil"/>
                    <w:tr2bl w:val="nil"/>
                  </w:tcBorders>
                  <w:noWrap/>
                  <w:vAlign w:val="center"/>
                </w:tcPr>
                <w:p w14:paraId="6BB14A8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33" w:type="pct"/>
                  <w:tcBorders>
                    <w:tl2br w:val="nil"/>
                    <w:tr2bl w:val="nil"/>
                  </w:tcBorders>
                  <w:noWrap/>
                  <w:vAlign w:val="center"/>
                </w:tcPr>
                <w:p w14:paraId="71EE403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CAC300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274AFF5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336C80E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2E8E316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17687634">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noWrap/>
                  <w:vAlign w:val="center"/>
                </w:tcPr>
                <w:p w14:paraId="0F201E0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163587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25" w:hRule="atLeast"/>
                <w:jc w:val="center"/>
              </w:trPr>
              <w:tc>
                <w:tcPr>
                  <w:tcW w:w="303" w:type="pct"/>
                  <w:tcBorders>
                    <w:tl2br w:val="nil"/>
                    <w:tr2bl w:val="nil"/>
                  </w:tcBorders>
                  <w:shd w:val="clear" w:color="auto" w:fill="auto"/>
                  <w:noWrap/>
                  <w:vAlign w:val="center"/>
                </w:tcPr>
                <w:p w14:paraId="32055B3D">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13</w:t>
                  </w:r>
                </w:p>
              </w:tc>
              <w:tc>
                <w:tcPr>
                  <w:tcW w:w="601" w:type="pct"/>
                  <w:tcBorders>
                    <w:tl2br w:val="nil"/>
                    <w:tr2bl w:val="nil"/>
                  </w:tcBorders>
                  <w:shd w:val="clear" w:color="auto" w:fill="auto"/>
                  <w:noWrap/>
                  <w:vAlign w:val="center"/>
                </w:tcPr>
                <w:p w14:paraId="065E7DB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研磨机</w:t>
                  </w:r>
                </w:p>
              </w:tc>
              <w:tc>
                <w:tcPr>
                  <w:tcW w:w="415" w:type="pct"/>
                  <w:tcBorders>
                    <w:tl2br w:val="nil"/>
                    <w:tr2bl w:val="nil"/>
                  </w:tcBorders>
                  <w:noWrap/>
                  <w:vAlign w:val="center"/>
                </w:tcPr>
                <w:p w14:paraId="26758B0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70</w:t>
                  </w:r>
                </w:p>
              </w:tc>
              <w:tc>
                <w:tcPr>
                  <w:tcW w:w="240" w:type="pct"/>
                  <w:vMerge w:val="continue"/>
                  <w:tcBorders>
                    <w:tl2br w:val="nil"/>
                    <w:tr2bl w:val="nil"/>
                  </w:tcBorders>
                  <w:noWrap/>
                  <w:vAlign w:val="center"/>
                </w:tcPr>
                <w:p w14:paraId="4AD49B5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229C3C7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58</w:t>
                  </w:r>
                </w:p>
              </w:tc>
              <w:tc>
                <w:tcPr>
                  <w:tcW w:w="272" w:type="pct"/>
                  <w:tcBorders>
                    <w:tl2br w:val="nil"/>
                    <w:tr2bl w:val="nil"/>
                  </w:tcBorders>
                  <w:noWrap/>
                  <w:vAlign w:val="center"/>
                </w:tcPr>
                <w:p w14:paraId="613E855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30</w:t>
                  </w:r>
                </w:p>
              </w:tc>
              <w:tc>
                <w:tcPr>
                  <w:tcW w:w="233" w:type="pct"/>
                  <w:tcBorders>
                    <w:tl2br w:val="nil"/>
                    <w:tr2bl w:val="nil"/>
                  </w:tcBorders>
                  <w:noWrap/>
                  <w:vAlign w:val="center"/>
                </w:tcPr>
                <w:p w14:paraId="26A8194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740CDF4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5B68A88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6C37ABC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1D97A93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6822E7FC">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noWrap/>
                  <w:vAlign w:val="center"/>
                </w:tcPr>
                <w:p w14:paraId="68C86B0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577604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1D5DB84A">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14</w:t>
                  </w:r>
                </w:p>
              </w:tc>
              <w:tc>
                <w:tcPr>
                  <w:tcW w:w="601" w:type="pct"/>
                  <w:tcBorders>
                    <w:tl2br w:val="nil"/>
                    <w:tr2bl w:val="nil"/>
                  </w:tcBorders>
                  <w:shd w:val="clear" w:color="auto" w:fill="auto"/>
                  <w:noWrap/>
                  <w:vAlign w:val="center"/>
                </w:tcPr>
                <w:p w14:paraId="7D73FC10">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水洗机</w:t>
                  </w:r>
                </w:p>
              </w:tc>
              <w:tc>
                <w:tcPr>
                  <w:tcW w:w="415" w:type="pct"/>
                  <w:tcBorders>
                    <w:tl2br w:val="nil"/>
                    <w:tr2bl w:val="nil"/>
                  </w:tcBorders>
                  <w:noWrap/>
                  <w:vAlign w:val="center"/>
                </w:tcPr>
                <w:p w14:paraId="2045AF5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65</w:t>
                  </w:r>
                </w:p>
              </w:tc>
              <w:tc>
                <w:tcPr>
                  <w:tcW w:w="240" w:type="pct"/>
                  <w:vMerge w:val="continue"/>
                  <w:tcBorders>
                    <w:tl2br w:val="nil"/>
                    <w:tr2bl w:val="nil"/>
                  </w:tcBorders>
                  <w:noWrap/>
                  <w:vAlign w:val="center"/>
                </w:tcPr>
                <w:p w14:paraId="6316BCA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10A5D48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70</w:t>
                  </w:r>
                </w:p>
              </w:tc>
              <w:tc>
                <w:tcPr>
                  <w:tcW w:w="272" w:type="pct"/>
                  <w:tcBorders>
                    <w:tl2br w:val="nil"/>
                    <w:tr2bl w:val="nil"/>
                  </w:tcBorders>
                  <w:noWrap/>
                  <w:vAlign w:val="center"/>
                </w:tcPr>
                <w:p w14:paraId="12758A5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33" w:type="pct"/>
                  <w:tcBorders>
                    <w:tl2br w:val="nil"/>
                    <w:tr2bl w:val="nil"/>
                  </w:tcBorders>
                  <w:noWrap/>
                  <w:vAlign w:val="center"/>
                </w:tcPr>
                <w:p w14:paraId="7C8C689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4EAC16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5E55E844">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58.98</w:t>
                  </w:r>
                </w:p>
              </w:tc>
              <w:tc>
                <w:tcPr>
                  <w:tcW w:w="433" w:type="pct"/>
                  <w:tcBorders>
                    <w:tl2br w:val="nil"/>
                    <w:tr2bl w:val="nil"/>
                  </w:tcBorders>
                  <w:noWrap/>
                  <w:vAlign w:val="center"/>
                </w:tcPr>
                <w:p w14:paraId="25B726AB">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5BA2B67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37A467C4">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33.98</w:t>
                  </w:r>
                </w:p>
              </w:tc>
              <w:tc>
                <w:tcPr>
                  <w:tcW w:w="498" w:type="pct"/>
                  <w:tcBorders>
                    <w:tl2br w:val="nil"/>
                    <w:tr2bl w:val="nil"/>
                  </w:tcBorders>
                  <w:noWrap/>
                  <w:vAlign w:val="center"/>
                </w:tcPr>
                <w:p w14:paraId="00D186C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3F0CBF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2BBCE5CA">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15</w:t>
                  </w:r>
                </w:p>
              </w:tc>
              <w:tc>
                <w:tcPr>
                  <w:tcW w:w="601" w:type="pct"/>
                  <w:tcBorders>
                    <w:tl2br w:val="nil"/>
                    <w:tr2bl w:val="nil"/>
                  </w:tcBorders>
                  <w:shd w:val="clear" w:color="auto" w:fill="auto"/>
                  <w:noWrap/>
                  <w:vAlign w:val="center"/>
                </w:tcPr>
                <w:p w14:paraId="421013DF">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UV照射机</w:t>
                  </w:r>
                </w:p>
              </w:tc>
              <w:tc>
                <w:tcPr>
                  <w:tcW w:w="415" w:type="pct"/>
                  <w:tcBorders>
                    <w:tl2br w:val="nil"/>
                    <w:tr2bl w:val="nil"/>
                  </w:tcBorders>
                  <w:noWrap/>
                  <w:vAlign w:val="center"/>
                </w:tcPr>
                <w:p w14:paraId="286B752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60</w:t>
                  </w:r>
                </w:p>
              </w:tc>
              <w:tc>
                <w:tcPr>
                  <w:tcW w:w="240" w:type="pct"/>
                  <w:vMerge w:val="continue"/>
                  <w:tcBorders>
                    <w:tl2br w:val="nil"/>
                    <w:tr2bl w:val="nil"/>
                  </w:tcBorders>
                  <w:noWrap/>
                  <w:vAlign w:val="center"/>
                </w:tcPr>
                <w:p w14:paraId="282DE9F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7250931C">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115</w:t>
                  </w:r>
                </w:p>
              </w:tc>
              <w:tc>
                <w:tcPr>
                  <w:tcW w:w="272" w:type="pct"/>
                  <w:tcBorders>
                    <w:tl2br w:val="nil"/>
                    <w:tr2bl w:val="nil"/>
                  </w:tcBorders>
                  <w:noWrap/>
                  <w:vAlign w:val="center"/>
                </w:tcPr>
                <w:p w14:paraId="163B890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33" w:type="pct"/>
                  <w:tcBorders>
                    <w:tl2br w:val="nil"/>
                    <w:tr2bl w:val="nil"/>
                  </w:tcBorders>
                  <w:noWrap/>
                  <w:vAlign w:val="center"/>
                </w:tcPr>
                <w:p w14:paraId="24ACF61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0943268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7921928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53.98</w:t>
                  </w:r>
                </w:p>
              </w:tc>
              <w:tc>
                <w:tcPr>
                  <w:tcW w:w="433" w:type="pct"/>
                  <w:tcBorders>
                    <w:tl2br w:val="nil"/>
                    <w:tr2bl w:val="nil"/>
                  </w:tcBorders>
                  <w:noWrap/>
                  <w:vAlign w:val="center"/>
                </w:tcPr>
                <w:p w14:paraId="0E39CB6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0D76CD7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0DA43780">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28.98</w:t>
                  </w:r>
                </w:p>
              </w:tc>
              <w:tc>
                <w:tcPr>
                  <w:tcW w:w="498" w:type="pct"/>
                  <w:tcBorders>
                    <w:tl2br w:val="nil"/>
                    <w:tr2bl w:val="nil"/>
                  </w:tcBorders>
                  <w:noWrap/>
                  <w:vAlign w:val="center"/>
                </w:tcPr>
                <w:p w14:paraId="20108F2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0641E2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6ACC4642">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ascii="Times New Roman" w:hAnsi="Times New Roman" w:eastAsia="宋体" w:cs="Times New Roman"/>
                      <w:bCs/>
                      <w:color w:val="auto"/>
                      <w:kern w:val="2"/>
                      <w:sz w:val="21"/>
                      <w:szCs w:val="21"/>
                      <w:lang w:val="en-US" w:eastAsia="zh-CN" w:bidi="ar-SA"/>
                    </w:rPr>
                  </w:pPr>
                  <w:r>
                    <w:rPr>
                      <w:rFonts w:hint="eastAsia" w:cs="Times New Roman"/>
                      <w:bCs/>
                      <w:color w:val="auto"/>
                      <w:kern w:val="2"/>
                      <w:sz w:val="21"/>
                      <w:szCs w:val="21"/>
                      <w:lang w:val="en-US" w:eastAsia="zh-CN" w:bidi="ar-SA"/>
                    </w:rPr>
                    <w:t>16</w:t>
                  </w:r>
                </w:p>
              </w:tc>
              <w:tc>
                <w:tcPr>
                  <w:tcW w:w="601" w:type="pct"/>
                  <w:tcBorders>
                    <w:tl2br w:val="nil"/>
                    <w:tr2bl w:val="nil"/>
                  </w:tcBorders>
                  <w:shd w:val="clear" w:color="auto" w:fill="auto"/>
                  <w:noWrap/>
                  <w:vAlign w:val="center"/>
                </w:tcPr>
                <w:p w14:paraId="4750912B">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sz w:val="21"/>
                      <w:szCs w:val="21"/>
                      <w:lang w:val="en-US" w:eastAsia="zh-CN"/>
                    </w:rPr>
                    <w:t>喷涂机</w:t>
                  </w:r>
                </w:p>
              </w:tc>
              <w:tc>
                <w:tcPr>
                  <w:tcW w:w="415" w:type="pct"/>
                  <w:tcBorders>
                    <w:tl2br w:val="nil"/>
                    <w:tr2bl w:val="nil"/>
                  </w:tcBorders>
                  <w:noWrap/>
                  <w:vAlign w:val="center"/>
                </w:tcPr>
                <w:p w14:paraId="257F141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70</w:t>
                  </w:r>
                </w:p>
              </w:tc>
              <w:tc>
                <w:tcPr>
                  <w:tcW w:w="240" w:type="pct"/>
                  <w:vMerge w:val="continue"/>
                  <w:tcBorders>
                    <w:tl2br w:val="nil"/>
                    <w:tr2bl w:val="nil"/>
                  </w:tcBorders>
                  <w:noWrap/>
                  <w:vAlign w:val="center"/>
                </w:tcPr>
                <w:p w14:paraId="0573A358">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71D6254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95</w:t>
                  </w:r>
                </w:p>
              </w:tc>
              <w:tc>
                <w:tcPr>
                  <w:tcW w:w="272" w:type="pct"/>
                  <w:tcBorders>
                    <w:tl2br w:val="nil"/>
                    <w:tr2bl w:val="nil"/>
                  </w:tcBorders>
                  <w:noWrap/>
                  <w:vAlign w:val="center"/>
                </w:tcPr>
                <w:p w14:paraId="19F7346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w:t>
                  </w:r>
                </w:p>
              </w:tc>
              <w:tc>
                <w:tcPr>
                  <w:tcW w:w="233" w:type="pct"/>
                  <w:tcBorders>
                    <w:tl2br w:val="nil"/>
                    <w:tr2bl w:val="nil"/>
                  </w:tcBorders>
                  <w:noWrap/>
                  <w:vAlign w:val="center"/>
                </w:tcPr>
                <w:p w14:paraId="20CBB93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noWrap/>
                  <w:vAlign w:val="center"/>
                </w:tcPr>
                <w:p w14:paraId="110364F6">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7B11E6C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23CFDD8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5E2C590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71A50D51">
                  <w:pPr>
                    <w:keepNext w:val="0"/>
                    <w:keepLines w:val="0"/>
                    <w:widowControl/>
                    <w:suppressLineNumbers w:val="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noWrap/>
                  <w:vAlign w:val="center"/>
                </w:tcPr>
                <w:p w14:paraId="455DD67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2</w:t>
                  </w:r>
                </w:p>
              </w:tc>
            </w:tr>
            <w:tr w14:paraId="2649DD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793F8C20">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cs="Times New Roman"/>
                      <w:bCs/>
                      <w:color w:val="auto"/>
                      <w:kern w:val="2"/>
                      <w:sz w:val="21"/>
                      <w:szCs w:val="21"/>
                      <w:lang w:val="en-US" w:eastAsia="zh-CN" w:bidi="ar-SA"/>
                    </w:rPr>
                  </w:pPr>
                  <w:r>
                    <w:rPr>
                      <w:rFonts w:hint="eastAsia" w:cs="Times New Roman"/>
                      <w:bCs/>
                      <w:color w:val="auto"/>
                      <w:kern w:val="2"/>
                      <w:sz w:val="21"/>
                      <w:szCs w:val="21"/>
                      <w:lang w:val="en-US" w:eastAsia="zh-CN" w:bidi="ar-SA"/>
                    </w:rPr>
                    <w:t>17</w:t>
                  </w:r>
                </w:p>
              </w:tc>
              <w:tc>
                <w:tcPr>
                  <w:tcW w:w="601" w:type="pct"/>
                  <w:tcBorders>
                    <w:tl2br w:val="nil"/>
                    <w:tr2bl w:val="nil"/>
                  </w:tcBorders>
                  <w:shd w:val="clear" w:color="auto" w:fill="auto"/>
                  <w:noWrap/>
                  <w:vAlign w:val="center"/>
                </w:tcPr>
                <w:p w14:paraId="50F46ED2">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成型机</w:t>
                  </w:r>
                </w:p>
              </w:tc>
              <w:tc>
                <w:tcPr>
                  <w:tcW w:w="415" w:type="pct"/>
                  <w:tcBorders>
                    <w:tl2br w:val="nil"/>
                    <w:tr2bl w:val="nil"/>
                  </w:tcBorders>
                  <w:noWrap/>
                  <w:vAlign w:val="center"/>
                </w:tcPr>
                <w:p w14:paraId="4BC88925">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80</w:t>
                  </w:r>
                </w:p>
              </w:tc>
              <w:tc>
                <w:tcPr>
                  <w:tcW w:w="240" w:type="pct"/>
                  <w:vMerge w:val="continue"/>
                  <w:tcBorders>
                    <w:tl2br w:val="nil"/>
                    <w:tr2bl w:val="nil"/>
                  </w:tcBorders>
                  <w:noWrap/>
                  <w:vAlign w:val="center"/>
                </w:tcPr>
                <w:p w14:paraId="5C8ADC42">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7150B3AD">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50</w:t>
                  </w:r>
                </w:p>
              </w:tc>
              <w:tc>
                <w:tcPr>
                  <w:tcW w:w="272" w:type="pct"/>
                  <w:tcBorders>
                    <w:tl2br w:val="nil"/>
                    <w:tr2bl w:val="nil"/>
                  </w:tcBorders>
                  <w:noWrap/>
                  <w:vAlign w:val="center"/>
                </w:tcPr>
                <w:p w14:paraId="6BD3C48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110</w:t>
                  </w:r>
                </w:p>
              </w:tc>
              <w:tc>
                <w:tcPr>
                  <w:tcW w:w="233" w:type="pct"/>
                  <w:tcBorders>
                    <w:tl2br w:val="nil"/>
                    <w:tr2bl w:val="nil"/>
                  </w:tcBorders>
                  <w:shd w:val="clear" w:color="auto" w:fill="auto"/>
                  <w:noWrap/>
                  <w:vAlign w:val="center"/>
                </w:tcPr>
                <w:p w14:paraId="4E07A87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bidi="ar-SA"/>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shd w:val="clear" w:color="auto" w:fill="auto"/>
                  <w:noWrap/>
                  <w:vAlign w:val="center"/>
                </w:tcPr>
                <w:p w14:paraId="0C2F2EF2">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shd w:val="clear" w:color="auto" w:fill="auto"/>
                  <w:noWrap/>
                  <w:vAlign w:val="center"/>
                </w:tcPr>
                <w:p w14:paraId="1BE14609">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73.98</w:t>
                  </w:r>
                </w:p>
              </w:tc>
              <w:tc>
                <w:tcPr>
                  <w:tcW w:w="433" w:type="pct"/>
                  <w:tcBorders>
                    <w:tl2br w:val="nil"/>
                    <w:tr2bl w:val="nil"/>
                  </w:tcBorders>
                  <w:shd w:val="clear" w:color="auto" w:fill="auto"/>
                  <w:noWrap/>
                  <w:vAlign w:val="center"/>
                </w:tcPr>
                <w:p w14:paraId="0EF53706">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shd w:val="clear" w:color="auto" w:fill="auto"/>
                  <w:noWrap/>
                  <w:vAlign w:val="center"/>
                </w:tcPr>
                <w:p w14:paraId="7F8268B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shd w:val="clear" w:color="auto" w:fill="auto"/>
                  <w:noWrap/>
                  <w:vAlign w:val="center"/>
                </w:tcPr>
                <w:p w14:paraId="156FD05C">
                  <w:pPr>
                    <w:keepNext w:val="0"/>
                    <w:keepLines w:val="0"/>
                    <w:widowControl/>
                    <w:suppressLineNumbers w:val="0"/>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48.98</w:t>
                  </w:r>
                </w:p>
              </w:tc>
              <w:tc>
                <w:tcPr>
                  <w:tcW w:w="498" w:type="pct"/>
                  <w:tcBorders>
                    <w:tl2br w:val="nil"/>
                    <w:tr2bl w:val="nil"/>
                  </w:tcBorders>
                  <w:shd w:val="clear" w:color="auto" w:fill="auto"/>
                  <w:noWrap/>
                  <w:vAlign w:val="center"/>
                </w:tcPr>
                <w:p w14:paraId="6B283C91">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w:t>
                  </w:r>
                </w:p>
              </w:tc>
            </w:tr>
            <w:tr w14:paraId="4F5CB9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5048947B">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cs="Times New Roman"/>
                      <w:bCs/>
                      <w:color w:val="auto"/>
                      <w:kern w:val="2"/>
                      <w:sz w:val="21"/>
                      <w:szCs w:val="21"/>
                      <w:lang w:val="en-US" w:eastAsia="zh-CN" w:bidi="ar-SA"/>
                    </w:rPr>
                  </w:pPr>
                  <w:r>
                    <w:rPr>
                      <w:rFonts w:hint="eastAsia" w:cs="Times New Roman"/>
                      <w:bCs/>
                      <w:color w:val="auto"/>
                      <w:kern w:val="2"/>
                      <w:sz w:val="21"/>
                      <w:szCs w:val="21"/>
                      <w:lang w:val="en-US" w:eastAsia="zh-CN" w:bidi="ar-SA"/>
                    </w:rPr>
                    <w:t>18</w:t>
                  </w:r>
                </w:p>
              </w:tc>
              <w:tc>
                <w:tcPr>
                  <w:tcW w:w="601" w:type="pct"/>
                  <w:tcBorders>
                    <w:tl2br w:val="nil"/>
                    <w:tr2bl w:val="nil"/>
                  </w:tcBorders>
                  <w:shd w:val="clear" w:color="auto" w:fill="auto"/>
                  <w:noWrap/>
                  <w:vAlign w:val="center"/>
                </w:tcPr>
                <w:p w14:paraId="5EF4EFFE">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磨边机</w:t>
                  </w:r>
                </w:p>
              </w:tc>
              <w:tc>
                <w:tcPr>
                  <w:tcW w:w="415" w:type="pct"/>
                  <w:tcBorders>
                    <w:tl2br w:val="nil"/>
                    <w:tr2bl w:val="nil"/>
                  </w:tcBorders>
                  <w:noWrap/>
                  <w:vAlign w:val="center"/>
                </w:tcPr>
                <w:p w14:paraId="48B50FFF">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70</w:t>
                  </w:r>
                </w:p>
              </w:tc>
              <w:tc>
                <w:tcPr>
                  <w:tcW w:w="240" w:type="pct"/>
                  <w:vMerge w:val="continue"/>
                  <w:tcBorders>
                    <w:tl2br w:val="nil"/>
                    <w:tr2bl w:val="nil"/>
                  </w:tcBorders>
                  <w:noWrap/>
                  <w:vAlign w:val="center"/>
                </w:tcPr>
                <w:p w14:paraId="28F6823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669DB25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45</w:t>
                  </w:r>
                </w:p>
              </w:tc>
              <w:tc>
                <w:tcPr>
                  <w:tcW w:w="272" w:type="pct"/>
                  <w:tcBorders>
                    <w:tl2br w:val="nil"/>
                    <w:tr2bl w:val="nil"/>
                  </w:tcBorders>
                  <w:noWrap/>
                  <w:vAlign w:val="center"/>
                </w:tcPr>
                <w:p w14:paraId="098F16E3">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110</w:t>
                  </w:r>
                </w:p>
              </w:tc>
              <w:tc>
                <w:tcPr>
                  <w:tcW w:w="233" w:type="pct"/>
                  <w:tcBorders>
                    <w:tl2br w:val="nil"/>
                    <w:tr2bl w:val="nil"/>
                  </w:tcBorders>
                  <w:shd w:val="clear" w:color="auto" w:fill="auto"/>
                  <w:noWrap/>
                  <w:vAlign w:val="center"/>
                </w:tcPr>
                <w:p w14:paraId="754A275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bidi="ar-SA"/>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shd w:val="clear" w:color="auto" w:fill="auto"/>
                  <w:noWrap/>
                  <w:vAlign w:val="center"/>
                </w:tcPr>
                <w:p w14:paraId="2AC2CADF">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1B793C8A">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45644B41">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60007DE1">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6E291DCA">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noWrap/>
                  <w:vAlign w:val="center"/>
                </w:tcPr>
                <w:p w14:paraId="71C8A30C">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w:t>
                  </w:r>
                </w:p>
              </w:tc>
            </w:tr>
            <w:tr w14:paraId="396B98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03" w:type="pct"/>
                  <w:tcBorders>
                    <w:tl2br w:val="nil"/>
                    <w:tr2bl w:val="nil"/>
                  </w:tcBorders>
                  <w:shd w:val="clear" w:color="auto" w:fill="auto"/>
                  <w:noWrap/>
                  <w:vAlign w:val="center"/>
                </w:tcPr>
                <w:p w14:paraId="7071ABED">
                  <w:pPr>
                    <w:keepNext w:val="0"/>
                    <w:keepLines w:val="0"/>
                    <w:pageBreakBefore w:val="0"/>
                    <w:widowControl w:val="0"/>
                    <w:kinsoku/>
                    <w:wordWrap/>
                    <w:overflowPunct/>
                    <w:topLinePunct w:val="0"/>
                    <w:autoSpaceDE/>
                    <w:autoSpaceDN w:val="0"/>
                    <w:bidi w:val="0"/>
                    <w:snapToGrid w:val="0"/>
                    <w:spacing w:line="360" w:lineRule="exact"/>
                    <w:jc w:val="center"/>
                    <w:textAlignment w:val="center"/>
                    <w:rPr>
                      <w:rFonts w:hint="default" w:cs="Times New Roman"/>
                      <w:bCs/>
                      <w:color w:val="auto"/>
                      <w:kern w:val="2"/>
                      <w:sz w:val="21"/>
                      <w:szCs w:val="21"/>
                      <w:lang w:val="en-US" w:eastAsia="zh-CN" w:bidi="ar-SA"/>
                    </w:rPr>
                  </w:pPr>
                  <w:r>
                    <w:rPr>
                      <w:rFonts w:hint="eastAsia" w:cs="Times New Roman"/>
                      <w:bCs/>
                      <w:color w:val="auto"/>
                      <w:kern w:val="2"/>
                      <w:sz w:val="21"/>
                      <w:szCs w:val="21"/>
                      <w:lang w:val="en-US" w:eastAsia="zh-CN" w:bidi="ar-SA"/>
                    </w:rPr>
                    <w:t>19</w:t>
                  </w:r>
                </w:p>
              </w:tc>
              <w:tc>
                <w:tcPr>
                  <w:tcW w:w="601" w:type="pct"/>
                  <w:tcBorders>
                    <w:tl2br w:val="nil"/>
                    <w:tr2bl w:val="nil"/>
                  </w:tcBorders>
                  <w:shd w:val="clear" w:color="auto" w:fill="auto"/>
                  <w:noWrap/>
                  <w:vAlign w:val="center"/>
                </w:tcPr>
                <w:p w14:paraId="758D7CDA">
                  <w:pPr>
                    <w:keepNext w:val="0"/>
                    <w:keepLines w:val="0"/>
                    <w:pageBreakBefore w:val="0"/>
                    <w:widowControl w:val="0"/>
                    <w:kinsoku/>
                    <w:wordWrap w:val="0"/>
                    <w:overflowPunct/>
                    <w:topLinePunct w:val="0"/>
                    <w:autoSpaceDE w:val="0"/>
                    <w:autoSpaceDN w:val="0"/>
                    <w:bidi w:val="0"/>
                    <w:snapToGrid/>
                    <w:spacing w:line="360" w:lineRule="exact"/>
                    <w:ind w:left="0" w:leftChars="0" w:firstLine="102" w:firstLineChars="49"/>
                    <w:jc w:val="center"/>
                    <w:textAlignment w:val="auto"/>
                    <w:outlineLvl w:val="9"/>
                    <w:rPr>
                      <w:rFonts w:hint="default" w:ascii="Times New Roman" w:hAnsi="Times New Roman" w:eastAsia="宋体" w:cs="Times New Roman"/>
                      <w:color w:val="auto"/>
                      <w:w w:val="100"/>
                      <w:kern w:val="2"/>
                      <w:sz w:val="21"/>
                      <w:szCs w:val="21"/>
                      <w:lang w:val="en-US" w:eastAsia="zh-CN" w:bidi="ar-SA"/>
                    </w:rPr>
                  </w:pPr>
                  <w:r>
                    <w:rPr>
                      <w:rFonts w:hint="eastAsia" w:cs="Times New Roman"/>
                      <w:color w:val="auto"/>
                      <w:w w:val="100"/>
                      <w:sz w:val="21"/>
                      <w:szCs w:val="21"/>
                      <w:lang w:val="en-US" w:eastAsia="zh-CN"/>
                    </w:rPr>
                    <w:t>刻字机</w:t>
                  </w:r>
                </w:p>
              </w:tc>
              <w:tc>
                <w:tcPr>
                  <w:tcW w:w="415" w:type="pct"/>
                  <w:tcBorders>
                    <w:tl2br w:val="nil"/>
                    <w:tr2bl w:val="nil"/>
                  </w:tcBorders>
                  <w:noWrap/>
                  <w:vAlign w:val="center"/>
                </w:tcPr>
                <w:p w14:paraId="6017ED8B">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bCs/>
                      <w:color w:val="auto"/>
                      <w:kern w:val="0"/>
                      <w:sz w:val="21"/>
                      <w:szCs w:val="21"/>
                      <w:lang w:val="en-US" w:eastAsia="zh-CN"/>
                    </w:rPr>
                  </w:pPr>
                  <w:r>
                    <w:rPr>
                      <w:rFonts w:hint="eastAsia" w:ascii="Times New Roman" w:hAnsi="Times New Roman" w:eastAsia="宋体" w:cs="Times New Roman"/>
                      <w:bCs/>
                      <w:color w:val="auto"/>
                      <w:kern w:val="0"/>
                      <w:sz w:val="21"/>
                      <w:szCs w:val="21"/>
                      <w:lang w:val="en-US" w:eastAsia="zh-CN"/>
                    </w:rPr>
                    <w:t>70</w:t>
                  </w:r>
                </w:p>
              </w:tc>
              <w:tc>
                <w:tcPr>
                  <w:tcW w:w="240" w:type="pct"/>
                  <w:vMerge w:val="continue"/>
                  <w:tcBorders>
                    <w:tl2br w:val="nil"/>
                    <w:tr2bl w:val="nil"/>
                  </w:tcBorders>
                  <w:noWrap/>
                  <w:vAlign w:val="center"/>
                </w:tcPr>
                <w:p w14:paraId="36B2F715">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rPr>
                  </w:pPr>
                </w:p>
              </w:tc>
              <w:tc>
                <w:tcPr>
                  <w:tcW w:w="296" w:type="pct"/>
                  <w:tcBorders>
                    <w:tl2br w:val="nil"/>
                    <w:tr2bl w:val="nil"/>
                  </w:tcBorders>
                  <w:noWrap/>
                  <w:vAlign w:val="center"/>
                </w:tcPr>
                <w:p w14:paraId="4433B3AF">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40</w:t>
                  </w:r>
                </w:p>
              </w:tc>
              <w:tc>
                <w:tcPr>
                  <w:tcW w:w="272" w:type="pct"/>
                  <w:tcBorders>
                    <w:tl2br w:val="nil"/>
                    <w:tr2bl w:val="nil"/>
                  </w:tcBorders>
                  <w:noWrap/>
                  <w:vAlign w:val="center"/>
                </w:tcPr>
                <w:p w14:paraId="3395CB7F">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110</w:t>
                  </w:r>
                </w:p>
              </w:tc>
              <w:tc>
                <w:tcPr>
                  <w:tcW w:w="233" w:type="pct"/>
                  <w:tcBorders>
                    <w:tl2br w:val="nil"/>
                    <w:tr2bl w:val="nil"/>
                  </w:tcBorders>
                  <w:shd w:val="clear" w:color="auto" w:fill="auto"/>
                  <w:noWrap/>
                  <w:vAlign w:val="center"/>
                </w:tcPr>
                <w:p w14:paraId="40265C8E">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bCs/>
                      <w:color w:val="auto"/>
                      <w:kern w:val="0"/>
                      <w:sz w:val="21"/>
                      <w:szCs w:val="21"/>
                      <w:lang w:val="en-US" w:eastAsia="zh-CN" w:bidi="ar-SA"/>
                    </w:rPr>
                  </w:pPr>
                  <w:r>
                    <w:rPr>
                      <w:rFonts w:hint="default" w:ascii="Times New Roman" w:hAnsi="Times New Roman" w:eastAsia="宋体" w:cs="Times New Roman"/>
                      <w:bCs/>
                      <w:color w:val="auto"/>
                      <w:kern w:val="0"/>
                      <w:sz w:val="21"/>
                      <w:szCs w:val="21"/>
                    </w:rPr>
                    <w:t>1</w:t>
                  </w:r>
                </w:p>
              </w:tc>
              <w:tc>
                <w:tcPr>
                  <w:tcW w:w="318" w:type="pct"/>
                  <w:tcBorders>
                    <w:tl2br w:val="nil"/>
                    <w:tr2bl w:val="nil"/>
                  </w:tcBorders>
                  <w:shd w:val="clear" w:color="auto" w:fill="auto"/>
                  <w:noWrap/>
                  <w:vAlign w:val="center"/>
                </w:tcPr>
                <w:p w14:paraId="53423648">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2</w:t>
                  </w:r>
                </w:p>
              </w:tc>
              <w:tc>
                <w:tcPr>
                  <w:tcW w:w="461" w:type="pct"/>
                  <w:tcBorders>
                    <w:tl2br w:val="nil"/>
                    <w:tr2bl w:val="nil"/>
                  </w:tcBorders>
                  <w:noWrap/>
                  <w:vAlign w:val="center"/>
                </w:tcPr>
                <w:p w14:paraId="73513C27">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63.98</w:t>
                  </w:r>
                </w:p>
              </w:tc>
              <w:tc>
                <w:tcPr>
                  <w:tcW w:w="433" w:type="pct"/>
                  <w:tcBorders>
                    <w:tl2br w:val="nil"/>
                    <w:tr2bl w:val="nil"/>
                  </w:tcBorders>
                  <w:noWrap/>
                  <w:vAlign w:val="center"/>
                </w:tcPr>
                <w:p w14:paraId="0AB9DEF7">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16</w:t>
                  </w:r>
                  <w:r>
                    <w:rPr>
                      <w:rFonts w:hint="default" w:ascii="Times New Roman" w:hAnsi="Times New Roman" w:eastAsia="宋体" w:cs="Times New Roman"/>
                      <w:color w:val="auto"/>
                      <w:kern w:val="0"/>
                      <w:sz w:val="21"/>
                      <w:szCs w:val="21"/>
                    </w:rPr>
                    <w:t>h/d</w:t>
                  </w:r>
                </w:p>
              </w:tc>
              <w:tc>
                <w:tcPr>
                  <w:tcW w:w="433" w:type="pct"/>
                  <w:tcBorders>
                    <w:tl2br w:val="nil"/>
                    <w:tr2bl w:val="nil"/>
                  </w:tcBorders>
                  <w:noWrap/>
                  <w:vAlign w:val="center"/>
                </w:tcPr>
                <w:p w14:paraId="69851D20">
                  <w:pPr>
                    <w:keepNext w:val="0"/>
                    <w:keepLines w:val="0"/>
                    <w:pageBreakBefore w:val="0"/>
                    <w:widowControl w:val="0"/>
                    <w:kinsoku/>
                    <w:wordWrap/>
                    <w:overflowPunct/>
                    <w:topLinePunct w:val="0"/>
                    <w:autoSpaceDE/>
                    <w:bidi w:val="0"/>
                    <w:adjustRightInd w:val="0"/>
                    <w:spacing w:line="360" w:lineRule="exact"/>
                    <w:jc w:val="center"/>
                    <w:textAlignment w:val="baseline"/>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r>
                    <w:rPr>
                      <w:rFonts w:hint="eastAsia" w:ascii="Times New Roman" w:hAnsi="Times New Roman" w:eastAsia="宋体" w:cs="Times New Roman"/>
                      <w:color w:val="auto"/>
                      <w:kern w:val="0"/>
                      <w:sz w:val="21"/>
                      <w:szCs w:val="21"/>
                      <w:lang w:val="en-US" w:eastAsia="zh-CN"/>
                    </w:rPr>
                    <w:t>5</w:t>
                  </w:r>
                </w:p>
              </w:tc>
              <w:tc>
                <w:tcPr>
                  <w:tcW w:w="492" w:type="pct"/>
                  <w:tcBorders>
                    <w:tl2br w:val="nil"/>
                    <w:tr2bl w:val="nil"/>
                  </w:tcBorders>
                  <w:noWrap/>
                  <w:vAlign w:val="center"/>
                </w:tcPr>
                <w:p w14:paraId="6471F512">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38.98</w:t>
                  </w:r>
                </w:p>
              </w:tc>
              <w:tc>
                <w:tcPr>
                  <w:tcW w:w="498" w:type="pct"/>
                  <w:tcBorders>
                    <w:tl2br w:val="nil"/>
                    <w:tr2bl w:val="nil"/>
                  </w:tcBorders>
                  <w:noWrap/>
                  <w:vAlign w:val="center"/>
                </w:tcPr>
                <w:p w14:paraId="2ECDBC42">
                  <w:pPr>
                    <w:keepNext w:val="0"/>
                    <w:keepLines w:val="0"/>
                    <w:pageBreakBefore w:val="0"/>
                    <w:widowControl w:val="0"/>
                    <w:kinsoku/>
                    <w:wordWrap/>
                    <w:overflowPunct/>
                    <w:topLinePunct w:val="0"/>
                    <w:autoSpaceDE/>
                    <w:bidi w:val="0"/>
                    <w:adjustRightInd w:val="0"/>
                    <w:spacing w:line="360" w:lineRule="exact"/>
                    <w:jc w:val="center"/>
                    <w:textAlignment w:val="baseline"/>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w:t>
                  </w:r>
                </w:p>
              </w:tc>
            </w:tr>
          </w:tbl>
          <w:p w14:paraId="5860ACBB">
            <w:pPr>
              <w:spacing w:line="500" w:lineRule="exact"/>
              <w:ind w:firstLine="422" w:firstLineChars="200"/>
              <w:rPr>
                <w:rFonts w:hint="default" w:ascii="Times New Roman" w:hAnsi="Times New Roman" w:eastAsia="宋体" w:cs="Times New Roman"/>
                <w:b/>
                <w:color w:val="auto"/>
                <w:kern w:val="0"/>
                <w:szCs w:val="21"/>
              </w:rPr>
            </w:pPr>
            <w:r>
              <w:rPr>
                <w:rFonts w:hint="default" w:ascii="Times New Roman" w:hAnsi="Times New Roman" w:eastAsia="宋体" w:cs="Times New Roman"/>
                <w:b/>
                <w:color w:val="auto"/>
                <w:kern w:val="0"/>
                <w:szCs w:val="21"/>
              </w:rPr>
              <w:t>注：坐标系建立以生产车间西南角为坐标原点（x=0.00；y=0.00），x轴正向为正东向，y轴正向为正北向。</w:t>
            </w:r>
          </w:p>
          <w:p w14:paraId="2BED635C">
            <w:pPr>
              <w:widowControl w:val="0"/>
              <w:autoSpaceDE w:val="0"/>
              <w:autoSpaceDN w:val="0"/>
              <w:adjustRightInd w:val="0"/>
              <w:spacing w:line="500" w:lineRule="exact"/>
              <w:ind w:firstLine="442" w:firstLineChars="200"/>
              <w:jc w:val="center"/>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表4.3-2   拟建项目噪声源强调查清单（室外声源）</w:t>
            </w:r>
          </w:p>
          <w:tbl>
            <w:tblPr>
              <w:tblStyle w:val="44"/>
              <w:tblpPr w:leftFromText="180" w:rightFromText="180" w:vertAnchor="text" w:tblpXSpec="center" w:tblpY="1"/>
              <w:tblOverlap w:val="never"/>
              <w:tblW w:w="4993"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454"/>
              <w:gridCol w:w="1050"/>
              <w:gridCol w:w="1125"/>
              <w:gridCol w:w="1237"/>
              <w:gridCol w:w="1225"/>
              <w:gridCol w:w="1088"/>
              <w:gridCol w:w="2000"/>
              <w:gridCol w:w="3600"/>
              <w:gridCol w:w="1105"/>
            </w:tblGrid>
            <w:tr w14:paraId="3140C2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23" w:type="pct"/>
                  <w:vMerge w:val="restart"/>
                  <w:tcBorders>
                    <w:tl2br w:val="nil"/>
                    <w:tr2bl w:val="nil"/>
                  </w:tcBorders>
                  <w:vAlign w:val="center"/>
                </w:tcPr>
                <w:p w14:paraId="6504627B">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声源名称</w:t>
                  </w:r>
                </w:p>
              </w:tc>
              <w:tc>
                <w:tcPr>
                  <w:tcW w:w="378" w:type="pct"/>
                  <w:vMerge w:val="restart"/>
                  <w:tcBorders>
                    <w:tl2br w:val="nil"/>
                    <w:tr2bl w:val="nil"/>
                  </w:tcBorders>
                  <w:vAlign w:val="center"/>
                </w:tcPr>
                <w:p w14:paraId="386EA2D3">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型号</w:t>
                  </w:r>
                </w:p>
              </w:tc>
              <w:tc>
                <w:tcPr>
                  <w:tcW w:w="405" w:type="pct"/>
                  <w:vMerge w:val="restart"/>
                  <w:tcBorders>
                    <w:tl2br w:val="nil"/>
                    <w:tr2bl w:val="nil"/>
                  </w:tcBorders>
                  <w:vAlign w:val="center"/>
                </w:tcPr>
                <w:p w14:paraId="167D5ACD">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数量</w:t>
                  </w:r>
                </w:p>
              </w:tc>
              <w:tc>
                <w:tcPr>
                  <w:tcW w:w="1278" w:type="pct"/>
                  <w:gridSpan w:val="3"/>
                  <w:tcBorders>
                    <w:tl2br w:val="nil"/>
                    <w:tr2bl w:val="nil"/>
                  </w:tcBorders>
                  <w:vAlign w:val="center"/>
                </w:tcPr>
                <w:p w14:paraId="0F9D9707">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空间相对位置</w:t>
                  </w:r>
                </w:p>
              </w:tc>
              <w:tc>
                <w:tcPr>
                  <w:tcW w:w="720" w:type="pct"/>
                  <w:tcBorders>
                    <w:tl2br w:val="nil"/>
                    <w:tr2bl w:val="nil"/>
                  </w:tcBorders>
                  <w:vAlign w:val="center"/>
                </w:tcPr>
                <w:p w14:paraId="4280147F">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声源源强</w:t>
                  </w:r>
                </w:p>
              </w:tc>
              <w:tc>
                <w:tcPr>
                  <w:tcW w:w="1296" w:type="pct"/>
                  <w:vMerge w:val="restart"/>
                  <w:tcBorders>
                    <w:tl2br w:val="nil"/>
                    <w:tr2bl w:val="nil"/>
                  </w:tcBorders>
                  <w:vAlign w:val="center"/>
                </w:tcPr>
                <w:p w14:paraId="2870F932">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声源控制措施</w:t>
                  </w:r>
                </w:p>
              </w:tc>
              <w:tc>
                <w:tcPr>
                  <w:tcW w:w="397" w:type="pct"/>
                  <w:vMerge w:val="restart"/>
                  <w:tcBorders>
                    <w:tl2br w:val="nil"/>
                    <w:tr2bl w:val="nil"/>
                  </w:tcBorders>
                  <w:vAlign w:val="center"/>
                </w:tcPr>
                <w:p w14:paraId="5EBC475B">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运行时段</w:t>
                  </w:r>
                </w:p>
              </w:tc>
            </w:tr>
            <w:tr w14:paraId="351AB8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23" w:type="pct"/>
                  <w:vMerge w:val="continue"/>
                  <w:tcBorders>
                    <w:tl2br w:val="nil"/>
                    <w:tr2bl w:val="nil"/>
                  </w:tcBorders>
                  <w:vAlign w:val="center"/>
                </w:tcPr>
                <w:p w14:paraId="4B051752">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p>
              </w:tc>
              <w:tc>
                <w:tcPr>
                  <w:tcW w:w="378" w:type="pct"/>
                  <w:vMerge w:val="continue"/>
                  <w:tcBorders>
                    <w:tl2br w:val="nil"/>
                    <w:tr2bl w:val="nil"/>
                  </w:tcBorders>
                  <w:vAlign w:val="center"/>
                </w:tcPr>
                <w:p w14:paraId="1736CCE5">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p>
              </w:tc>
              <w:tc>
                <w:tcPr>
                  <w:tcW w:w="405" w:type="pct"/>
                  <w:vMerge w:val="continue"/>
                  <w:tcBorders>
                    <w:tl2br w:val="nil"/>
                    <w:tr2bl w:val="nil"/>
                  </w:tcBorders>
                  <w:vAlign w:val="center"/>
                </w:tcPr>
                <w:p w14:paraId="2BC00367">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p>
              </w:tc>
              <w:tc>
                <w:tcPr>
                  <w:tcW w:w="445" w:type="pct"/>
                  <w:tcBorders>
                    <w:tl2br w:val="nil"/>
                    <w:tr2bl w:val="nil"/>
                  </w:tcBorders>
                  <w:vAlign w:val="center"/>
                </w:tcPr>
                <w:p w14:paraId="15CA1B22">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X</w:t>
                  </w:r>
                </w:p>
              </w:tc>
              <w:tc>
                <w:tcPr>
                  <w:tcW w:w="441" w:type="pct"/>
                  <w:tcBorders>
                    <w:tl2br w:val="nil"/>
                    <w:tr2bl w:val="nil"/>
                  </w:tcBorders>
                  <w:vAlign w:val="center"/>
                </w:tcPr>
                <w:p w14:paraId="53A673B8">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Y</w:t>
                  </w:r>
                </w:p>
              </w:tc>
              <w:tc>
                <w:tcPr>
                  <w:tcW w:w="391" w:type="pct"/>
                  <w:tcBorders>
                    <w:tl2br w:val="nil"/>
                    <w:tr2bl w:val="nil"/>
                  </w:tcBorders>
                  <w:vAlign w:val="center"/>
                </w:tcPr>
                <w:p w14:paraId="08C1C3D5">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Z</w:t>
                  </w:r>
                </w:p>
              </w:tc>
              <w:tc>
                <w:tcPr>
                  <w:tcW w:w="720" w:type="pct"/>
                  <w:tcBorders>
                    <w:tl2br w:val="nil"/>
                    <w:tr2bl w:val="nil"/>
                  </w:tcBorders>
                  <w:vAlign w:val="center"/>
                </w:tcPr>
                <w:p w14:paraId="50DD9889">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r>
                    <w:rPr>
                      <w:rFonts w:hint="default" w:ascii="Times New Roman" w:hAnsi="Times New Roman" w:eastAsia="宋体" w:cs="Times New Roman"/>
                      <w:b/>
                      <w:bCs/>
                      <w:color w:val="auto"/>
                      <w:sz w:val="20"/>
                      <w:szCs w:val="20"/>
                      <w:lang w:val="en-US" w:eastAsia="zh-CN" w:bidi="ar-SA"/>
                    </w:rPr>
                    <w:t>声功率级/dB（A）</w:t>
                  </w:r>
                </w:p>
              </w:tc>
              <w:tc>
                <w:tcPr>
                  <w:tcW w:w="1296" w:type="pct"/>
                  <w:vMerge w:val="continue"/>
                  <w:tcBorders>
                    <w:tl2br w:val="nil"/>
                    <w:tr2bl w:val="nil"/>
                  </w:tcBorders>
                  <w:vAlign w:val="center"/>
                </w:tcPr>
                <w:p w14:paraId="49802064">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p>
              </w:tc>
              <w:tc>
                <w:tcPr>
                  <w:tcW w:w="397" w:type="pct"/>
                  <w:vMerge w:val="continue"/>
                  <w:tcBorders>
                    <w:tl2br w:val="nil"/>
                    <w:tr2bl w:val="nil"/>
                  </w:tcBorders>
                  <w:vAlign w:val="center"/>
                </w:tcPr>
                <w:p w14:paraId="443E87CD">
                  <w:pPr>
                    <w:widowControl w:val="0"/>
                    <w:autoSpaceDE w:val="0"/>
                    <w:autoSpaceDN w:val="0"/>
                    <w:adjustRightInd w:val="0"/>
                    <w:spacing w:line="360" w:lineRule="exact"/>
                    <w:jc w:val="center"/>
                    <w:rPr>
                      <w:rFonts w:hint="default" w:ascii="Times New Roman" w:hAnsi="Times New Roman" w:eastAsia="宋体" w:cs="Times New Roman"/>
                      <w:b/>
                      <w:bCs/>
                      <w:color w:val="auto"/>
                      <w:sz w:val="20"/>
                      <w:szCs w:val="20"/>
                      <w:lang w:val="en-US" w:eastAsia="zh-CN" w:bidi="ar-SA"/>
                    </w:rPr>
                  </w:pPr>
                </w:p>
              </w:tc>
            </w:tr>
            <w:tr w14:paraId="4A4BD2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23" w:type="pct"/>
                  <w:tcBorders>
                    <w:tl2br w:val="nil"/>
                    <w:tr2bl w:val="nil"/>
                  </w:tcBorders>
                  <w:vAlign w:val="center"/>
                </w:tcPr>
                <w:p w14:paraId="28EB5181">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风机</w:t>
                  </w:r>
                </w:p>
              </w:tc>
              <w:tc>
                <w:tcPr>
                  <w:tcW w:w="378" w:type="pct"/>
                  <w:tcBorders>
                    <w:tl2br w:val="nil"/>
                    <w:tr2bl w:val="nil"/>
                  </w:tcBorders>
                  <w:vAlign w:val="center"/>
                </w:tcPr>
                <w:p w14:paraId="4B975E67">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w:t>
                  </w:r>
                </w:p>
              </w:tc>
              <w:tc>
                <w:tcPr>
                  <w:tcW w:w="405" w:type="pct"/>
                  <w:tcBorders>
                    <w:tl2br w:val="nil"/>
                    <w:tr2bl w:val="nil"/>
                  </w:tcBorders>
                  <w:vAlign w:val="center"/>
                </w:tcPr>
                <w:p w14:paraId="7EC27B19">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cs="Times New Roman"/>
                      <w:color w:val="auto"/>
                      <w:sz w:val="20"/>
                      <w:szCs w:val="20"/>
                      <w:lang w:val="en-US" w:eastAsia="zh-CN" w:bidi="ar-SA"/>
                    </w:rPr>
                    <w:t>9</w:t>
                  </w:r>
                </w:p>
              </w:tc>
              <w:tc>
                <w:tcPr>
                  <w:tcW w:w="445" w:type="pct"/>
                  <w:tcBorders>
                    <w:tl2br w:val="nil"/>
                    <w:tr2bl w:val="nil"/>
                  </w:tcBorders>
                  <w:vAlign w:val="center"/>
                </w:tcPr>
                <w:p w14:paraId="6724F64F">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90</w:t>
                  </w:r>
                </w:p>
              </w:tc>
              <w:tc>
                <w:tcPr>
                  <w:tcW w:w="441" w:type="pct"/>
                  <w:tcBorders>
                    <w:tl2br w:val="nil"/>
                    <w:tr2bl w:val="nil"/>
                  </w:tcBorders>
                  <w:vAlign w:val="center"/>
                </w:tcPr>
                <w:p w14:paraId="0505E2A0">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80</w:t>
                  </w:r>
                </w:p>
              </w:tc>
              <w:tc>
                <w:tcPr>
                  <w:tcW w:w="391" w:type="pct"/>
                  <w:tcBorders>
                    <w:tl2br w:val="nil"/>
                    <w:tr2bl w:val="nil"/>
                  </w:tcBorders>
                  <w:vAlign w:val="center"/>
                </w:tcPr>
                <w:p w14:paraId="665B27C7">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1</w:t>
                  </w:r>
                </w:p>
              </w:tc>
              <w:tc>
                <w:tcPr>
                  <w:tcW w:w="720" w:type="pct"/>
                  <w:tcBorders>
                    <w:tl2br w:val="nil"/>
                    <w:tr2bl w:val="nil"/>
                  </w:tcBorders>
                  <w:vAlign w:val="center"/>
                </w:tcPr>
                <w:p w14:paraId="0F9693C7">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85</w:t>
                  </w:r>
                </w:p>
              </w:tc>
              <w:tc>
                <w:tcPr>
                  <w:tcW w:w="1296" w:type="pct"/>
                  <w:vMerge w:val="restart"/>
                  <w:tcBorders>
                    <w:tl2br w:val="nil"/>
                    <w:tr2bl w:val="nil"/>
                  </w:tcBorders>
                  <w:vAlign w:val="center"/>
                </w:tcPr>
                <w:p w14:paraId="7705AAA7">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选用低噪声设备、设备减振、厂房隔声、距离衰减、绿化降噪、优化平面布置</w:t>
                  </w:r>
                </w:p>
              </w:tc>
              <w:tc>
                <w:tcPr>
                  <w:tcW w:w="397" w:type="pct"/>
                  <w:tcBorders>
                    <w:tl2br w:val="nil"/>
                    <w:tr2bl w:val="nil"/>
                  </w:tcBorders>
                  <w:vAlign w:val="center"/>
                </w:tcPr>
                <w:p w14:paraId="1501E6E2">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cs="Times New Roman"/>
                      <w:color w:val="auto"/>
                      <w:sz w:val="20"/>
                      <w:szCs w:val="20"/>
                      <w:lang w:val="en-US" w:eastAsia="zh-CN" w:bidi="ar-SA"/>
                    </w:rPr>
                    <w:t>24</w:t>
                  </w:r>
                  <w:r>
                    <w:rPr>
                      <w:rFonts w:hint="default" w:ascii="Times New Roman" w:hAnsi="Times New Roman" w:eastAsia="宋体" w:cs="Times New Roman"/>
                      <w:color w:val="auto"/>
                      <w:sz w:val="20"/>
                      <w:szCs w:val="20"/>
                      <w:lang w:val="en-US" w:eastAsia="zh-CN" w:bidi="ar-SA"/>
                    </w:rPr>
                    <w:t>h/d</w:t>
                  </w:r>
                </w:p>
              </w:tc>
            </w:tr>
            <w:tr w14:paraId="299932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523" w:type="pct"/>
                  <w:tcBorders>
                    <w:tl2br w:val="nil"/>
                    <w:tr2bl w:val="nil"/>
                  </w:tcBorders>
                  <w:vAlign w:val="center"/>
                </w:tcPr>
                <w:p w14:paraId="1DA32848">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空压机</w:t>
                  </w:r>
                </w:p>
              </w:tc>
              <w:tc>
                <w:tcPr>
                  <w:tcW w:w="378" w:type="pct"/>
                  <w:tcBorders>
                    <w:tl2br w:val="nil"/>
                    <w:tr2bl w:val="nil"/>
                  </w:tcBorders>
                  <w:vAlign w:val="center"/>
                </w:tcPr>
                <w:p w14:paraId="3C9CBBF5">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w:t>
                  </w:r>
                </w:p>
              </w:tc>
              <w:tc>
                <w:tcPr>
                  <w:tcW w:w="405" w:type="pct"/>
                  <w:tcBorders>
                    <w:tl2br w:val="nil"/>
                    <w:tr2bl w:val="nil"/>
                  </w:tcBorders>
                  <w:vAlign w:val="center"/>
                </w:tcPr>
                <w:p w14:paraId="11DB9387">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6</w:t>
                  </w:r>
                </w:p>
              </w:tc>
              <w:tc>
                <w:tcPr>
                  <w:tcW w:w="445" w:type="pct"/>
                  <w:tcBorders>
                    <w:tl2br w:val="nil"/>
                    <w:tr2bl w:val="nil"/>
                  </w:tcBorders>
                  <w:vAlign w:val="center"/>
                </w:tcPr>
                <w:p w14:paraId="6D2F9D1B">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80</w:t>
                  </w:r>
                </w:p>
              </w:tc>
              <w:tc>
                <w:tcPr>
                  <w:tcW w:w="441" w:type="pct"/>
                  <w:tcBorders>
                    <w:tl2br w:val="nil"/>
                    <w:tr2bl w:val="nil"/>
                  </w:tcBorders>
                  <w:vAlign w:val="center"/>
                </w:tcPr>
                <w:p w14:paraId="6F3EA3D2">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115</w:t>
                  </w:r>
                </w:p>
              </w:tc>
              <w:tc>
                <w:tcPr>
                  <w:tcW w:w="391" w:type="pct"/>
                  <w:tcBorders>
                    <w:tl2br w:val="nil"/>
                    <w:tr2bl w:val="nil"/>
                  </w:tcBorders>
                  <w:vAlign w:val="center"/>
                </w:tcPr>
                <w:p w14:paraId="678042F6">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default" w:ascii="Times New Roman" w:hAnsi="Times New Roman" w:eastAsia="宋体" w:cs="Times New Roman"/>
                      <w:color w:val="auto"/>
                      <w:sz w:val="20"/>
                      <w:szCs w:val="20"/>
                      <w:lang w:val="en-US" w:eastAsia="zh-CN" w:bidi="ar-SA"/>
                    </w:rPr>
                    <w:t>1</w:t>
                  </w:r>
                </w:p>
              </w:tc>
              <w:tc>
                <w:tcPr>
                  <w:tcW w:w="720" w:type="pct"/>
                  <w:tcBorders>
                    <w:tl2br w:val="nil"/>
                    <w:tr2bl w:val="nil"/>
                  </w:tcBorders>
                  <w:vAlign w:val="center"/>
                </w:tcPr>
                <w:p w14:paraId="6D84C380">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ascii="Times New Roman" w:hAnsi="Times New Roman" w:eastAsia="宋体" w:cs="Times New Roman"/>
                      <w:color w:val="auto"/>
                      <w:sz w:val="20"/>
                      <w:szCs w:val="20"/>
                      <w:lang w:val="en-US" w:eastAsia="zh-CN" w:bidi="ar-SA"/>
                    </w:rPr>
                    <w:t>85</w:t>
                  </w:r>
                </w:p>
              </w:tc>
              <w:tc>
                <w:tcPr>
                  <w:tcW w:w="1296" w:type="pct"/>
                  <w:vMerge w:val="continue"/>
                  <w:tcBorders>
                    <w:tl2br w:val="nil"/>
                    <w:tr2bl w:val="nil"/>
                  </w:tcBorders>
                  <w:vAlign w:val="center"/>
                </w:tcPr>
                <w:p w14:paraId="26FC8B93">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p>
              </w:tc>
              <w:tc>
                <w:tcPr>
                  <w:tcW w:w="397" w:type="pct"/>
                  <w:tcBorders>
                    <w:tl2br w:val="nil"/>
                    <w:tr2bl w:val="nil"/>
                  </w:tcBorders>
                  <w:vAlign w:val="center"/>
                </w:tcPr>
                <w:p w14:paraId="004B8E35">
                  <w:pPr>
                    <w:widowControl w:val="0"/>
                    <w:autoSpaceDE w:val="0"/>
                    <w:autoSpaceDN w:val="0"/>
                    <w:adjustRightInd w:val="0"/>
                    <w:spacing w:line="360" w:lineRule="exact"/>
                    <w:jc w:val="center"/>
                    <w:rPr>
                      <w:rFonts w:hint="default" w:ascii="Times New Roman" w:hAnsi="Times New Roman" w:eastAsia="宋体" w:cs="Times New Roman"/>
                      <w:color w:val="auto"/>
                      <w:sz w:val="20"/>
                      <w:szCs w:val="20"/>
                      <w:lang w:val="en-US" w:eastAsia="zh-CN" w:bidi="ar-SA"/>
                    </w:rPr>
                  </w:pPr>
                  <w:r>
                    <w:rPr>
                      <w:rFonts w:hint="eastAsia" w:cs="Times New Roman"/>
                      <w:color w:val="auto"/>
                      <w:sz w:val="20"/>
                      <w:szCs w:val="20"/>
                      <w:lang w:val="en-US" w:eastAsia="zh-CN" w:bidi="ar-SA"/>
                    </w:rPr>
                    <w:t>16</w:t>
                  </w:r>
                  <w:r>
                    <w:rPr>
                      <w:rFonts w:hint="default" w:ascii="Times New Roman" w:hAnsi="Times New Roman" w:eastAsia="宋体" w:cs="Times New Roman"/>
                      <w:color w:val="auto"/>
                      <w:sz w:val="20"/>
                      <w:szCs w:val="20"/>
                      <w:lang w:val="en-US" w:eastAsia="zh-CN" w:bidi="ar-SA"/>
                    </w:rPr>
                    <w:t>h/d</w:t>
                  </w:r>
                </w:p>
              </w:tc>
            </w:tr>
          </w:tbl>
          <w:p w14:paraId="35CBF99A">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4.3.2 噪声预测</w:t>
            </w:r>
          </w:p>
          <w:p w14:paraId="3DB2E009">
            <w:pPr>
              <w:autoSpaceDE w:val="0"/>
              <w:autoSpaceDN w:val="0"/>
              <w:spacing w:line="500" w:lineRule="exact"/>
              <w:ind w:firstLine="440" w:firstLineChars="20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根据《环境影响评价技术导则 声环境》（HJ2.4-2021），</w:t>
            </w:r>
            <w:r>
              <w:rPr>
                <w:rFonts w:hint="default" w:ascii="Times New Roman" w:hAnsi="Times New Roman" w:eastAsia="宋体" w:cs="Times New Roman"/>
                <w:color w:val="auto"/>
                <w:kern w:val="0"/>
                <w:sz w:val="22"/>
                <w:szCs w:val="22"/>
              </w:rPr>
              <w:t>预测拟建项目实施后对厂界噪声的影响。</w:t>
            </w:r>
          </w:p>
          <w:p w14:paraId="0F296FAE">
            <w:pPr>
              <w:widowControl/>
              <w:tabs>
                <w:tab w:val="left" w:pos="180"/>
              </w:tabs>
              <w:autoSpaceDN w:val="0"/>
              <w:adjustRightInd w:val="0"/>
              <w:snapToGrid w:val="0"/>
              <w:spacing w:line="500" w:lineRule="exact"/>
              <w:ind w:firstLine="442"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kern w:val="0"/>
                <w:sz w:val="22"/>
                <w:szCs w:val="22"/>
              </w:rPr>
              <w:t>⑴户外声源声功率级计算方法</w:t>
            </w:r>
          </w:p>
          <w:p w14:paraId="4033EC97">
            <w:pPr>
              <w:widowControl/>
              <w:numPr>
                <w:ilvl w:val="0"/>
                <w:numId w:val="5"/>
              </w:numPr>
              <w:tabs>
                <w:tab w:val="left" w:pos="180"/>
                <w:tab w:val="clear" w:pos="312"/>
              </w:tabs>
              <w:autoSpaceDN w:val="0"/>
              <w:adjustRightInd w:val="0"/>
              <w:snapToGrid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根据声源声功率级或参考位置处的声压级、户外声传播衰减，计算预测点的声压级L</w:t>
            </w:r>
            <w:r>
              <w:rPr>
                <w:rFonts w:hint="default" w:ascii="Times New Roman" w:hAnsi="Times New Roman" w:eastAsia="宋体" w:cs="Times New Roman"/>
                <w:color w:val="auto"/>
                <w:kern w:val="0"/>
                <w:sz w:val="22"/>
                <w:szCs w:val="22"/>
                <w:vertAlign w:val="subscript"/>
              </w:rPr>
              <w:t>p</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，可按公式①计算：</w:t>
            </w:r>
          </w:p>
          <w:p w14:paraId="030F8643">
            <w:pPr>
              <w:widowControl/>
              <w:tabs>
                <w:tab w:val="left" w:pos="180"/>
              </w:tabs>
              <w:autoSpaceDN w:val="0"/>
              <w:adjustRightInd w:val="0"/>
              <w:snapToGrid w:val="0"/>
              <w:spacing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14"/>
                <w:sz w:val="24"/>
              </w:rPr>
              <w:object>
                <v:shape id="_x0000_i1025" o:spt="75" type="#_x0000_t75" style="height:20.25pt;width:232.5pt;" o:ole="t" filled="f" o:preferrelative="t" stroked="f" coordsize="21600,21600">
                  <v:path/>
                  <v:fill on="f" focussize="0,0"/>
                  <v:stroke on="f" joinstyle="miter"/>
                  <v:imagedata r:id="rId26" o:title=""/>
                  <o:lock v:ext="edit" aspectratio="t"/>
                  <w10:wrap type="none"/>
                  <w10:anchorlock/>
                </v:shape>
                <o:OLEObject Type="Embed" ProgID="Equation.3" ShapeID="_x0000_i1025" DrawAspect="Content" ObjectID="_1468075732" r:id="rId25">
                  <o:LockedField>false</o:LockedField>
                </o:OLEObject>
              </w:object>
            </w:r>
            <w:r>
              <w:rPr>
                <w:rFonts w:hint="default" w:ascii="Times New Roman" w:hAnsi="Times New Roman" w:eastAsia="宋体" w:cs="Times New Roman"/>
                <w:color w:val="auto"/>
                <w:kern w:val="0"/>
                <w:sz w:val="24"/>
              </w:rPr>
              <w:t>①</w:t>
            </w:r>
          </w:p>
          <w:p w14:paraId="492A5B20">
            <w:pPr>
              <w:widowControl/>
              <w:tabs>
                <w:tab w:val="left" w:pos="180"/>
              </w:tabs>
              <w:autoSpaceDN w:val="0"/>
              <w:adjustRightInd w:val="0"/>
              <w:snapToGrid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p</w:t>
            </w:r>
            <w:r>
              <w:rPr>
                <w:rFonts w:hint="eastAsia" w:cs="Times New Roman"/>
                <w:color w:val="auto"/>
                <w:kern w:val="0"/>
                <w:sz w:val="22"/>
                <w:szCs w:val="22"/>
                <w:vertAlign w:val="subscript"/>
                <w:lang w:eastAsia="zh-CN"/>
              </w:rPr>
              <w:t>（</w:t>
            </w:r>
            <w:r>
              <w:rPr>
                <w:rFonts w:hint="default" w:ascii="Times New Roman" w:hAnsi="Times New Roman" w:eastAsia="宋体" w:cs="Times New Roman"/>
                <w:color w:val="auto"/>
                <w:kern w:val="0"/>
                <w:sz w:val="22"/>
                <w:szCs w:val="22"/>
                <w:vertAlign w:val="subscript"/>
              </w:rPr>
              <w:t>r</w:t>
            </w:r>
            <w:r>
              <w:rPr>
                <w:rFonts w:hint="eastAsia" w:cs="Times New Roman"/>
                <w:color w:val="auto"/>
                <w:kern w:val="0"/>
                <w:sz w:val="22"/>
                <w:szCs w:val="22"/>
                <w:vertAlign w:val="subscript"/>
                <w:lang w:eastAsia="zh-CN"/>
              </w:rPr>
              <w:t>）</w:t>
            </w:r>
            <w:r>
              <w:rPr>
                <w:rFonts w:hint="default" w:ascii="Times New Roman" w:hAnsi="Times New Roman" w:eastAsia="宋体" w:cs="Times New Roman"/>
                <w:color w:val="auto"/>
                <w:kern w:val="0"/>
                <w:sz w:val="22"/>
                <w:szCs w:val="22"/>
              </w:rPr>
              <w:t>—预测点处声压级，dB；</w:t>
            </w:r>
          </w:p>
          <w:p w14:paraId="19BFFB5A">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L</w:t>
            </w:r>
            <w:r>
              <w:rPr>
                <w:rFonts w:hint="default" w:ascii="Times New Roman" w:hAnsi="Times New Roman" w:eastAsia="宋体" w:cs="Times New Roman"/>
                <w:color w:val="auto"/>
                <w:kern w:val="0"/>
                <w:sz w:val="22"/>
                <w:szCs w:val="22"/>
                <w:vertAlign w:val="subscript"/>
              </w:rPr>
              <w:t>w</w:t>
            </w:r>
            <w:r>
              <w:rPr>
                <w:rFonts w:hint="default" w:ascii="Times New Roman" w:hAnsi="Times New Roman" w:eastAsia="宋体" w:cs="Times New Roman"/>
                <w:color w:val="auto"/>
                <w:kern w:val="0"/>
                <w:sz w:val="22"/>
                <w:szCs w:val="22"/>
              </w:rPr>
              <w:t>—由点声源产生的声功率级（A计权或倍频带），dB；</w:t>
            </w:r>
          </w:p>
          <w:p w14:paraId="1668C39E">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D</w:t>
            </w:r>
            <w:r>
              <w:rPr>
                <w:rFonts w:hint="default" w:ascii="Times New Roman" w:hAnsi="Times New Roman" w:eastAsia="宋体" w:cs="Times New Roman"/>
                <w:color w:val="auto"/>
                <w:kern w:val="0"/>
                <w:sz w:val="22"/>
                <w:szCs w:val="22"/>
                <w:vertAlign w:val="subscript"/>
              </w:rPr>
              <w:t>c</w:t>
            </w:r>
            <w:r>
              <w:rPr>
                <w:rFonts w:hint="default" w:ascii="Times New Roman" w:hAnsi="Times New Roman" w:eastAsia="宋体" w:cs="Times New Roman"/>
                <w:color w:val="auto"/>
                <w:kern w:val="0"/>
                <w:sz w:val="22"/>
                <w:szCs w:val="22"/>
              </w:rPr>
              <w:t>—指向性校正，它描述点声源的等效连续声压级与产生声功率级Lw的全向点声源在规定方向的声级的偏差程度，dB；</w:t>
            </w:r>
          </w:p>
          <w:p w14:paraId="6D3CFC79">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div</w:t>
            </w:r>
            <w:r>
              <w:rPr>
                <w:rFonts w:hint="default" w:ascii="Times New Roman" w:hAnsi="Times New Roman" w:eastAsia="宋体" w:cs="Times New Roman"/>
                <w:color w:val="auto"/>
                <w:kern w:val="0"/>
                <w:sz w:val="22"/>
                <w:szCs w:val="22"/>
              </w:rPr>
              <w:t>—几何发散引起的倍频带衰减，dB；</w:t>
            </w:r>
          </w:p>
          <w:p w14:paraId="49FEFB80">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atm</w:t>
            </w:r>
            <w:r>
              <w:rPr>
                <w:rFonts w:hint="default" w:ascii="Times New Roman" w:hAnsi="Times New Roman" w:eastAsia="宋体" w:cs="Times New Roman"/>
                <w:color w:val="auto"/>
                <w:kern w:val="0"/>
                <w:sz w:val="22"/>
                <w:szCs w:val="22"/>
              </w:rPr>
              <w:t>—大气吸收引起的倍频带衰减，dB；</w:t>
            </w:r>
          </w:p>
          <w:p w14:paraId="52A3A997">
            <w:pPr>
              <w:widowControl/>
              <w:tabs>
                <w:tab w:val="left" w:pos="180"/>
              </w:tabs>
              <w:autoSpaceDN w:val="0"/>
              <w:adjustRightInd w:val="0"/>
              <w:snapToGrid w:val="0"/>
              <w:spacing w:line="500" w:lineRule="exact"/>
              <w:ind w:firstLine="1100" w:firstLineChars="500"/>
              <w:jc w:val="left"/>
              <w:rPr>
                <w:rFonts w:hint="default"/>
                <w:color w:val="auto"/>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gr</w:t>
            </w:r>
            <w:r>
              <w:rPr>
                <w:rFonts w:hint="default" w:ascii="Times New Roman" w:hAnsi="Times New Roman" w:eastAsia="宋体" w:cs="Times New Roman"/>
                <w:color w:val="auto"/>
                <w:kern w:val="0"/>
                <w:sz w:val="22"/>
                <w:szCs w:val="22"/>
              </w:rPr>
              <w:t>—地面效应引起的倍频带衰减，dB；</w:t>
            </w:r>
          </w:p>
        </w:tc>
      </w:tr>
    </w:tbl>
    <w:p w14:paraId="1C46B736">
      <w:pPr>
        <w:pStyle w:val="29"/>
        <w:rPr>
          <w:rFonts w:hint="eastAsia"/>
          <w:color w:val="auto"/>
        </w:rPr>
        <w:sectPr>
          <w:pgSz w:w="16840" w:h="11907" w:orient="landscape"/>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8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50"/>
        <w:gridCol w:w="9385"/>
      </w:tblGrid>
      <w:tr w14:paraId="2EF42E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7" w:type="pct"/>
            <w:tcBorders>
              <w:tl2br w:val="nil"/>
              <w:tr2bl w:val="nil"/>
            </w:tcBorders>
            <w:noWrap w:val="0"/>
            <w:tcMar>
              <w:left w:w="28" w:type="dxa"/>
              <w:right w:w="28" w:type="dxa"/>
            </w:tcMar>
            <w:vAlign w:val="center"/>
          </w:tcPr>
          <w:p w14:paraId="01A37BBA">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运营</w:t>
            </w:r>
          </w:p>
          <w:p w14:paraId="3B9187F0">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期环</w:t>
            </w:r>
          </w:p>
          <w:p w14:paraId="730A57C9">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境影</w:t>
            </w:r>
          </w:p>
          <w:p w14:paraId="41895634">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响和</w:t>
            </w:r>
          </w:p>
          <w:p w14:paraId="57CD427B">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保护</w:t>
            </w:r>
          </w:p>
          <w:p w14:paraId="75EF4891">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eastAsiaTheme="minorEastAsia"/>
                <w:b/>
                <w:bCs/>
                <w:color w:val="auto"/>
                <w:sz w:val="22"/>
                <w:szCs w:val="22"/>
              </w:rPr>
            </w:pPr>
            <w:r>
              <w:rPr>
                <w:rFonts w:hint="default" w:ascii="Times New Roman" w:hAnsi="Times New Roman" w:cs="Times New Roman" w:eastAsiaTheme="minorEastAsia"/>
                <w:b/>
                <w:bCs/>
                <w:color w:val="auto"/>
                <w:sz w:val="22"/>
                <w:szCs w:val="22"/>
              </w:rPr>
              <w:t>措施</w:t>
            </w:r>
          </w:p>
        </w:tc>
        <w:tc>
          <w:tcPr>
            <w:tcW w:w="4722" w:type="pct"/>
            <w:tcBorders>
              <w:tl2br w:val="nil"/>
              <w:tr2bl w:val="nil"/>
            </w:tcBorders>
            <w:noWrap w:val="0"/>
            <w:vAlign w:val="top"/>
          </w:tcPr>
          <w:p w14:paraId="41079E1C">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bar</w:t>
            </w:r>
            <w:r>
              <w:rPr>
                <w:rFonts w:hint="default" w:ascii="Times New Roman" w:hAnsi="Times New Roman" w:eastAsia="宋体" w:cs="Times New Roman"/>
                <w:color w:val="auto"/>
                <w:kern w:val="0"/>
                <w:sz w:val="22"/>
                <w:szCs w:val="22"/>
              </w:rPr>
              <w:t>—声屏障引起的倍频带衰减，dB；</w:t>
            </w:r>
          </w:p>
          <w:p w14:paraId="7D6223ED">
            <w:pPr>
              <w:widowControl/>
              <w:tabs>
                <w:tab w:val="left" w:pos="180"/>
              </w:tabs>
              <w:autoSpaceDN w:val="0"/>
              <w:adjustRightInd w:val="0"/>
              <w:snapToGrid w:val="0"/>
              <w:spacing w:line="500" w:lineRule="exact"/>
              <w:ind w:firstLine="1100" w:firstLineChars="5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misc</w:t>
            </w:r>
            <w:r>
              <w:rPr>
                <w:rFonts w:hint="default" w:ascii="Times New Roman" w:hAnsi="Times New Roman" w:eastAsia="宋体" w:cs="Times New Roman"/>
                <w:color w:val="auto"/>
                <w:kern w:val="0"/>
                <w:sz w:val="22"/>
                <w:szCs w:val="22"/>
              </w:rPr>
              <w:t>—其他多方面效应引起的倍频带衰减，dB。</w:t>
            </w:r>
          </w:p>
          <w:p w14:paraId="21800FD1">
            <w:pPr>
              <w:widowControl/>
              <w:tabs>
                <w:tab w:val="left" w:pos="180"/>
              </w:tabs>
              <w:autoSpaceDN w:val="0"/>
              <w:adjustRightInd w:val="0"/>
              <w:snapToGrid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B.预测点的A声级LA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按公式②计算，即将8个倍频带声压级合成，计算出预测点的A声级〔LA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w:t>
            </w:r>
          </w:p>
          <w:p w14:paraId="21C08520">
            <w:pPr>
              <w:widowControl/>
              <w:tabs>
                <w:tab w:val="left" w:pos="180"/>
              </w:tabs>
              <w:autoSpaceDN w:val="0"/>
              <w:adjustRightInd w:val="0"/>
              <w:snapToGrid w:val="0"/>
              <w:spacing w:afterLines="100"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28"/>
                <w:sz w:val="24"/>
              </w:rPr>
              <w:object>
                <v:shape id="_x0000_i1026" o:spt="75" type="#_x0000_t75" style="height:32.25pt;width:147pt;" o:ole="t" filled="f" o:preferrelative="t" stroked="f" coordsize="21600,21600">
                  <v:path/>
                  <v:fill on="f" focussize="0,0"/>
                  <v:stroke on="f" joinstyle="miter"/>
                  <v:imagedata r:id="rId28" o:title=""/>
                  <o:lock v:ext="edit" aspectratio="t"/>
                  <w10:wrap type="none"/>
                  <w10:anchorlock/>
                </v:shape>
                <o:OLEObject Type="Embed" ProgID="Equation.3" ShapeID="_x0000_i1026" DrawAspect="Content" ObjectID="_1468075733" r:id="rId27">
                  <o:LockedField>false</o:LockedField>
                </o:OLEObject>
              </w:object>
            </w:r>
            <w:r>
              <w:rPr>
                <w:rFonts w:hint="default" w:ascii="Times New Roman" w:hAnsi="Times New Roman" w:eastAsia="宋体" w:cs="Times New Roman"/>
                <w:color w:val="auto"/>
                <w:kern w:val="0"/>
                <w:sz w:val="24"/>
              </w:rPr>
              <w:t>②</w:t>
            </w:r>
          </w:p>
          <w:p w14:paraId="265957A2">
            <w:pPr>
              <w:widowControl/>
              <w:tabs>
                <w:tab w:val="left" w:pos="180"/>
              </w:tabs>
              <w:autoSpaceDN w:val="0"/>
              <w:adjustRightInd w:val="0"/>
              <w:snapToGrid w:val="0"/>
              <w:spacing w:line="500" w:lineRule="exact"/>
              <w:ind w:firstLine="48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—距声源r处的A声级，dB</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w:t>
            </w:r>
          </w:p>
          <w:p w14:paraId="46093024">
            <w:pPr>
              <w:widowControl/>
              <w:tabs>
                <w:tab w:val="left" w:pos="180"/>
              </w:tabs>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L</w:t>
            </w:r>
            <w:r>
              <w:rPr>
                <w:rFonts w:hint="default" w:ascii="Times New Roman" w:hAnsi="Times New Roman" w:eastAsia="宋体" w:cs="Times New Roman"/>
                <w:color w:val="auto"/>
                <w:kern w:val="0"/>
                <w:sz w:val="22"/>
                <w:szCs w:val="22"/>
                <w:vertAlign w:val="subscript"/>
              </w:rPr>
              <w:t>pi</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—预测点（r）处，第i倍频带声压级，dB； </w:t>
            </w:r>
          </w:p>
          <w:p w14:paraId="7E90CF91">
            <w:pPr>
              <w:widowControl/>
              <w:tabs>
                <w:tab w:val="left" w:pos="180"/>
              </w:tabs>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ΔLi —第i倍频带的A计权网络修正值，dB。</w:t>
            </w:r>
          </w:p>
          <w:p w14:paraId="5C501BAD">
            <w:pPr>
              <w:widowControl/>
              <w:tabs>
                <w:tab w:val="left" w:pos="180"/>
              </w:tabs>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C.在只考虑几何发散时，可按公式③计算：</w:t>
            </w:r>
          </w:p>
          <w:p w14:paraId="254F6BD6">
            <w:pPr>
              <w:widowControl/>
              <w:tabs>
                <w:tab w:val="left" w:pos="180"/>
              </w:tabs>
              <w:autoSpaceDN w:val="0"/>
              <w:adjustRightInd w:val="0"/>
              <w:snapToGrid w:val="0"/>
              <w:spacing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12"/>
                <w:sz w:val="24"/>
              </w:rPr>
              <w:object>
                <v:shape id="_x0000_i1027" o:spt="75" type="#_x0000_t75" style="height:19.5pt;width:98.25pt;" o:ole="t" filled="f" o:preferrelative="t" stroked="f" coordsize="21600,21600">
                  <v:path/>
                  <v:fill on="f" focussize="0,0"/>
                  <v:stroke on="f" joinstyle="miter"/>
                  <v:imagedata r:id="rId30" o:title=""/>
                  <o:lock v:ext="edit" aspectratio="t"/>
                  <w10:wrap type="none"/>
                  <w10:anchorlock/>
                </v:shape>
                <o:OLEObject Type="Embed" ProgID="Equation.3" ShapeID="_x0000_i1027" DrawAspect="Content" ObjectID="_1468075734" r:id="rId29">
                  <o:LockedField>false</o:LockedField>
                </o:OLEObject>
              </w:object>
            </w:r>
            <w:r>
              <w:rPr>
                <w:rFonts w:hint="default" w:ascii="Times New Roman" w:hAnsi="Times New Roman" w:eastAsia="宋体" w:cs="Times New Roman"/>
                <w:color w:val="auto"/>
                <w:kern w:val="0"/>
                <w:sz w:val="24"/>
              </w:rPr>
              <w:t>③</w:t>
            </w:r>
          </w:p>
          <w:p w14:paraId="3B62A0A8">
            <w:pPr>
              <w:widowControl/>
              <w:tabs>
                <w:tab w:val="left" w:pos="180"/>
              </w:tabs>
              <w:autoSpaceDN w:val="0"/>
              <w:adjustRightInd w:val="0"/>
              <w:snapToGrid w:val="0"/>
              <w:spacing w:line="500" w:lineRule="exact"/>
              <w:ind w:firstLine="48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—距声源r处的A声级，dB</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w:t>
            </w:r>
          </w:p>
          <w:p w14:paraId="7B2EA644">
            <w:pPr>
              <w:widowControl/>
              <w:tabs>
                <w:tab w:val="left" w:pos="180"/>
              </w:tabs>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L</w:t>
            </w:r>
            <w:r>
              <w:rPr>
                <w:rFonts w:hint="default" w:ascii="Times New Roman" w:hAnsi="Times New Roman" w:eastAsia="宋体" w:cs="Times New Roman"/>
                <w:color w:val="auto"/>
                <w:kern w:val="0"/>
                <w:sz w:val="22"/>
                <w:szCs w:val="22"/>
                <w:vertAlign w:val="subscript"/>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r</w:t>
            </w:r>
            <w:r>
              <w:rPr>
                <w:rFonts w:hint="default" w:ascii="Times New Roman" w:hAnsi="Times New Roman" w:eastAsia="宋体" w:cs="Times New Roman"/>
                <w:color w:val="auto"/>
                <w:kern w:val="0"/>
                <w:sz w:val="22"/>
                <w:szCs w:val="22"/>
                <w:vertAlign w:val="subscript"/>
              </w:rPr>
              <w:t>0</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—参考位置r</w:t>
            </w:r>
            <w:r>
              <w:rPr>
                <w:rFonts w:hint="default" w:ascii="Times New Roman" w:hAnsi="Times New Roman" w:eastAsia="宋体" w:cs="Times New Roman"/>
                <w:color w:val="auto"/>
                <w:kern w:val="0"/>
                <w:sz w:val="22"/>
                <w:szCs w:val="22"/>
                <w:vertAlign w:val="subscript"/>
              </w:rPr>
              <w:t>0</w:t>
            </w:r>
            <w:r>
              <w:rPr>
                <w:rFonts w:hint="default" w:ascii="Times New Roman" w:hAnsi="Times New Roman" w:eastAsia="宋体" w:cs="Times New Roman"/>
                <w:color w:val="auto"/>
                <w:kern w:val="0"/>
                <w:sz w:val="22"/>
                <w:szCs w:val="22"/>
              </w:rPr>
              <w:t>处的A声级，dB</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 xml:space="preserve">； </w:t>
            </w:r>
          </w:p>
          <w:p w14:paraId="4269560D">
            <w:pPr>
              <w:widowControl/>
              <w:tabs>
                <w:tab w:val="left" w:pos="180"/>
              </w:tabs>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A</w:t>
            </w:r>
            <w:r>
              <w:rPr>
                <w:rFonts w:hint="default" w:ascii="Times New Roman" w:hAnsi="Times New Roman" w:eastAsia="宋体" w:cs="Times New Roman"/>
                <w:color w:val="auto"/>
                <w:kern w:val="0"/>
                <w:sz w:val="22"/>
                <w:szCs w:val="22"/>
                <w:vertAlign w:val="subscript"/>
              </w:rPr>
              <w:t>div</w:t>
            </w:r>
            <w:r>
              <w:rPr>
                <w:rFonts w:hint="default" w:ascii="Times New Roman" w:hAnsi="Times New Roman" w:eastAsia="宋体" w:cs="Times New Roman"/>
                <w:color w:val="auto"/>
                <w:kern w:val="0"/>
                <w:sz w:val="22"/>
                <w:szCs w:val="22"/>
              </w:rPr>
              <w:t xml:space="preserve"> —几何发散引起的衰减，dB。 </w:t>
            </w:r>
          </w:p>
          <w:p w14:paraId="0F972F20">
            <w:pPr>
              <w:widowControl/>
              <w:autoSpaceDN w:val="0"/>
              <w:adjustRightInd w:val="0"/>
              <w:snapToGrid w:val="0"/>
              <w:spacing w:line="500" w:lineRule="exact"/>
              <w:ind w:firstLine="48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kern w:val="0"/>
                <w:sz w:val="22"/>
                <w:szCs w:val="22"/>
              </w:rPr>
              <w:t>⑵室内声源等效室外声源声功率级计算方法</w:t>
            </w:r>
          </w:p>
          <w:p w14:paraId="39B1A735">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声源位于室内，室内声源可采用等效室外声源声功率级法进行计算。设靠近开口处（或窗户）室内、室外某倍频带的声压级或A声级分别为L</w:t>
            </w:r>
            <w:r>
              <w:rPr>
                <w:rFonts w:hint="default" w:ascii="Times New Roman" w:hAnsi="Times New Roman" w:eastAsia="宋体" w:cs="Times New Roman"/>
                <w:color w:val="auto"/>
                <w:kern w:val="0"/>
                <w:sz w:val="22"/>
                <w:szCs w:val="22"/>
                <w:vertAlign w:val="subscript"/>
              </w:rPr>
              <w:t>p1</w:t>
            </w:r>
            <w:r>
              <w:rPr>
                <w:rFonts w:hint="default" w:ascii="Times New Roman" w:hAnsi="Times New Roman" w:eastAsia="宋体" w:cs="Times New Roman"/>
                <w:color w:val="auto"/>
                <w:kern w:val="0"/>
                <w:sz w:val="22"/>
                <w:szCs w:val="22"/>
              </w:rPr>
              <w:t>和L</w:t>
            </w:r>
            <w:r>
              <w:rPr>
                <w:rFonts w:hint="default" w:ascii="Times New Roman" w:hAnsi="Times New Roman" w:eastAsia="宋体" w:cs="Times New Roman"/>
                <w:color w:val="auto"/>
                <w:kern w:val="0"/>
                <w:sz w:val="22"/>
                <w:szCs w:val="22"/>
                <w:vertAlign w:val="subscript"/>
              </w:rPr>
              <w:t>p2</w:t>
            </w:r>
            <w:r>
              <w:rPr>
                <w:rFonts w:hint="default" w:ascii="Times New Roman" w:hAnsi="Times New Roman" w:eastAsia="宋体" w:cs="Times New Roman"/>
                <w:color w:val="auto"/>
                <w:kern w:val="0"/>
                <w:sz w:val="22"/>
                <w:szCs w:val="22"/>
              </w:rPr>
              <w:t>。若声源所在室内声场为近似扩散声场，则室外的倍频带声压级可按式④近似求出：</w:t>
            </w:r>
          </w:p>
          <w:p w14:paraId="2B7B1F9C">
            <w:pPr>
              <w:widowControl/>
              <w:autoSpaceDN w:val="0"/>
              <w:adjustRightInd w:val="0"/>
              <w:snapToGrid w:val="0"/>
              <w:spacing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14"/>
                <w:sz w:val="24"/>
              </w:rPr>
              <w:object>
                <v:shape id="_x0000_i1028" o:spt="75" type="#_x0000_t75" style="height:20.25pt;width:99pt;" o:ole="t" filled="f" o:preferrelative="t" stroked="f" coordsize="21600,21600">
                  <v:path/>
                  <v:fill on="f" focussize="0,0"/>
                  <v:stroke on="f" joinstyle="miter"/>
                  <v:imagedata r:id="rId32" o:title=""/>
                  <o:lock v:ext="edit" aspectratio="t"/>
                  <w10:wrap type="none"/>
                  <w10:anchorlock/>
                </v:shape>
                <o:OLEObject Type="Embed" ProgID="Equation.3" ShapeID="_x0000_i1028" DrawAspect="Content" ObjectID="_1468075735" r:id="rId31">
                  <o:LockedField>false</o:LockedField>
                </o:OLEObject>
              </w:object>
            </w:r>
            <w:r>
              <w:rPr>
                <w:rFonts w:hint="default" w:ascii="Times New Roman" w:hAnsi="Times New Roman" w:eastAsia="宋体" w:cs="Times New Roman"/>
                <w:color w:val="auto"/>
                <w:kern w:val="0"/>
                <w:sz w:val="24"/>
              </w:rPr>
              <w:t>④</w:t>
            </w:r>
          </w:p>
          <w:p w14:paraId="312D6429">
            <w:pPr>
              <w:widowControl/>
              <w:autoSpaceDN w:val="0"/>
              <w:adjustRightInd w:val="0"/>
              <w:snapToGrid w:val="0"/>
              <w:spacing w:line="500" w:lineRule="exact"/>
              <w:ind w:firstLine="48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p1</w:t>
            </w:r>
            <w:r>
              <w:rPr>
                <w:rFonts w:hint="default" w:ascii="Times New Roman" w:hAnsi="Times New Roman" w:eastAsia="宋体" w:cs="Times New Roman"/>
                <w:color w:val="auto"/>
                <w:kern w:val="0"/>
                <w:sz w:val="22"/>
                <w:szCs w:val="22"/>
              </w:rPr>
              <w:t xml:space="preserve">—靠近开口处（或窗户）室内某倍频带的声压级或A声级，dB； </w:t>
            </w:r>
          </w:p>
          <w:p w14:paraId="5FFB9D2B">
            <w:pPr>
              <w:widowControl/>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L</w:t>
            </w:r>
            <w:r>
              <w:rPr>
                <w:rFonts w:hint="default" w:ascii="Times New Roman" w:hAnsi="Times New Roman" w:eastAsia="宋体" w:cs="Times New Roman"/>
                <w:color w:val="auto"/>
                <w:kern w:val="0"/>
                <w:sz w:val="22"/>
                <w:szCs w:val="22"/>
                <w:vertAlign w:val="subscript"/>
              </w:rPr>
              <w:t>p2</w:t>
            </w:r>
            <w:r>
              <w:rPr>
                <w:rFonts w:hint="default" w:ascii="Times New Roman" w:hAnsi="Times New Roman" w:eastAsia="宋体" w:cs="Times New Roman"/>
                <w:color w:val="auto"/>
                <w:kern w:val="0"/>
                <w:sz w:val="22"/>
                <w:szCs w:val="22"/>
              </w:rPr>
              <w:t xml:space="preserve">—靠近开口处（或窗户）室外某倍频带的声压级或A声级，dB； </w:t>
            </w:r>
          </w:p>
          <w:p w14:paraId="305A32BF">
            <w:pPr>
              <w:widowControl/>
              <w:autoSpaceDN w:val="0"/>
              <w:adjustRightInd w:val="0"/>
              <w:snapToGrid w:val="0"/>
              <w:spacing w:line="500" w:lineRule="exact"/>
              <w:ind w:firstLine="1157" w:firstLineChars="526"/>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 xml:space="preserve">TL—隔墙（或窗户）倍频带或A声级的隔声量，dB。 </w:t>
            </w:r>
          </w:p>
          <w:p w14:paraId="7EBB59FB">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也可按式⑤计算某一室内声源靠近围护结构处产生的倍频带声压级或A声级：</w:t>
            </w:r>
          </w:p>
          <w:p w14:paraId="136403ED">
            <w:pPr>
              <w:widowControl/>
              <w:autoSpaceDN w:val="0"/>
              <w:adjustRightInd w:val="0"/>
              <w:snapToGrid w:val="0"/>
              <w:spacing w:afterLines="50" w:line="7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24"/>
                <w:sz w:val="24"/>
              </w:rPr>
              <w:object>
                <v:shape id="_x0000_i1029" o:spt="75" type="#_x0000_t75" style="height:32.25pt;width:134.25pt;" o:ole="t" filled="f" o:preferrelative="t" stroked="f" coordsize="21600,21600">
                  <v:path/>
                  <v:fill on="f" focussize="0,0"/>
                  <v:stroke on="f" joinstyle="miter"/>
                  <v:imagedata r:id="rId34" o:title=""/>
                  <o:lock v:ext="edit" aspectratio="t"/>
                  <w10:wrap type="none"/>
                  <w10:anchorlock/>
                </v:shape>
                <o:OLEObject Type="Embed" ProgID="Equation.3" ShapeID="_x0000_i1029" DrawAspect="Content" ObjectID="_1468075736" r:id="rId33">
                  <o:LockedField>false</o:LockedField>
                </o:OLEObject>
              </w:object>
            </w:r>
            <w:r>
              <w:rPr>
                <w:rFonts w:hint="default" w:ascii="Times New Roman" w:hAnsi="Times New Roman" w:eastAsia="宋体" w:cs="Times New Roman"/>
                <w:color w:val="auto"/>
                <w:kern w:val="0"/>
                <w:sz w:val="24"/>
              </w:rPr>
              <w:t>⑤</w:t>
            </w:r>
          </w:p>
          <w:p w14:paraId="5B1DC90D">
            <w:pPr>
              <w:widowControl/>
              <w:autoSpaceDN w:val="0"/>
              <w:spacing w:line="500" w:lineRule="exact"/>
              <w:ind w:firstLine="440"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式中：Q—指向性因数；通常对无指向性声源，当声源放在房间中心时，Q=1；</w:t>
            </w:r>
          </w:p>
          <w:p w14:paraId="7BD556A1">
            <w:pPr>
              <w:widowControl/>
              <w:autoSpaceDN w:val="0"/>
              <w:spacing w:line="500" w:lineRule="exac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 xml:space="preserve">当放在一面墙的中心时，Q=2；当放在两面墙夹角处时，Q=4；当放在三面墙夹角处时，Q=8； </w:t>
            </w:r>
          </w:p>
          <w:p w14:paraId="40ED08B5">
            <w:pPr>
              <w:widowControl/>
              <w:autoSpaceDN w:val="0"/>
              <w:spacing w:line="500" w:lineRule="exact"/>
              <w:ind w:firstLine="1100" w:firstLineChars="5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R—房间常数；R=Sα/</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1-α</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，S为房间内表面面积，m</w:t>
            </w:r>
            <w:r>
              <w:rPr>
                <w:rFonts w:hint="default" w:ascii="Times New Roman" w:hAnsi="Times New Roman" w:eastAsia="宋体" w:cs="Times New Roman"/>
                <w:color w:val="auto"/>
                <w:kern w:val="0"/>
                <w:sz w:val="22"/>
                <w:szCs w:val="22"/>
                <w:vertAlign w:val="superscript"/>
              </w:rPr>
              <w:t>2</w:t>
            </w:r>
            <w:r>
              <w:rPr>
                <w:rFonts w:hint="default" w:ascii="Times New Roman" w:hAnsi="Times New Roman" w:eastAsia="宋体" w:cs="Times New Roman"/>
                <w:color w:val="auto"/>
                <w:kern w:val="0"/>
                <w:sz w:val="22"/>
                <w:szCs w:val="22"/>
              </w:rPr>
              <w:t xml:space="preserve">；α为平均吸声系数； </w:t>
            </w:r>
          </w:p>
          <w:p w14:paraId="1E10DB1E">
            <w:pPr>
              <w:widowControl/>
              <w:autoSpaceDN w:val="0"/>
              <w:spacing w:line="500" w:lineRule="exact"/>
              <w:ind w:firstLine="1100" w:firstLineChars="5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r —声源到靠近围护结构某点处的距离，m。</w:t>
            </w:r>
          </w:p>
          <w:p w14:paraId="28C5A4E1">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然后，按公式⑥计算出所有室内声源在围护结构处产生的i倍频带叠加声压级：</w:t>
            </w:r>
          </w:p>
          <w:p w14:paraId="40420FD1">
            <w:pPr>
              <w:widowControl/>
              <w:autoSpaceDN w:val="0"/>
              <w:adjustRightInd w:val="0"/>
              <w:snapToGrid w:val="0"/>
              <w:spacing w:afterLines="100"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30"/>
                <w:sz w:val="24"/>
              </w:rPr>
              <w:object>
                <v:shape id="_x0000_i1030" o:spt="75" type="#_x0000_t75" style="height:32.25pt;width:128.25pt;" o:ole="t" filled="f" o:preferrelative="t" stroked="f" coordsize="21600,21600">
                  <v:path/>
                  <v:fill on="f" focussize="0,0"/>
                  <v:stroke on="f" joinstyle="miter"/>
                  <v:imagedata r:id="rId36" o:title=""/>
                  <o:lock v:ext="edit" aspectratio="t"/>
                  <w10:wrap type="none"/>
                  <w10:anchorlock/>
                </v:shape>
                <o:OLEObject Type="Embed" ProgID="Equation.3" ShapeID="_x0000_i1030" DrawAspect="Content" ObjectID="_1468075737" r:id="rId35">
                  <o:LockedField>false</o:LockedField>
                </o:OLEObject>
              </w:object>
            </w:r>
            <w:r>
              <w:rPr>
                <w:rFonts w:hint="default" w:ascii="Times New Roman" w:hAnsi="Times New Roman" w:eastAsia="宋体" w:cs="Times New Roman"/>
                <w:color w:val="auto"/>
                <w:kern w:val="0"/>
                <w:sz w:val="24"/>
              </w:rPr>
              <w:t>⑥</w:t>
            </w:r>
          </w:p>
          <w:p w14:paraId="39B08170">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P1i</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T</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—靠近围护结构处室内N个声源i倍频带的叠加声压级，dB；</w:t>
            </w:r>
          </w:p>
          <w:p w14:paraId="5B0F067F">
            <w:pPr>
              <w:widowControl/>
              <w:autoSpaceDN w:val="0"/>
              <w:adjustRightInd w:val="0"/>
              <w:snapToGrid w:val="0"/>
              <w:spacing w:line="500" w:lineRule="exact"/>
              <w:ind w:firstLine="1157" w:firstLineChars="526"/>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L</w:t>
            </w:r>
            <w:r>
              <w:rPr>
                <w:rFonts w:hint="default" w:ascii="Times New Roman" w:hAnsi="Times New Roman" w:eastAsia="宋体" w:cs="Times New Roman"/>
                <w:color w:val="auto"/>
                <w:kern w:val="0"/>
                <w:sz w:val="22"/>
                <w:szCs w:val="22"/>
                <w:vertAlign w:val="subscript"/>
              </w:rPr>
              <w:t>P1ij</w:t>
            </w:r>
            <w:r>
              <w:rPr>
                <w:rFonts w:hint="default" w:ascii="Times New Roman" w:hAnsi="Times New Roman" w:eastAsia="宋体" w:cs="Times New Roman"/>
                <w:color w:val="auto"/>
                <w:kern w:val="0"/>
                <w:sz w:val="22"/>
                <w:szCs w:val="22"/>
              </w:rPr>
              <w:t>—室内j声源i倍频带的声压级，dB；N—室内声源总数。</w:t>
            </w:r>
          </w:p>
          <w:p w14:paraId="6DF86314">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在室内近似为扩散声场时，按公式⑦计算出靠近室外围护结构处的声压级：</w:t>
            </w:r>
          </w:p>
          <w:p w14:paraId="185D1CA5">
            <w:pPr>
              <w:widowControl/>
              <w:autoSpaceDN w:val="0"/>
              <w:adjustRightInd w:val="0"/>
              <w:snapToGrid w:val="0"/>
              <w:spacing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12"/>
                <w:sz w:val="24"/>
              </w:rPr>
              <w:object>
                <v:shape id="_x0000_i1031" o:spt="75" type="#_x0000_t75" style="height:17.25pt;width:114pt;" o:ole="t" filled="f" o:preferrelative="t" stroked="f" coordsize="21600,21600">
                  <v:path/>
                  <v:fill on="f" focussize="0,0"/>
                  <v:stroke on="f" joinstyle="miter"/>
                  <v:imagedata r:id="rId38" o:title=""/>
                  <o:lock v:ext="edit" aspectratio="t"/>
                  <w10:wrap type="none"/>
                  <w10:anchorlock/>
                </v:shape>
                <o:OLEObject Type="Embed" ProgID="Equation.3" ShapeID="_x0000_i1031" DrawAspect="Content" ObjectID="_1468075738" r:id="rId37">
                  <o:LockedField>false</o:LockedField>
                </o:OLEObject>
              </w:object>
            </w:r>
            <w:r>
              <w:rPr>
                <w:rFonts w:hint="default" w:ascii="Times New Roman" w:hAnsi="Times New Roman" w:eastAsia="宋体" w:cs="Times New Roman"/>
                <w:color w:val="auto"/>
                <w:kern w:val="0"/>
                <w:sz w:val="24"/>
              </w:rPr>
              <w:t>⑦</w:t>
            </w:r>
          </w:p>
          <w:p w14:paraId="3AB92E1E">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式中：L</w:t>
            </w:r>
            <w:r>
              <w:rPr>
                <w:rFonts w:hint="default" w:ascii="Times New Roman" w:hAnsi="Times New Roman" w:eastAsia="宋体" w:cs="Times New Roman"/>
                <w:color w:val="auto"/>
                <w:kern w:val="0"/>
                <w:sz w:val="22"/>
                <w:szCs w:val="22"/>
                <w:vertAlign w:val="subscript"/>
              </w:rPr>
              <w:t>P2i</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T</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—靠近围护结构处室外N个声源i倍频带的叠加声压级，dB；</w:t>
            </w:r>
          </w:p>
          <w:p w14:paraId="03C31CEC">
            <w:pPr>
              <w:widowControl/>
              <w:autoSpaceDN w:val="0"/>
              <w:adjustRightInd w:val="0"/>
              <w:snapToGrid w:val="0"/>
              <w:spacing w:line="500" w:lineRule="exact"/>
              <w:ind w:firstLine="1157" w:firstLineChars="526"/>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TL</w:t>
            </w:r>
            <w:r>
              <w:rPr>
                <w:rFonts w:hint="default" w:ascii="Times New Roman" w:hAnsi="Times New Roman" w:eastAsia="宋体" w:cs="Times New Roman"/>
                <w:color w:val="auto"/>
                <w:kern w:val="0"/>
                <w:sz w:val="22"/>
                <w:szCs w:val="22"/>
                <w:vertAlign w:val="subscript"/>
              </w:rPr>
              <w:t>i</w:t>
            </w:r>
            <w:r>
              <w:rPr>
                <w:rFonts w:hint="default" w:ascii="Times New Roman" w:hAnsi="Times New Roman" w:eastAsia="宋体" w:cs="Times New Roman"/>
                <w:color w:val="auto"/>
                <w:kern w:val="0"/>
                <w:sz w:val="22"/>
                <w:szCs w:val="22"/>
              </w:rPr>
              <w:t>—围护结构i倍频带的隔声量，dB。</w:t>
            </w:r>
          </w:p>
          <w:p w14:paraId="04EB2659">
            <w:pPr>
              <w:widowControl/>
              <w:autoSpaceDN w:val="0"/>
              <w:adjustRightInd w:val="0"/>
              <w:snapToGrid w:val="0"/>
              <w:spacing w:line="500" w:lineRule="exact"/>
              <w:ind w:firstLine="480"/>
              <w:jc w:val="left"/>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sz w:val="22"/>
                <w:szCs w:val="22"/>
              </w:rPr>
              <w:t>然后，按公式⑧将室外声源的声压级和透过面积换算成等效的室外声源，计算出中心位置位于透声面积（S）处的等效声源的倍频带声功率级：</w:t>
            </w:r>
          </w:p>
          <w:p w14:paraId="5274858F">
            <w:pPr>
              <w:widowControl/>
              <w:autoSpaceDN w:val="0"/>
              <w:adjustRightInd w:val="0"/>
              <w:snapToGrid w:val="0"/>
              <w:spacing w:line="5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12"/>
                <w:sz w:val="24"/>
              </w:rPr>
              <w:object>
                <v:shape id="_x0000_i1032" o:spt="75" type="#_x0000_t75" style="height:18.75pt;width:90.75pt;" o:ole="t" filled="f" o:preferrelative="t" stroked="f" coordsize="21600,21600">
                  <v:path/>
                  <v:fill on="f" focussize="0,0"/>
                  <v:stroke on="f" joinstyle="miter"/>
                  <v:imagedata r:id="rId40" o:title=""/>
                  <o:lock v:ext="edit" aspectratio="t"/>
                  <w10:wrap type="none"/>
                  <w10:anchorlock/>
                </v:shape>
                <o:OLEObject Type="Embed" ProgID="Equation.3" ShapeID="_x0000_i1032" DrawAspect="Content" ObjectID="_1468075739" r:id="rId39">
                  <o:LockedField>false</o:LockedField>
                </o:OLEObject>
              </w:object>
            </w:r>
            <w:r>
              <w:rPr>
                <w:rFonts w:hint="default" w:ascii="Times New Roman" w:hAnsi="Times New Roman" w:eastAsia="宋体" w:cs="Times New Roman"/>
                <w:color w:val="auto"/>
                <w:kern w:val="0"/>
                <w:sz w:val="24"/>
              </w:rPr>
              <w:t>⑧</w:t>
            </w:r>
          </w:p>
          <w:p w14:paraId="4230ABB7">
            <w:pPr>
              <w:widowControl/>
              <w:autoSpaceDN w:val="0"/>
              <w:adjustRightInd w:val="0"/>
              <w:snapToGrid w:val="0"/>
              <w:spacing w:line="500" w:lineRule="exact"/>
              <w:ind w:firstLine="480"/>
              <w:jc w:val="left"/>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然后按室外声源预测方法计算预测点处的A声级。</w:t>
            </w:r>
          </w:p>
          <w:p w14:paraId="39A54BF2">
            <w:pPr>
              <w:widowControl/>
              <w:autoSpaceDN w:val="0"/>
              <w:adjustRightInd w:val="0"/>
              <w:snapToGrid w:val="0"/>
              <w:spacing w:line="500" w:lineRule="exact"/>
              <w:ind w:firstLine="480"/>
              <w:jc w:val="left"/>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kern w:val="0"/>
                <w:sz w:val="22"/>
                <w:szCs w:val="22"/>
              </w:rPr>
              <w:t>⑶噪声贡献值计算</w:t>
            </w:r>
          </w:p>
          <w:p w14:paraId="35CFF21D">
            <w:pPr>
              <w:widowControl/>
              <w:autoSpaceDN w:val="0"/>
              <w:adjustRightInd w:val="0"/>
              <w:snapToGrid w:val="0"/>
              <w:spacing w:line="500" w:lineRule="exact"/>
              <w:ind w:firstLine="480"/>
              <w:jc w:val="left"/>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sz w:val="22"/>
                <w:szCs w:val="22"/>
              </w:rPr>
              <w:t>设第i个室外声源在预测点产生的A声级为L</w:t>
            </w:r>
            <w:r>
              <w:rPr>
                <w:rFonts w:hint="default" w:ascii="Times New Roman" w:hAnsi="Times New Roman" w:eastAsia="宋体" w:cs="Times New Roman"/>
                <w:color w:val="auto"/>
                <w:kern w:val="0"/>
                <w:sz w:val="22"/>
                <w:szCs w:val="22"/>
                <w:vertAlign w:val="subscript"/>
              </w:rPr>
              <w:t>Ai</w:t>
            </w:r>
            <w:r>
              <w:rPr>
                <w:rFonts w:hint="default" w:ascii="Times New Roman" w:hAnsi="Times New Roman" w:eastAsia="宋体" w:cs="Times New Roman"/>
                <w:color w:val="auto"/>
                <w:kern w:val="0"/>
                <w:sz w:val="22"/>
                <w:szCs w:val="22"/>
              </w:rPr>
              <w:t>，在T时间内该声源工作时间为t</w:t>
            </w:r>
            <w:r>
              <w:rPr>
                <w:rFonts w:hint="default" w:ascii="Times New Roman" w:hAnsi="Times New Roman" w:eastAsia="宋体" w:cs="Times New Roman"/>
                <w:color w:val="auto"/>
                <w:kern w:val="0"/>
                <w:sz w:val="22"/>
                <w:szCs w:val="22"/>
                <w:vertAlign w:val="subscript"/>
              </w:rPr>
              <w:t>i</w:t>
            </w:r>
            <w:r>
              <w:rPr>
                <w:rFonts w:hint="default" w:ascii="Times New Roman" w:hAnsi="Times New Roman" w:eastAsia="宋体" w:cs="Times New Roman"/>
                <w:color w:val="auto"/>
                <w:kern w:val="0"/>
                <w:sz w:val="22"/>
                <w:szCs w:val="22"/>
              </w:rPr>
              <w:t>；第j个等效室外声源在预测点产生的A声级为L</w:t>
            </w:r>
            <w:r>
              <w:rPr>
                <w:rFonts w:hint="default" w:ascii="Times New Roman" w:hAnsi="Times New Roman" w:eastAsia="宋体" w:cs="Times New Roman"/>
                <w:color w:val="auto"/>
                <w:kern w:val="0"/>
                <w:sz w:val="22"/>
                <w:szCs w:val="22"/>
                <w:vertAlign w:val="subscript"/>
              </w:rPr>
              <w:t>Aj</w:t>
            </w:r>
            <w:r>
              <w:rPr>
                <w:rFonts w:hint="default" w:ascii="Times New Roman" w:hAnsi="Times New Roman" w:eastAsia="宋体" w:cs="Times New Roman"/>
                <w:color w:val="auto"/>
                <w:kern w:val="0"/>
                <w:sz w:val="22"/>
                <w:szCs w:val="22"/>
              </w:rPr>
              <w:t>，在T时间内该声源工作时间为t</w:t>
            </w:r>
            <w:r>
              <w:rPr>
                <w:rFonts w:hint="default" w:ascii="Times New Roman" w:hAnsi="Times New Roman" w:eastAsia="宋体" w:cs="Times New Roman"/>
                <w:color w:val="auto"/>
                <w:kern w:val="0"/>
                <w:sz w:val="22"/>
                <w:szCs w:val="22"/>
                <w:vertAlign w:val="subscript"/>
              </w:rPr>
              <w:t>j</w:t>
            </w:r>
            <w:r>
              <w:rPr>
                <w:rFonts w:hint="default" w:ascii="Times New Roman" w:hAnsi="Times New Roman" w:eastAsia="宋体" w:cs="Times New Roman"/>
                <w:color w:val="auto"/>
                <w:kern w:val="0"/>
                <w:sz w:val="22"/>
                <w:szCs w:val="22"/>
              </w:rPr>
              <w:t>，则拟建工程声源对预测点产生的贡献值（L</w:t>
            </w:r>
            <w:r>
              <w:rPr>
                <w:rFonts w:hint="default" w:ascii="Times New Roman" w:hAnsi="Times New Roman" w:eastAsia="宋体" w:cs="Times New Roman"/>
                <w:color w:val="auto"/>
                <w:kern w:val="0"/>
                <w:sz w:val="22"/>
                <w:szCs w:val="22"/>
                <w:vertAlign w:val="subscript"/>
              </w:rPr>
              <w:t>eqg</w:t>
            </w:r>
            <w:r>
              <w:rPr>
                <w:rFonts w:hint="default" w:ascii="Times New Roman" w:hAnsi="Times New Roman" w:eastAsia="宋体" w:cs="Times New Roman"/>
                <w:color w:val="auto"/>
                <w:kern w:val="0"/>
                <w:sz w:val="22"/>
                <w:szCs w:val="22"/>
              </w:rPr>
              <w:t>）为：</w:t>
            </w:r>
          </w:p>
          <w:p w14:paraId="591C9349">
            <w:pPr>
              <w:widowControl/>
              <w:autoSpaceDN w:val="0"/>
              <w:adjustRightInd w:val="0"/>
              <w:snapToGrid w:val="0"/>
              <w:spacing w:afterLines="50" w:line="700" w:lineRule="exact"/>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kern w:val="0"/>
                <w:position w:val="-30"/>
                <w:sz w:val="24"/>
              </w:rPr>
              <w:object>
                <v:shape id="_x0000_i1033" o:spt="75" type="#_x0000_t75" style="height:35.25pt;width:222pt;" o:ole="t" filled="f" o:preferrelative="t" stroked="f" coordsize="21600,21600">
                  <v:path/>
                  <v:fill on="f" focussize="0,0"/>
                  <v:stroke on="f" joinstyle="miter"/>
                  <v:imagedata r:id="rId42" o:title=""/>
                  <o:lock v:ext="edit" aspectratio="t"/>
                  <w10:wrap type="none"/>
                  <w10:anchorlock/>
                </v:shape>
                <o:OLEObject Type="Embed" ProgID="Equation.3" ShapeID="_x0000_i1033" DrawAspect="Content" ObjectID="_1468075740" r:id="rId41">
                  <o:LockedField>false</o:LockedField>
                </o:OLEObject>
              </w:object>
            </w:r>
            <w:r>
              <w:rPr>
                <w:rFonts w:hint="default" w:ascii="Times New Roman" w:hAnsi="Times New Roman" w:eastAsia="宋体" w:cs="Times New Roman"/>
                <w:color w:val="auto"/>
                <w:kern w:val="0"/>
                <w:sz w:val="24"/>
              </w:rPr>
              <w:t>⑨</w:t>
            </w:r>
          </w:p>
          <w:p w14:paraId="57ACDA34">
            <w:pPr>
              <w:widowControl/>
              <w:autoSpaceDN w:val="0"/>
              <w:spacing w:line="500" w:lineRule="exact"/>
              <w:ind w:firstLine="440"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式中：Leqg—建设项目声源在预测点产生的噪声贡献值，dB；</w:t>
            </w:r>
          </w:p>
          <w:p w14:paraId="7116F0DE">
            <w:pPr>
              <w:widowControl/>
              <w:autoSpaceDN w:val="0"/>
              <w:spacing w:line="500" w:lineRule="exact"/>
              <w:ind w:firstLine="1100" w:firstLineChars="5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T—用于计算等效声级的时间，s；</w:t>
            </w:r>
          </w:p>
          <w:p w14:paraId="714F0BC9">
            <w:pPr>
              <w:widowControl/>
              <w:autoSpaceDN w:val="0"/>
              <w:spacing w:line="500" w:lineRule="exact"/>
              <w:ind w:firstLine="1100" w:firstLineChars="5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N—室外声源个数；</w:t>
            </w:r>
          </w:p>
          <w:p w14:paraId="6EC69A8C">
            <w:pPr>
              <w:widowControl w:val="0"/>
              <w:adjustRightInd/>
              <w:snapToGrid/>
              <w:spacing w:line="500" w:lineRule="exact"/>
              <w:ind w:left="0" w:leftChars="0" w:right="0" w:rightChars="0" w:firstLine="1100" w:firstLineChars="500"/>
              <w:jc w:val="both"/>
              <w:rPr>
                <w:rFonts w:hint="default" w:ascii="Times New Roman" w:hAnsi="Times New Roman" w:eastAsia="宋体" w:cs="Times New Roman"/>
                <w:color w:val="auto"/>
                <w:kern w:val="0"/>
                <w:sz w:val="22"/>
                <w:szCs w:val="22"/>
                <w:lang w:val="en-US" w:eastAsia="zh-CN" w:bidi="ar-SA"/>
              </w:rPr>
            </w:pPr>
            <w:r>
              <w:rPr>
                <w:rFonts w:hint="default" w:ascii="Times New Roman" w:hAnsi="Times New Roman" w:eastAsia="宋体" w:cs="Times New Roman"/>
                <w:color w:val="auto"/>
                <w:kern w:val="0"/>
                <w:sz w:val="22"/>
                <w:szCs w:val="22"/>
                <w:lang w:val="en-US" w:eastAsia="zh-CN" w:bidi="ar-SA"/>
              </w:rPr>
              <w:t>t</w:t>
            </w:r>
            <w:r>
              <w:rPr>
                <w:rFonts w:hint="default" w:ascii="Times New Roman" w:hAnsi="Times New Roman" w:eastAsia="宋体" w:cs="Times New Roman"/>
                <w:color w:val="auto"/>
                <w:kern w:val="0"/>
                <w:sz w:val="22"/>
                <w:szCs w:val="22"/>
                <w:vertAlign w:val="subscript"/>
                <w:lang w:val="en-US" w:eastAsia="zh-CN" w:bidi="ar-SA"/>
              </w:rPr>
              <w:t>i</w:t>
            </w:r>
            <w:r>
              <w:rPr>
                <w:rFonts w:hint="default" w:ascii="Times New Roman" w:hAnsi="Times New Roman" w:eastAsia="宋体" w:cs="Times New Roman"/>
                <w:color w:val="auto"/>
                <w:kern w:val="0"/>
                <w:sz w:val="22"/>
                <w:szCs w:val="22"/>
                <w:lang w:val="en-US" w:eastAsia="zh-CN" w:bidi="ar-SA"/>
              </w:rPr>
              <w:t>—在T时间内i声源工作时间，s；</w:t>
            </w:r>
          </w:p>
          <w:p w14:paraId="234C07A6">
            <w:pPr>
              <w:widowControl w:val="0"/>
              <w:adjustRightInd/>
              <w:snapToGrid/>
              <w:spacing w:line="500" w:lineRule="exact"/>
              <w:ind w:left="0" w:leftChars="0" w:right="0" w:rightChars="0" w:firstLine="1100" w:firstLineChars="500"/>
              <w:jc w:val="both"/>
              <w:rPr>
                <w:rFonts w:hint="default" w:ascii="Times New Roman" w:hAnsi="Times New Roman" w:eastAsia="宋体" w:cs="Times New Roman"/>
                <w:color w:val="auto"/>
                <w:kern w:val="0"/>
                <w:sz w:val="22"/>
                <w:szCs w:val="22"/>
                <w:lang w:val="en-US" w:eastAsia="zh-CN" w:bidi="ar-SA"/>
              </w:rPr>
            </w:pPr>
            <w:r>
              <w:rPr>
                <w:rFonts w:hint="default" w:ascii="Times New Roman" w:hAnsi="Times New Roman" w:eastAsia="宋体" w:cs="Times New Roman"/>
                <w:color w:val="auto"/>
                <w:kern w:val="0"/>
                <w:sz w:val="22"/>
                <w:szCs w:val="22"/>
                <w:lang w:val="en-US" w:eastAsia="zh-CN" w:bidi="ar-SA"/>
              </w:rPr>
              <w:t>M—等效室外声源个数；</w:t>
            </w:r>
          </w:p>
          <w:p w14:paraId="1DA47D4B">
            <w:pPr>
              <w:adjustRightInd w:val="0"/>
              <w:snapToGrid w:val="0"/>
              <w:spacing w:line="500" w:lineRule="exact"/>
              <w:ind w:firstLine="1097" w:firstLineChars="499"/>
              <w:rPr>
                <w:rFonts w:hint="default" w:ascii="Times New Roman" w:hAnsi="Times New Roman" w:eastAsia="宋体" w:cs="Times New Roman"/>
                <w:b/>
                <w:color w:val="auto"/>
                <w:sz w:val="22"/>
                <w:szCs w:val="22"/>
              </w:rPr>
            </w:pPr>
            <w:r>
              <w:rPr>
                <w:rFonts w:hint="default" w:ascii="Times New Roman" w:hAnsi="Times New Roman" w:eastAsia="宋体" w:cs="Times New Roman"/>
                <w:color w:val="auto"/>
                <w:kern w:val="0"/>
                <w:sz w:val="22"/>
                <w:szCs w:val="22"/>
              </w:rPr>
              <w:t>t</w:t>
            </w:r>
            <w:r>
              <w:rPr>
                <w:rFonts w:hint="default" w:ascii="Times New Roman" w:hAnsi="Times New Roman" w:eastAsia="宋体" w:cs="Times New Roman"/>
                <w:color w:val="auto"/>
                <w:kern w:val="0"/>
                <w:sz w:val="22"/>
                <w:szCs w:val="22"/>
                <w:vertAlign w:val="subscript"/>
              </w:rPr>
              <w:t>j</w:t>
            </w:r>
            <w:r>
              <w:rPr>
                <w:rFonts w:hint="default" w:ascii="Times New Roman" w:hAnsi="Times New Roman" w:eastAsia="宋体" w:cs="Times New Roman"/>
                <w:color w:val="auto"/>
                <w:kern w:val="0"/>
                <w:sz w:val="22"/>
                <w:szCs w:val="22"/>
              </w:rPr>
              <w:t>—在T时间内j声源工作时间，s</w:t>
            </w:r>
          </w:p>
          <w:p w14:paraId="44E60637">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4.3.3 噪声影响预测结果</w:t>
            </w:r>
          </w:p>
          <w:p w14:paraId="532CFDE2">
            <w:pPr>
              <w:widowControl w:val="0"/>
              <w:spacing w:line="500" w:lineRule="exact"/>
              <w:ind w:firstLine="440" w:firstLineChars="200"/>
              <w:jc w:val="left"/>
              <w:rPr>
                <w:rFonts w:hint="default" w:ascii="Times New Roman" w:hAnsi="Times New Roman" w:eastAsia="宋体" w:cs="Times New Roman"/>
                <w:color w:val="auto"/>
                <w:kern w:val="0"/>
                <w:sz w:val="22"/>
                <w:szCs w:val="22"/>
                <w:lang w:val="en-US" w:eastAsia="zh-CN" w:bidi="ar-SA"/>
              </w:rPr>
            </w:pPr>
            <w:r>
              <w:rPr>
                <w:rFonts w:hint="default" w:ascii="Times New Roman" w:hAnsi="Times New Roman" w:eastAsia="宋体" w:cs="Times New Roman"/>
                <w:color w:val="auto"/>
                <w:kern w:val="0"/>
                <w:sz w:val="22"/>
                <w:szCs w:val="22"/>
                <w:lang w:val="en-US" w:eastAsia="zh-CN" w:bidi="ar-SA"/>
              </w:rPr>
              <w:t>本项目为</w:t>
            </w:r>
            <w:r>
              <w:rPr>
                <w:rFonts w:hint="eastAsia" w:ascii="Times New Roman" w:hAnsi="Times New Roman" w:eastAsia="宋体" w:cs="Times New Roman"/>
                <w:color w:val="auto"/>
                <w:kern w:val="0"/>
                <w:sz w:val="22"/>
                <w:szCs w:val="22"/>
                <w:lang w:val="en-US" w:eastAsia="zh-CN" w:bidi="ar-SA"/>
              </w:rPr>
              <w:t>技改</w:t>
            </w:r>
            <w:r>
              <w:rPr>
                <w:rFonts w:hint="default" w:ascii="Times New Roman" w:hAnsi="Times New Roman" w:eastAsia="宋体" w:cs="Times New Roman"/>
                <w:color w:val="auto"/>
                <w:kern w:val="0"/>
                <w:sz w:val="22"/>
                <w:szCs w:val="22"/>
                <w:lang w:val="en-US" w:eastAsia="zh-CN" w:bidi="ar-SA"/>
              </w:rPr>
              <w:t>项目，根据《环境影响评价技术导则</w:t>
            </w:r>
            <w:r>
              <w:rPr>
                <w:rFonts w:hint="eastAsia" w:ascii="Times New Roman" w:hAnsi="Times New Roman" w:eastAsia="宋体" w:cs="Times New Roman"/>
                <w:color w:val="auto"/>
                <w:kern w:val="0"/>
                <w:sz w:val="22"/>
                <w:szCs w:val="22"/>
                <w:lang w:val="en-US" w:eastAsia="zh-CN" w:bidi="ar-SA"/>
              </w:rPr>
              <w:t xml:space="preserve">  </w:t>
            </w:r>
            <w:r>
              <w:rPr>
                <w:rFonts w:hint="default" w:ascii="Times New Roman" w:hAnsi="Times New Roman" w:eastAsia="宋体" w:cs="Times New Roman"/>
                <w:color w:val="auto"/>
                <w:kern w:val="0"/>
                <w:sz w:val="22"/>
                <w:szCs w:val="22"/>
                <w:lang w:val="en-US" w:eastAsia="zh-CN" w:bidi="ar-SA"/>
              </w:rPr>
              <w:t>声环境》（HJ2.4-2021）中第8.1声环境影响预测范围应与评价范围相同，及“8.5.1 预测建设项目在施工期和运营期所有声环境保护目标处的噪声贡献值和预测值，评价其超标和达标情况。”、“8.5.2预测和评价建设项目在施工期和运营期厂界（场界、边界）噪声贡献值，评价其超标和达标情况。”</w:t>
            </w:r>
            <w:r>
              <w:rPr>
                <w:rFonts w:hint="eastAsia" w:ascii="Times New Roman" w:hAnsi="Times New Roman" w:eastAsia="宋体" w:cs="Times New Roman"/>
                <w:color w:val="auto"/>
                <w:kern w:val="0"/>
                <w:sz w:val="22"/>
                <w:szCs w:val="22"/>
                <w:lang w:val="en-US" w:eastAsia="zh-CN" w:bidi="ar-SA"/>
              </w:rPr>
              <w:t>本项目50米声环境评价范围内无声环境保护目标。</w:t>
            </w:r>
            <w:r>
              <w:rPr>
                <w:rFonts w:hint="default" w:ascii="Times New Roman" w:hAnsi="Times New Roman" w:eastAsia="宋体" w:cs="Times New Roman"/>
                <w:color w:val="auto"/>
                <w:kern w:val="0"/>
                <w:sz w:val="22"/>
                <w:szCs w:val="22"/>
                <w:lang w:val="en-US" w:eastAsia="zh-CN" w:bidi="ar-SA"/>
              </w:rPr>
              <w:t>使用以上预测模式，预测本项目厂界噪声结果见表4.3.3-1。</w:t>
            </w:r>
          </w:p>
          <w:p w14:paraId="7E268B99">
            <w:pPr>
              <w:widowControl/>
              <w:tabs>
                <w:tab w:val="left" w:pos="6347"/>
              </w:tabs>
              <w:topLinePunct/>
              <w:autoSpaceDE w:val="0"/>
              <w:autoSpaceDN w:val="0"/>
              <w:adjustRightInd w:val="0"/>
              <w:snapToGrid w:val="0"/>
              <w:spacing w:line="500" w:lineRule="exact"/>
              <w:ind w:firstLine="482" w:firstLineChars="200"/>
              <w:jc w:val="center"/>
              <w:textAlignment w:val="baseline"/>
              <w:rPr>
                <w:rFonts w:hint="default" w:ascii="Times New Roman" w:hAnsi="Times New Roman" w:eastAsia="宋体" w:cs="Times New Roman"/>
                <w:b/>
                <w:color w:val="auto"/>
                <w:kern w:val="2"/>
                <w:sz w:val="24"/>
                <w:szCs w:val="24"/>
                <w:lang w:val="zh-CN" w:eastAsia="zh-CN" w:bidi="zh-CN"/>
              </w:rPr>
            </w:pPr>
            <w:r>
              <w:rPr>
                <w:rFonts w:hint="default" w:ascii="Times New Roman" w:hAnsi="Times New Roman" w:eastAsia="宋体" w:cs="Times New Roman"/>
                <w:b/>
                <w:bCs/>
                <w:color w:val="auto"/>
                <w:kern w:val="2"/>
                <w:sz w:val="24"/>
                <w:szCs w:val="24"/>
                <w:lang w:val="zh-CN" w:eastAsia="zh-CN" w:bidi="zh-CN"/>
              </w:rPr>
              <w:t>表</w:t>
            </w:r>
            <w:r>
              <w:rPr>
                <w:rFonts w:hint="default" w:ascii="Times New Roman" w:hAnsi="Times New Roman" w:eastAsia="宋体" w:cs="Times New Roman"/>
                <w:b/>
                <w:bCs/>
                <w:color w:val="auto"/>
                <w:kern w:val="2"/>
                <w:sz w:val="24"/>
                <w:szCs w:val="24"/>
                <w:lang w:val="en-US" w:eastAsia="zh-CN" w:bidi="zh-CN"/>
              </w:rPr>
              <w:t>4.3.3-1</w:t>
            </w:r>
            <w:r>
              <w:rPr>
                <w:rFonts w:hint="eastAsia" w:ascii="Times New Roman" w:hAnsi="Times New Roman" w:eastAsia="宋体" w:cs="Times New Roman"/>
                <w:b/>
                <w:bCs/>
                <w:color w:val="auto"/>
                <w:kern w:val="2"/>
                <w:sz w:val="24"/>
                <w:szCs w:val="24"/>
                <w:lang w:val="en-US" w:eastAsia="zh-CN" w:bidi="zh-CN"/>
              </w:rPr>
              <w:t xml:space="preserve">  </w:t>
            </w:r>
            <w:r>
              <w:rPr>
                <w:rFonts w:hint="default" w:ascii="Times New Roman" w:hAnsi="Times New Roman" w:eastAsia="宋体" w:cs="Times New Roman"/>
                <w:b/>
                <w:bCs/>
                <w:color w:val="auto"/>
                <w:kern w:val="2"/>
                <w:sz w:val="24"/>
                <w:szCs w:val="24"/>
                <w:lang w:val="en-US" w:eastAsia="zh-CN" w:bidi="zh-CN"/>
              </w:rPr>
              <w:t>厂界噪声贡献值表  （单位：dB</w:t>
            </w:r>
            <w:r>
              <w:rPr>
                <w:rFonts w:hint="eastAsia" w:cs="Times New Roman"/>
                <w:b/>
                <w:bCs/>
                <w:color w:val="auto"/>
                <w:kern w:val="2"/>
                <w:sz w:val="24"/>
                <w:szCs w:val="24"/>
                <w:lang w:val="en-US" w:eastAsia="zh-CN" w:bidi="zh-CN"/>
              </w:rPr>
              <w:t>（</w:t>
            </w:r>
            <w:r>
              <w:rPr>
                <w:rFonts w:hint="default" w:ascii="Times New Roman" w:hAnsi="Times New Roman" w:eastAsia="宋体" w:cs="Times New Roman"/>
                <w:b/>
                <w:bCs/>
                <w:color w:val="auto"/>
                <w:kern w:val="2"/>
                <w:sz w:val="24"/>
                <w:szCs w:val="24"/>
                <w:lang w:val="en-US" w:eastAsia="zh-CN" w:bidi="zh-CN"/>
              </w:rPr>
              <w:t>A</w:t>
            </w:r>
            <w:r>
              <w:rPr>
                <w:rFonts w:hint="eastAsia" w:cs="Times New Roman"/>
                <w:b/>
                <w:bCs/>
                <w:color w:val="auto"/>
                <w:kern w:val="2"/>
                <w:sz w:val="24"/>
                <w:szCs w:val="24"/>
                <w:lang w:val="en-US" w:eastAsia="zh-CN" w:bidi="zh-CN"/>
              </w:rPr>
              <w:t>）</w:t>
            </w:r>
            <w:r>
              <w:rPr>
                <w:rFonts w:hint="default" w:ascii="Times New Roman" w:hAnsi="Times New Roman" w:eastAsia="宋体" w:cs="Times New Roman"/>
                <w:b/>
                <w:bCs/>
                <w:color w:val="auto"/>
                <w:kern w:val="2"/>
                <w:sz w:val="24"/>
                <w:szCs w:val="24"/>
                <w:lang w:val="en-US" w:eastAsia="zh-CN" w:bidi="zh-CN"/>
              </w:rPr>
              <w:t>）</w:t>
            </w:r>
          </w:p>
          <w:tbl>
            <w:tblPr>
              <w:tblStyle w:val="43"/>
              <w:tblW w:w="4996" w:type="pct"/>
              <w:tblInd w:w="0" w:type="dxa"/>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Layout w:type="fixed"/>
              <w:tblCellMar>
                <w:top w:w="0" w:type="dxa"/>
                <w:left w:w="108" w:type="dxa"/>
                <w:bottom w:w="0" w:type="dxa"/>
                <w:right w:w="108" w:type="dxa"/>
              </w:tblCellMar>
            </w:tblPr>
            <w:tblGrid>
              <w:gridCol w:w="456"/>
              <w:gridCol w:w="1112"/>
              <w:gridCol w:w="1379"/>
              <w:gridCol w:w="1553"/>
              <w:gridCol w:w="1553"/>
              <w:gridCol w:w="1553"/>
              <w:gridCol w:w="1557"/>
            </w:tblGrid>
            <w:tr w14:paraId="71B8E3B7">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restart"/>
                  <w:tcBorders>
                    <w:top w:val="single" w:color="000000" w:sz="12" w:space="0"/>
                    <w:left w:val="nil"/>
                    <w:bottom w:val="single" w:color="000000" w:sz="2" w:space="0"/>
                    <w:right w:val="single" w:color="000000" w:sz="4" w:space="0"/>
                    <w:tl2br w:val="nil"/>
                    <w:tr2bl w:val="nil"/>
                  </w:tcBorders>
                  <w:noWrap/>
                  <w:vAlign w:val="center"/>
                </w:tcPr>
                <w:p w14:paraId="1174BF1D">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序号</w:t>
                  </w:r>
                </w:p>
              </w:tc>
              <w:tc>
                <w:tcPr>
                  <w:tcW w:w="1359" w:type="pct"/>
                  <w:gridSpan w:val="2"/>
                  <w:vMerge w:val="restart"/>
                  <w:tcBorders>
                    <w:top w:val="single" w:color="000000" w:sz="12" w:space="0"/>
                    <w:left w:val="single" w:color="000000" w:sz="4" w:space="0"/>
                    <w:bottom w:val="single" w:color="000000" w:sz="2" w:space="0"/>
                    <w:right w:val="single" w:color="000000" w:sz="4" w:space="0"/>
                    <w:tl2br w:val="nil"/>
                    <w:tr2bl w:val="nil"/>
                  </w:tcBorders>
                  <w:noWrap/>
                  <w:vAlign w:val="center"/>
                </w:tcPr>
                <w:p w14:paraId="137F1181">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噪声设备</w:t>
                  </w:r>
                </w:p>
              </w:tc>
              <w:tc>
                <w:tcPr>
                  <w:tcW w:w="3391" w:type="pct"/>
                  <w:gridSpan w:val="4"/>
                  <w:tcBorders>
                    <w:top w:val="single" w:color="000000" w:sz="12" w:space="0"/>
                    <w:left w:val="single" w:color="000000" w:sz="4" w:space="0"/>
                    <w:bottom w:val="single" w:color="000000" w:sz="2" w:space="0"/>
                    <w:right w:val="nil"/>
                    <w:tl2br w:val="nil"/>
                    <w:tr2bl w:val="nil"/>
                  </w:tcBorders>
                  <w:noWrap/>
                  <w:vAlign w:val="center"/>
                </w:tcPr>
                <w:p w14:paraId="1BC9828B">
                  <w:pPr>
                    <w:widowControl w:val="0"/>
                    <w:overflowPunct w:val="0"/>
                    <w:topLinePunct/>
                    <w:jc w:val="center"/>
                    <w:rPr>
                      <w:rFonts w:hint="default" w:ascii="Times New Roman" w:hAnsi="Times New Roman" w:eastAsia="宋体" w:cs="Times New Roman"/>
                      <w:b/>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噪声贡献值</w:t>
                  </w:r>
                </w:p>
              </w:tc>
            </w:tr>
            <w:tr w14:paraId="3B7907D7">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continue"/>
                  <w:tcBorders>
                    <w:top w:val="single" w:color="000000" w:sz="2" w:space="0"/>
                    <w:left w:val="nil"/>
                    <w:bottom w:val="single" w:color="000000" w:sz="2" w:space="0"/>
                    <w:right w:val="single" w:color="000000" w:sz="4" w:space="0"/>
                    <w:tl2br w:val="nil"/>
                    <w:tr2bl w:val="nil"/>
                  </w:tcBorders>
                  <w:noWrap/>
                  <w:vAlign w:val="center"/>
                </w:tcPr>
                <w:p w14:paraId="44E95A99">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p>
              </w:tc>
              <w:tc>
                <w:tcPr>
                  <w:tcW w:w="1359" w:type="pct"/>
                  <w:gridSpan w:val="2"/>
                  <w:vMerge w:val="continue"/>
                  <w:tcBorders>
                    <w:top w:val="single" w:color="000000" w:sz="2" w:space="0"/>
                    <w:left w:val="single" w:color="000000" w:sz="4" w:space="0"/>
                    <w:bottom w:val="single" w:color="000000" w:sz="2" w:space="0"/>
                    <w:right w:val="single" w:color="000000" w:sz="4" w:space="0"/>
                    <w:tl2br w:val="nil"/>
                    <w:tr2bl w:val="nil"/>
                  </w:tcBorders>
                  <w:noWrap/>
                  <w:vAlign w:val="center"/>
                </w:tcPr>
                <w:p w14:paraId="751CB7DC">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p>
              </w:tc>
              <w:tc>
                <w:tcPr>
                  <w:tcW w:w="847" w:type="pct"/>
                  <w:tcBorders>
                    <w:top w:val="single" w:color="000000" w:sz="2" w:space="0"/>
                    <w:left w:val="single" w:color="000000" w:sz="4" w:space="0"/>
                    <w:bottom w:val="single" w:color="000000" w:sz="2" w:space="0"/>
                    <w:right w:val="single" w:color="000000" w:sz="4" w:space="0"/>
                    <w:tl2br w:val="nil"/>
                    <w:tr2bl w:val="nil"/>
                  </w:tcBorders>
                  <w:noWrap/>
                  <w:vAlign w:val="center"/>
                </w:tcPr>
                <w:p w14:paraId="51A1279F">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东</w:t>
                  </w:r>
                </w:p>
              </w:tc>
              <w:tc>
                <w:tcPr>
                  <w:tcW w:w="847" w:type="pct"/>
                  <w:tcBorders>
                    <w:top w:val="single" w:color="000000" w:sz="2" w:space="0"/>
                    <w:left w:val="single" w:color="000000" w:sz="4" w:space="0"/>
                    <w:bottom w:val="single" w:color="000000" w:sz="2" w:space="0"/>
                    <w:right w:val="single" w:color="000000" w:sz="4" w:space="0"/>
                    <w:tl2br w:val="nil"/>
                    <w:tr2bl w:val="nil"/>
                  </w:tcBorders>
                  <w:noWrap/>
                  <w:vAlign w:val="center"/>
                </w:tcPr>
                <w:p w14:paraId="5E63DD5C">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南</w:t>
                  </w:r>
                </w:p>
              </w:tc>
              <w:tc>
                <w:tcPr>
                  <w:tcW w:w="847" w:type="pct"/>
                  <w:tcBorders>
                    <w:top w:val="single" w:color="000000" w:sz="2" w:space="0"/>
                    <w:left w:val="single" w:color="000000" w:sz="4" w:space="0"/>
                    <w:bottom w:val="single" w:color="000000" w:sz="2" w:space="0"/>
                    <w:right w:val="single" w:color="000000" w:sz="4" w:space="0"/>
                    <w:tl2br w:val="nil"/>
                    <w:tr2bl w:val="nil"/>
                  </w:tcBorders>
                  <w:noWrap/>
                  <w:vAlign w:val="center"/>
                </w:tcPr>
                <w:p w14:paraId="17F2A88C">
                  <w:pPr>
                    <w:widowControl w:val="0"/>
                    <w:overflowPunct w:val="0"/>
                    <w:topLinePunct/>
                    <w:jc w:val="center"/>
                    <w:rPr>
                      <w:rFonts w:hint="default" w:ascii="Times New Roman" w:hAnsi="Times New Roman" w:eastAsia="宋体" w:cs="Times New Roman"/>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西</w:t>
                  </w:r>
                </w:p>
              </w:tc>
              <w:tc>
                <w:tcPr>
                  <w:tcW w:w="849" w:type="pct"/>
                  <w:tcBorders>
                    <w:top w:val="single" w:color="000000" w:sz="2" w:space="0"/>
                    <w:left w:val="single" w:color="000000" w:sz="4" w:space="0"/>
                    <w:bottom w:val="single" w:color="000000" w:sz="2" w:space="0"/>
                    <w:right w:val="nil"/>
                    <w:tl2br w:val="nil"/>
                    <w:tr2bl w:val="nil"/>
                  </w:tcBorders>
                  <w:noWrap/>
                  <w:vAlign w:val="center"/>
                </w:tcPr>
                <w:p w14:paraId="4255C258">
                  <w:pPr>
                    <w:widowControl w:val="0"/>
                    <w:overflowPunct w:val="0"/>
                    <w:topLinePunct/>
                    <w:jc w:val="center"/>
                    <w:rPr>
                      <w:rFonts w:hint="default" w:ascii="Times New Roman" w:hAnsi="Times New Roman" w:eastAsia="宋体" w:cs="Times New Roman"/>
                      <w:b/>
                      <w:color w:val="auto"/>
                      <w:kern w:val="2"/>
                      <w:sz w:val="21"/>
                      <w:szCs w:val="24"/>
                      <w:lang w:val="zh-CN" w:eastAsia="zh-CN" w:bidi="zh-CN"/>
                    </w:rPr>
                  </w:pPr>
                  <w:r>
                    <w:rPr>
                      <w:rFonts w:hint="default" w:ascii="Times New Roman" w:hAnsi="Times New Roman" w:eastAsia="宋体" w:cs="Times New Roman"/>
                      <w:b/>
                      <w:color w:val="auto"/>
                      <w:kern w:val="2"/>
                      <w:sz w:val="21"/>
                      <w:szCs w:val="24"/>
                      <w:lang w:val="zh-CN" w:eastAsia="zh-CN" w:bidi="zh-CN"/>
                    </w:rPr>
                    <w:t>北</w:t>
                  </w:r>
                </w:p>
              </w:tc>
            </w:tr>
            <w:tr w14:paraId="39F2F06C">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restart"/>
                  <w:tcBorders>
                    <w:top w:val="single" w:color="000000" w:sz="2" w:space="0"/>
                    <w:left w:val="nil"/>
                    <w:right w:val="single" w:color="000000" w:sz="4" w:space="0"/>
                    <w:tl2br w:val="nil"/>
                    <w:tr2bl w:val="nil"/>
                  </w:tcBorders>
                  <w:noWrap/>
                  <w:vAlign w:val="center"/>
                </w:tcPr>
                <w:p w14:paraId="36B1A923">
                  <w:pPr>
                    <w:widowControl w:val="0"/>
                    <w:overflowPunct w:val="0"/>
                    <w:topLinePunct/>
                    <w:jc w:val="center"/>
                    <w:rPr>
                      <w:rFonts w:hint="default" w:ascii="Times New Roman" w:hAnsi="Times New Roman" w:eastAsia="宋体" w:cs="Times New Roman"/>
                      <w:color w:val="auto"/>
                      <w:w w:val="99"/>
                      <w:kern w:val="2"/>
                      <w:sz w:val="21"/>
                      <w:szCs w:val="24"/>
                      <w:lang w:val="en-US" w:eastAsia="zh-CN" w:bidi="zh-CN"/>
                    </w:rPr>
                  </w:pPr>
                  <w:r>
                    <w:rPr>
                      <w:rFonts w:hint="default" w:ascii="Times New Roman" w:hAnsi="Times New Roman" w:eastAsia="宋体" w:cs="Times New Roman"/>
                      <w:color w:val="auto"/>
                      <w:w w:val="99"/>
                      <w:kern w:val="2"/>
                      <w:sz w:val="21"/>
                      <w:szCs w:val="24"/>
                      <w:lang w:val="en-US" w:eastAsia="zh-CN" w:bidi="zh-CN"/>
                    </w:rPr>
                    <w:t>1</w:t>
                  </w:r>
                </w:p>
              </w:tc>
              <w:tc>
                <w:tcPr>
                  <w:tcW w:w="606" w:type="pct"/>
                  <w:vMerge w:val="restart"/>
                  <w:tcBorders>
                    <w:top w:val="single" w:color="000000" w:sz="2" w:space="0"/>
                    <w:left w:val="single" w:color="000000" w:sz="4" w:space="0"/>
                    <w:right w:val="single" w:color="000000" w:sz="4" w:space="0"/>
                    <w:tl2br w:val="nil"/>
                    <w:tr2bl w:val="nil"/>
                  </w:tcBorders>
                  <w:noWrap/>
                  <w:vAlign w:val="center"/>
                </w:tcPr>
                <w:p w14:paraId="6367A922">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贡献值</w:t>
                  </w:r>
                </w:p>
              </w:tc>
              <w:tc>
                <w:tcPr>
                  <w:tcW w:w="752" w:type="pct"/>
                  <w:tcBorders>
                    <w:top w:val="single" w:color="000000" w:sz="2" w:space="0"/>
                    <w:left w:val="single" w:color="000000" w:sz="4" w:space="0"/>
                    <w:bottom w:val="single" w:color="000000" w:sz="2" w:space="0"/>
                    <w:right w:val="single" w:color="000000" w:sz="4" w:space="0"/>
                    <w:tl2br w:val="nil"/>
                    <w:tr2bl w:val="nil"/>
                  </w:tcBorders>
                  <w:noWrap/>
                  <w:vAlign w:val="center"/>
                </w:tcPr>
                <w:p w14:paraId="083868E8">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default" w:ascii="Times New Roman" w:hAnsi="Times New Roman" w:eastAsia="宋体" w:cs="Times New Roman"/>
                      <w:color w:val="auto"/>
                      <w:kern w:val="2"/>
                      <w:sz w:val="21"/>
                      <w:szCs w:val="24"/>
                      <w:lang w:val="en-US" w:eastAsia="zh-CN" w:bidi="zh-CN"/>
                    </w:rPr>
                    <w:t>昼间</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3E52832D">
                  <w:pPr>
                    <w:widowControl w:val="0"/>
                    <w:overflowPunct w:val="0"/>
                    <w:topLinePunct/>
                    <w:jc w:val="center"/>
                    <w:rPr>
                      <w:rFonts w:hint="default" w:ascii="Times New Roman" w:hAnsi="Times New Roman" w:cs="Times New Roman" w:eastAsiaTheme="minorEastAsia"/>
                      <w:color w:val="auto"/>
                      <w:w w:val="100"/>
                      <w:kern w:val="2"/>
                      <w:sz w:val="22"/>
                      <w:szCs w:val="22"/>
                      <w:lang w:val="en-US" w:eastAsia="zh-CN" w:bidi="ar-SA"/>
                    </w:rPr>
                  </w:pPr>
                  <w:r>
                    <w:rPr>
                      <w:rFonts w:hint="default" w:ascii="Times New Roman" w:hAnsi="Times New Roman" w:eastAsia="宋体" w:cs="Times New Roman"/>
                      <w:color w:val="auto"/>
                      <w:kern w:val="0"/>
                      <w:sz w:val="21"/>
                      <w:szCs w:val="24"/>
                      <w:lang w:val="en-US" w:eastAsia="zh-CN" w:bidi="ar-SA"/>
                    </w:rPr>
                    <w:t>46.</w:t>
                  </w:r>
                  <w:r>
                    <w:rPr>
                      <w:rFonts w:hint="eastAsia" w:cs="Times New Roman"/>
                      <w:color w:val="auto"/>
                      <w:kern w:val="0"/>
                      <w:sz w:val="21"/>
                      <w:szCs w:val="24"/>
                      <w:lang w:val="en-US" w:eastAsia="zh-CN" w:bidi="ar-SA"/>
                    </w:rPr>
                    <w:t>3</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1FA4636A">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eastAsia" w:ascii="Times New Roman" w:hAnsi="Times New Roman" w:eastAsia="宋体" w:cs="Times New Roman"/>
                      <w:color w:val="auto"/>
                      <w:kern w:val="0"/>
                      <w:sz w:val="21"/>
                      <w:szCs w:val="24"/>
                      <w:lang w:val="en-US" w:eastAsia="zh-CN" w:bidi="ar-SA"/>
                    </w:rPr>
                    <w:t>50</w:t>
                  </w:r>
                  <w:r>
                    <w:rPr>
                      <w:rFonts w:hint="default" w:ascii="Times New Roman" w:hAnsi="Times New Roman" w:eastAsia="宋体" w:cs="Times New Roman"/>
                      <w:color w:val="auto"/>
                      <w:kern w:val="0"/>
                      <w:sz w:val="21"/>
                      <w:szCs w:val="24"/>
                      <w:lang w:val="en-US" w:eastAsia="zh-CN" w:bidi="ar-SA"/>
                    </w:rPr>
                    <w:t>.</w:t>
                  </w:r>
                  <w:r>
                    <w:rPr>
                      <w:rFonts w:hint="eastAsia" w:cs="Times New Roman"/>
                      <w:color w:val="auto"/>
                      <w:kern w:val="0"/>
                      <w:sz w:val="21"/>
                      <w:szCs w:val="24"/>
                      <w:lang w:val="en-US" w:eastAsia="zh-CN" w:bidi="ar-SA"/>
                    </w:rPr>
                    <w:t>9</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4A833F4A">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default" w:ascii="Times New Roman" w:hAnsi="Times New Roman" w:eastAsia="宋体" w:cs="Times New Roman"/>
                      <w:color w:val="auto"/>
                      <w:kern w:val="0"/>
                      <w:sz w:val="21"/>
                      <w:szCs w:val="24"/>
                      <w:lang w:val="en-US" w:eastAsia="zh-CN" w:bidi="ar-SA"/>
                    </w:rPr>
                    <w:t>4</w:t>
                  </w:r>
                  <w:r>
                    <w:rPr>
                      <w:rFonts w:hint="eastAsia" w:cs="Times New Roman"/>
                      <w:color w:val="auto"/>
                      <w:kern w:val="0"/>
                      <w:sz w:val="21"/>
                      <w:szCs w:val="24"/>
                      <w:lang w:val="en-US" w:eastAsia="zh-CN" w:bidi="ar-SA"/>
                    </w:rPr>
                    <w:t>9.0</w:t>
                  </w:r>
                </w:p>
              </w:tc>
              <w:tc>
                <w:tcPr>
                  <w:tcW w:w="849" w:type="pct"/>
                  <w:tcBorders>
                    <w:top w:val="single" w:color="000000" w:sz="2" w:space="0"/>
                    <w:left w:val="single" w:color="000000" w:sz="4" w:space="0"/>
                    <w:bottom w:val="single" w:color="000000" w:sz="2" w:space="0"/>
                    <w:right w:val="nil"/>
                    <w:tl2br w:val="nil"/>
                    <w:tr2bl w:val="nil"/>
                  </w:tcBorders>
                  <w:noWrap/>
                  <w:vAlign w:val="center"/>
                </w:tcPr>
                <w:p w14:paraId="16A5FD7A">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default" w:ascii="Times New Roman" w:hAnsi="Times New Roman" w:eastAsia="宋体" w:cs="Times New Roman"/>
                      <w:color w:val="auto"/>
                      <w:kern w:val="0"/>
                      <w:sz w:val="21"/>
                      <w:szCs w:val="24"/>
                      <w:lang w:val="en-US" w:eastAsia="zh-CN" w:bidi="ar-SA"/>
                    </w:rPr>
                    <w:t>4</w:t>
                  </w:r>
                  <w:r>
                    <w:rPr>
                      <w:rFonts w:hint="eastAsia" w:cs="Times New Roman"/>
                      <w:color w:val="auto"/>
                      <w:kern w:val="0"/>
                      <w:sz w:val="21"/>
                      <w:szCs w:val="24"/>
                      <w:lang w:val="en-US" w:eastAsia="zh-CN" w:bidi="ar-SA"/>
                    </w:rPr>
                    <w:t>7.5</w:t>
                  </w:r>
                </w:p>
              </w:tc>
            </w:tr>
            <w:tr w14:paraId="08A91D56">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continue"/>
                  <w:tcBorders>
                    <w:left w:val="nil"/>
                    <w:bottom w:val="single" w:color="000000" w:sz="2" w:space="0"/>
                    <w:right w:val="single" w:color="000000" w:sz="4" w:space="0"/>
                    <w:tl2br w:val="nil"/>
                    <w:tr2bl w:val="nil"/>
                  </w:tcBorders>
                  <w:noWrap/>
                  <w:vAlign w:val="center"/>
                </w:tcPr>
                <w:p w14:paraId="176A8D19">
                  <w:pPr>
                    <w:widowControl w:val="0"/>
                    <w:overflowPunct w:val="0"/>
                    <w:topLinePunct/>
                    <w:jc w:val="center"/>
                    <w:rPr>
                      <w:rFonts w:hint="default" w:ascii="Times New Roman" w:hAnsi="Times New Roman" w:eastAsia="宋体" w:cs="Times New Roman"/>
                      <w:color w:val="auto"/>
                      <w:w w:val="99"/>
                      <w:kern w:val="2"/>
                      <w:sz w:val="21"/>
                      <w:szCs w:val="24"/>
                      <w:lang w:val="en-US" w:eastAsia="zh-CN" w:bidi="zh-CN"/>
                    </w:rPr>
                  </w:pPr>
                </w:p>
              </w:tc>
              <w:tc>
                <w:tcPr>
                  <w:tcW w:w="606" w:type="pct"/>
                  <w:vMerge w:val="continue"/>
                  <w:tcBorders>
                    <w:left w:val="single" w:color="000000" w:sz="4" w:space="0"/>
                    <w:bottom w:val="single" w:color="000000" w:sz="2" w:space="0"/>
                    <w:right w:val="single" w:color="000000" w:sz="4" w:space="0"/>
                    <w:tl2br w:val="nil"/>
                    <w:tr2bl w:val="nil"/>
                  </w:tcBorders>
                  <w:noWrap/>
                  <w:vAlign w:val="center"/>
                </w:tcPr>
                <w:p w14:paraId="553B6F0C">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p>
              </w:tc>
              <w:tc>
                <w:tcPr>
                  <w:tcW w:w="752" w:type="pct"/>
                  <w:tcBorders>
                    <w:top w:val="single" w:color="000000" w:sz="2" w:space="0"/>
                    <w:left w:val="single" w:color="000000" w:sz="4" w:space="0"/>
                    <w:bottom w:val="single" w:color="000000" w:sz="2" w:space="0"/>
                    <w:right w:val="single" w:color="000000" w:sz="4" w:space="0"/>
                    <w:tl2br w:val="nil"/>
                    <w:tr2bl w:val="nil"/>
                  </w:tcBorders>
                  <w:noWrap/>
                  <w:vAlign w:val="center"/>
                </w:tcPr>
                <w:p w14:paraId="7C793E6E">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default" w:ascii="Times New Roman" w:hAnsi="Times New Roman" w:eastAsia="宋体" w:cs="Times New Roman"/>
                      <w:color w:val="auto"/>
                      <w:kern w:val="2"/>
                      <w:sz w:val="21"/>
                      <w:szCs w:val="24"/>
                      <w:lang w:val="en-US" w:eastAsia="zh-CN" w:bidi="zh-CN"/>
                    </w:rPr>
                    <w:t>夜间</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290ED8BF">
                  <w:pPr>
                    <w:widowControl w:val="0"/>
                    <w:overflowPunct w:val="0"/>
                    <w:topLinePunct/>
                    <w:jc w:val="center"/>
                    <w:rPr>
                      <w:rFonts w:hint="default" w:ascii="Times New Roman" w:hAnsi="Times New Roman" w:cs="Times New Roman" w:eastAsiaTheme="minorEastAsia"/>
                      <w:color w:val="auto"/>
                      <w:w w:val="100"/>
                      <w:kern w:val="2"/>
                      <w:sz w:val="22"/>
                      <w:szCs w:val="22"/>
                      <w:lang w:val="en-US" w:eastAsia="zh-CN" w:bidi="ar-SA"/>
                    </w:rPr>
                  </w:pPr>
                  <w:r>
                    <w:rPr>
                      <w:rFonts w:hint="default" w:ascii="Times New Roman" w:hAnsi="Times New Roman" w:eastAsia="宋体" w:cs="Times New Roman"/>
                      <w:color w:val="auto"/>
                      <w:kern w:val="0"/>
                      <w:sz w:val="21"/>
                      <w:szCs w:val="24"/>
                      <w:lang w:val="en-US" w:eastAsia="zh-CN" w:bidi="ar-SA"/>
                    </w:rPr>
                    <w:t>46.</w:t>
                  </w:r>
                  <w:r>
                    <w:rPr>
                      <w:rFonts w:hint="eastAsia" w:cs="Times New Roman"/>
                      <w:color w:val="auto"/>
                      <w:kern w:val="0"/>
                      <w:sz w:val="21"/>
                      <w:szCs w:val="24"/>
                      <w:lang w:val="en-US" w:eastAsia="zh-CN" w:bidi="ar-SA"/>
                    </w:rPr>
                    <w:t>3</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4C8D2445">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eastAsia" w:ascii="Times New Roman" w:hAnsi="Times New Roman" w:eastAsia="宋体" w:cs="Times New Roman"/>
                      <w:color w:val="auto"/>
                      <w:kern w:val="2"/>
                      <w:sz w:val="21"/>
                      <w:szCs w:val="24"/>
                      <w:lang w:val="en-US" w:eastAsia="zh-CN" w:bidi="zh-CN"/>
                    </w:rPr>
                    <w:t>50</w:t>
                  </w:r>
                  <w:r>
                    <w:rPr>
                      <w:rFonts w:hint="default" w:ascii="Times New Roman" w:hAnsi="Times New Roman" w:eastAsia="宋体" w:cs="Times New Roman"/>
                      <w:color w:val="auto"/>
                      <w:kern w:val="2"/>
                      <w:sz w:val="21"/>
                      <w:szCs w:val="24"/>
                      <w:lang w:val="en-US" w:eastAsia="zh-CN" w:bidi="zh-CN"/>
                    </w:rPr>
                    <w:t>.</w:t>
                  </w:r>
                  <w:r>
                    <w:rPr>
                      <w:rFonts w:hint="eastAsia" w:cs="Times New Roman"/>
                      <w:color w:val="auto"/>
                      <w:kern w:val="2"/>
                      <w:sz w:val="21"/>
                      <w:szCs w:val="24"/>
                      <w:lang w:val="en-US" w:eastAsia="zh-CN" w:bidi="zh-CN"/>
                    </w:rPr>
                    <w:t>9</w:t>
                  </w:r>
                </w:p>
              </w:tc>
              <w:tc>
                <w:tcPr>
                  <w:tcW w:w="847" w:type="pct"/>
                  <w:tcBorders>
                    <w:top w:val="single" w:color="000000" w:sz="2" w:space="0"/>
                    <w:left w:val="single" w:color="000000" w:sz="4" w:space="0"/>
                    <w:bottom w:val="single" w:color="000000" w:sz="2" w:space="0"/>
                    <w:right w:val="single" w:color="000000" w:sz="4" w:space="0"/>
                    <w:tl2br w:val="nil"/>
                    <w:tr2bl w:val="nil"/>
                  </w:tcBorders>
                  <w:shd w:val="clear" w:color="auto" w:fill="auto"/>
                  <w:noWrap/>
                  <w:vAlign w:val="center"/>
                </w:tcPr>
                <w:p w14:paraId="29287A77">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0"/>
                      <w:sz w:val="21"/>
                      <w:szCs w:val="24"/>
                      <w:lang w:val="en-US" w:eastAsia="zh-CN" w:bidi="ar-SA"/>
                    </w:rPr>
                    <w:t>4</w:t>
                  </w:r>
                  <w:r>
                    <w:rPr>
                      <w:rFonts w:hint="eastAsia" w:cs="Times New Roman"/>
                      <w:color w:val="auto"/>
                      <w:kern w:val="0"/>
                      <w:sz w:val="21"/>
                      <w:szCs w:val="24"/>
                      <w:lang w:val="en-US" w:eastAsia="zh-CN" w:bidi="ar-SA"/>
                    </w:rPr>
                    <w:t>9.0</w:t>
                  </w:r>
                </w:p>
              </w:tc>
              <w:tc>
                <w:tcPr>
                  <w:tcW w:w="849" w:type="pct"/>
                  <w:tcBorders>
                    <w:top w:val="single" w:color="000000" w:sz="2" w:space="0"/>
                    <w:left w:val="single" w:color="000000" w:sz="4" w:space="0"/>
                    <w:bottom w:val="single" w:color="000000" w:sz="2" w:space="0"/>
                    <w:right w:val="nil"/>
                    <w:tl2br w:val="nil"/>
                    <w:tr2bl w:val="nil"/>
                  </w:tcBorders>
                  <w:noWrap/>
                  <w:vAlign w:val="center"/>
                </w:tcPr>
                <w:p w14:paraId="322652CC">
                  <w:pPr>
                    <w:widowControl w:val="0"/>
                    <w:overflowPunct w:val="0"/>
                    <w:topLinePunct/>
                    <w:jc w:val="center"/>
                    <w:rPr>
                      <w:rFonts w:hint="default" w:ascii="Times New Roman" w:hAnsi="Times New Roman" w:eastAsia="宋体" w:cs="Times New Roman"/>
                      <w:color w:val="auto"/>
                      <w:kern w:val="0"/>
                      <w:sz w:val="21"/>
                      <w:szCs w:val="24"/>
                      <w:lang w:val="en-US" w:eastAsia="zh-CN" w:bidi="ar-SA"/>
                    </w:rPr>
                  </w:pPr>
                  <w:r>
                    <w:rPr>
                      <w:rFonts w:hint="default" w:ascii="Times New Roman" w:hAnsi="Times New Roman" w:eastAsia="宋体" w:cs="Times New Roman"/>
                      <w:color w:val="auto"/>
                      <w:kern w:val="0"/>
                      <w:sz w:val="21"/>
                      <w:szCs w:val="24"/>
                      <w:lang w:val="en-US" w:eastAsia="zh-CN" w:bidi="ar-SA"/>
                    </w:rPr>
                    <w:t>4</w:t>
                  </w:r>
                  <w:r>
                    <w:rPr>
                      <w:rFonts w:hint="eastAsia" w:cs="Times New Roman"/>
                      <w:color w:val="auto"/>
                      <w:kern w:val="0"/>
                      <w:sz w:val="21"/>
                      <w:szCs w:val="24"/>
                      <w:lang w:val="en-US" w:eastAsia="zh-CN" w:bidi="ar-SA"/>
                    </w:rPr>
                    <w:t>7.5</w:t>
                  </w:r>
                </w:p>
              </w:tc>
            </w:tr>
            <w:tr w14:paraId="5D94CD29">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restart"/>
                  <w:tcBorders>
                    <w:top w:val="single" w:color="000000" w:sz="2" w:space="0"/>
                    <w:left w:val="nil"/>
                    <w:bottom w:val="single" w:color="000000" w:sz="2" w:space="0"/>
                    <w:right w:val="single" w:color="000000" w:sz="4" w:space="0"/>
                    <w:tl2br w:val="nil"/>
                    <w:tr2bl w:val="nil"/>
                  </w:tcBorders>
                  <w:noWrap/>
                  <w:vAlign w:val="center"/>
                </w:tcPr>
                <w:p w14:paraId="05F9CC90">
                  <w:pPr>
                    <w:widowControl w:val="0"/>
                    <w:overflowPunct w:val="0"/>
                    <w:topLinePunct/>
                    <w:jc w:val="center"/>
                    <w:rPr>
                      <w:rFonts w:hint="default" w:ascii="Times New Roman" w:hAnsi="Times New Roman" w:eastAsia="宋体" w:cs="Times New Roman"/>
                      <w:color w:val="auto"/>
                      <w:w w:val="99"/>
                      <w:kern w:val="2"/>
                      <w:sz w:val="21"/>
                      <w:szCs w:val="24"/>
                      <w:lang w:val="en-US" w:eastAsia="zh-CN" w:bidi="zh-CN"/>
                    </w:rPr>
                  </w:pPr>
                  <w:r>
                    <w:rPr>
                      <w:rFonts w:hint="default" w:ascii="Times New Roman" w:hAnsi="Times New Roman" w:eastAsia="宋体" w:cs="Times New Roman"/>
                      <w:color w:val="auto"/>
                      <w:w w:val="99"/>
                      <w:kern w:val="2"/>
                      <w:sz w:val="21"/>
                      <w:szCs w:val="24"/>
                      <w:lang w:val="en-US" w:eastAsia="zh-CN" w:bidi="zh-CN"/>
                    </w:rPr>
                    <w:t>2</w:t>
                  </w:r>
                </w:p>
              </w:tc>
              <w:tc>
                <w:tcPr>
                  <w:tcW w:w="606" w:type="pct"/>
                  <w:vMerge w:val="restart"/>
                  <w:tcBorders>
                    <w:top w:val="single" w:color="000000" w:sz="2" w:space="0"/>
                    <w:left w:val="single" w:color="000000" w:sz="4" w:space="0"/>
                    <w:bottom w:val="single" w:color="000000" w:sz="2" w:space="0"/>
                    <w:right w:val="single" w:color="auto" w:sz="4" w:space="0"/>
                    <w:tl2br w:val="nil"/>
                    <w:tr2bl w:val="nil"/>
                  </w:tcBorders>
                  <w:noWrap/>
                  <w:vAlign w:val="center"/>
                </w:tcPr>
                <w:p w14:paraId="158D4FB4">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标准值</w:t>
                  </w:r>
                </w:p>
              </w:tc>
              <w:tc>
                <w:tcPr>
                  <w:tcW w:w="752" w:type="pct"/>
                  <w:tcBorders>
                    <w:top w:val="single" w:color="auto" w:sz="4" w:space="0"/>
                    <w:left w:val="single" w:color="auto" w:sz="4" w:space="0"/>
                    <w:bottom w:val="single" w:color="auto" w:sz="4" w:space="0"/>
                    <w:right w:val="single" w:color="000000" w:sz="4" w:space="0"/>
                    <w:tl2br w:val="nil"/>
                    <w:tr2bl w:val="nil"/>
                  </w:tcBorders>
                  <w:noWrap/>
                  <w:vAlign w:val="center"/>
                </w:tcPr>
                <w:p w14:paraId="71E1653E">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昼间</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7B3D1A1F">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6</w:t>
                  </w:r>
                  <w:r>
                    <w:rPr>
                      <w:rFonts w:hint="eastAsia" w:ascii="Times New Roman" w:hAnsi="Times New Roman" w:eastAsia="宋体" w:cs="Times New Roman"/>
                      <w:color w:val="auto"/>
                      <w:kern w:val="2"/>
                      <w:sz w:val="21"/>
                      <w:szCs w:val="24"/>
                      <w:lang w:val="en-US" w:eastAsia="zh-CN" w:bidi="zh-CN"/>
                    </w:rPr>
                    <w:t>5</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191104A8">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6</w:t>
                  </w:r>
                  <w:r>
                    <w:rPr>
                      <w:rFonts w:hint="eastAsia" w:ascii="Times New Roman" w:hAnsi="Times New Roman" w:eastAsia="宋体" w:cs="Times New Roman"/>
                      <w:color w:val="auto"/>
                      <w:kern w:val="2"/>
                      <w:sz w:val="21"/>
                      <w:szCs w:val="24"/>
                      <w:lang w:val="en-US" w:eastAsia="zh-CN" w:bidi="zh-CN"/>
                    </w:rPr>
                    <w:t>5</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542D8CE2">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6</w:t>
                  </w:r>
                  <w:r>
                    <w:rPr>
                      <w:rFonts w:hint="eastAsia" w:ascii="Times New Roman" w:hAnsi="Times New Roman" w:eastAsia="宋体" w:cs="Times New Roman"/>
                      <w:color w:val="auto"/>
                      <w:kern w:val="2"/>
                      <w:sz w:val="21"/>
                      <w:szCs w:val="24"/>
                      <w:lang w:val="en-US" w:eastAsia="zh-CN" w:bidi="zh-CN"/>
                    </w:rPr>
                    <w:t>5</w:t>
                  </w:r>
                </w:p>
              </w:tc>
              <w:tc>
                <w:tcPr>
                  <w:tcW w:w="849" w:type="pct"/>
                  <w:tcBorders>
                    <w:top w:val="single" w:color="auto" w:sz="4" w:space="0"/>
                    <w:left w:val="single" w:color="000000" w:sz="4" w:space="0"/>
                    <w:bottom w:val="single" w:color="auto" w:sz="4" w:space="0"/>
                    <w:right w:val="nil"/>
                    <w:tl2br w:val="nil"/>
                    <w:tr2bl w:val="nil"/>
                  </w:tcBorders>
                  <w:noWrap/>
                  <w:vAlign w:val="center"/>
                </w:tcPr>
                <w:p w14:paraId="560EF610">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6</w:t>
                  </w:r>
                  <w:r>
                    <w:rPr>
                      <w:rFonts w:hint="eastAsia" w:ascii="Times New Roman" w:hAnsi="Times New Roman" w:eastAsia="宋体" w:cs="Times New Roman"/>
                      <w:color w:val="auto"/>
                      <w:kern w:val="2"/>
                      <w:sz w:val="21"/>
                      <w:szCs w:val="24"/>
                      <w:lang w:val="en-US" w:eastAsia="zh-CN" w:bidi="zh-CN"/>
                    </w:rPr>
                    <w:t>5</w:t>
                  </w:r>
                </w:p>
              </w:tc>
            </w:tr>
            <w:tr w14:paraId="1EC3D354">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vMerge w:val="continue"/>
                  <w:tcBorders>
                    <w:top w:val="single" w:color="000000" w:sz="2" w:space="0"/>
                    <w:left w:val="nil"/>
                    <w:bottom w:val="single" w:color="000000" w:sz="2" w:space="0"/>
                    <w:right w:val="single" w:color="000000" w:sz="4" w:space="0"/>
                    <w:tl2br w:val="nil"/>
                    <w:tr2bl w:val="nil"/>
                  </w:tcBorders>
                  <w:noWrap/>
                  <w:vAlign w:val="center"/>
                </w:tcPr>
                <w:p w14:paraId="59FB7522">
                  <w:pPr>
                    <w:widowControl w:val="0"/>
                    <w:overflowPunct w:val="0"/>
                    <w:topLinePunct/>
                    <w:jc w:val="center"/>
                    <w:rPr>
                      <w:rFonts w:hint="default" w:ascii="Times New Roman" w:hAnsi="Times New Roman" w:eastAsia="宋体" w:cs="Times New Roman"/>
                      <w:color w:val="auto"/>
                      <w:w w:val="99"/>
                      <w:kern w:val="2"/>
                      <w:sz w:val="21"/>
                      <w:szCs w:val="24"/>
                      <w:lang w:val="en-US" w:eastAsia="zh-CN" w:bidi="zh-CN"/>
                    </w:rPr>
                  </w:pPr>
                </w:p>
              </w:tc>
              <w:tc>
                <w:tcPr>
                  <w:tcW w:w="606" w:type="pct"/>
                  <w:vMerge w:val="continue"/>
                  <w:tcBorders>
                    <w:top w:val="single" w:color="000000" w:sz="2" w:space="0"/>
                    <w:left w:val="single" w:color="000000" w:sz="4" w:space="0"/>
                    <w:bottom w:val="single" w:color="000000" w:sz="2" w:space="0"/>
                    <w:right w:val="single" w:color="auto" w:sz="4" w:space="0"/>
                    <w:tl2br w:val="nil"/>
                    <w:tr2bl w:val="nil"/>
                  </w:tcBorders>
                  <w:noWrap/>
                  <w:vAlign w:val="center"/>
                </w:tcPr>
                <w:p w14:paraId="79C39B28">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p>
              </w:tc>
              <w:tc>
                <w:tcPr>
                  <w:tcW w:w="752" w:type="pct"/>
                  <w:tcBorders>
                    <w:top w:val="single" w:color="auto" w:sz="4" w:space="0"/>
                    <w:left w:val="single" w:color="auto" w:sz="4" w:space="0"/>
                    <w:bottom w:val="single" w:color="auto" w:sz="4" w:space="0"/>
                    <w:right w:val="single" w:color="000000" w:sz="4" w:space="0"/>
                    <w:tl2br w:val="nil"/>
                    <w:tr2bl w:val="nil"/>
                  </w:tcBorders>
                  <w:noWrap/>
                  <w:vAlign w:val="center"/>
                </w:tcPr>
                <w:p w14:paraId="70C46D39">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夜间</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43E2BA84">
                  <w:pPr>
                    <w:widowControl w:val="0"/>
                    <w:overflowPunct w:val="0"/>
                    <w:topLinePun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5</w:t>
                  </w:r>
                  <w:r>
                    <w:rPr>
                      <w:rFonts w:hint="eastAsia" w:ascii="Times New Roman" w:hAnsi="Times New Roman" w:eastAsia="宋体" w:cs="Times New Roman"/>
                      <w:color w:val="auto"/>
                      <w:kern w:val="2"/>
                      <w:sz w:val="21"/>
                      <w:szCs w:val="24"/>
                      <w:lang w:val="en-US" w:eastAsia="zh-CN" w:bidi="zh-CN"/>
                    </w:rPr>
                    <w:t>5</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558C9095">
                  <w:pPr>
                    <w:widowControl w:val="0"/>
                    <w:overflowPunct w:val="0"/>
                    <w:topLinePunct/>
                    <w:jc w:val="center"/>
                    <w:rPr>
                      <w:rFonts w:hint="default" w:ascii="Times New Roman" w:hAnsi="Times New Roman" w:eastAsia="宋体" w:cs="Times New Roman"/>
                      <w:color w:val="auto"/>
                    </w:rPr>
                  </w:pPr>
                  <w:r>
                    <w:rPr>
                      <w:rFonts w:hint="default" w:ascii="Times New Roman" w:hAnsi="Times New Roman" w:eastAsia="宋体" w:cs="Times New Roman"/>
                      <w:color w:val="auto"/>
                      <w:kern w:val="2"/>
                      <w:sz w:val="21"/>
                      <w:szCs w:val="24"/>
                      <w:lang w:val="en-US" w:eastAsia="zh-CN" w:bidi="zh-CN"/>
                    </w:rPr>
                    <w:t>5</w:t>
                  </w:r>
                  <w:r>
                    <w:rPr>
                      <w:rFonts w:hint="eastAsia" w:ascii="Times New Roman" w:hAnsi="Times New Roman" w:eastAsia="宋体" w:cs="Times New Roman"/>
                      <w:color w:val="auto"/>
                      <w:kern w:val="2"/>
                      <w:sz w:val="21"/>
                      <w:szCs w:val="24"/>
                      <w:lang w:val="en-US" w:eastAsia="zh-CN" w:bidi="zh-CN"/>
                    </w:rPr>
                    <w:t>5</w:t>
                  </w:r>
                </w:p>
              </w:tc>
              <w:tc>
                <w:tcPr>
                  <w:tcW w:w="847" w:type="pct"/>
                  <w:tcBorders>
                    <w:top w:val="single" w:color="auto" w:sz="4" w:space="0"/>
                    <w:left w:val="single" w:color="000000" w:sz="4" w:space="0"/>
                    <w:bottom w:val="single" w:color="auto" w:sz="4" w:space="0"/>
                    <w:right w:val="nil"/>
                    <w:tl2br w:val="nil"/>
                    <w:tr2bl w:val="nil"/>
                  </w:tcBorders>
                  <w:noWrap/>
                  <w:vAlign w:val="center"/>
                </w:tcPr>
                <w:p w14:paraId="42F79502">
                  <w:pPr>
                    <w:widowControl w:val="0"/>
                    <w:overflowPunct w:val="0"/>
                    <w:topLinePunct/>
                    <w:jc w:val="center"/>
                    <w:rPr>
                      <w:rFonts w:hint="default" w:ascii="Times New Roman" w:hAnsi="Times New Roman" w:eastAsia="宋体" w:cs="Times New Roman"/>
                      <w:color w:val="auto"/>
                    </w:rPr>
                  </w:pPr>
                  <w:r>
                    <w:rPr>
                      <w:rFonts w:hint="default" w:ascii="Times New Roman" w:hAnsi="Times New Roman" w:eastAsia="宋体" w:cs="Times New Roman"/>
                      <w:color w:val="auto"/>
                      <w:kern w:val="2"/>
                      <w:sz w:val="21"/>
                      <w:szCs w:val="24"/>
                      <w:lang w:val="en-US" w:eastAsia="zh-CN" w:bidi="zh-CN"/>
                    </w:rPr>
                    <w:t>5</w:t>
                  </w:r>
                  <w:r>
                    <w:rPr>
                      <w:rFonts w:hint="eastAsia" w:ascii="Times New Roman" w:hAnsi="Times New Roman" w:eastAsia="宋体" w:cs="Times New Roman"/>
                      <w:color w:val="auto"/>
                      <w:kern w:val="2"/>
                      <w:sz w:val="21"/>
                      <w:szCs w:val="24"/>
                      <w:lang w:val="en-US" w:eastAsia="zh-CN" w:bidi="zh-CN"/>
                    </w:rPr>
                    <w:t>5</w:t>
                  </w:r>
                </w:p>
              </w:tc>
              <w:tc>
                <w:tcPr>
                  <w:tcW w:w="849" w:type="pct"/>
                  <w:tcBorders>
                    <w:top w:val="single" w:color="auto" w:sz="4" w:space="0"/>
                    <w:left w:val="single" w:color="000000" w:sz="4" w:space="0"/>
                    <w:bottom w:val="single" w:color="auto" w:sz="4" w:space="0"/>
                    <w:right w:val="nil"/>
                    <w:tl2br w:val="nil"/>
                    <w:tr2bl w:val="nil"/>
                  </w:tcBorders>
                  <w:noWrap/>
                  <w:vAlign w:val="center"/>
                </w:tcPr>
                <w:p w14:paraId="61351FF1">
                  <w:pPr>
                    <w:widowControl w:val="0"/>
                    <w:overflowPunct w:val="0"/>
                    <w:topLinePunct/>
                    <w:jc w:val="center"/>
                    <w:rPr>
                      <w:rFonts w:hint="default" w:ascii="Times New Roman" w:hAnsi="Times New Roman" w:eastAsia="宋体" w:cs="Times New Roman"/>
                      <w:color w:val="auto"/>
                    </w:rPr>
                  </w:pPr>
                  <w:r>
                    <w:rPr>
                      <w:rFonts w:hint="default" w:ascii="Times New Roman" w:hAnsi="Times New Roman" w:eastAsia="宋体" w:cs="Times New Roman"/>
                      <w:color w:val="auto"/>
                      <w:kern w:val="2"/>
                      <w:sz w:val="21"/>
                      <w:szCs w:val="24"/>
                      <w:lang w:val="en-US" w:eastAsia="zh-CN" w:bidi="zh-CN"/>
                    </w:rPr>
                    <w:t>5</w:t>
                  </w:r>
                  <w:r>
                    <w:rPr>
                      <w:rFonts w:hint="eastAsia" w:ascii="Times New Roman" w:hAnsi="Times New Roman" w:eastAsia="宋体" w:cs="Times New Roman"/>
                      <w:color w:val="auto"/>
                      <w:kern w:val="2"/>
                      <w:sz w:val="21"/>
                      <w:szCs w:val="24"/>
                      <w:lang w:val="en-US" w:eastAsia="zh-CN" w:bidi="zh-CN"/>
                    </w:rPr>
                    <w:t>5</w:t>
                  </w:r>
                </w:p>
              </w:tc>
            </w:tr>
            <w:tr w14:paraId="22E7E0AB">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108" w:type="dxa"/>
                  <w:bottom w:w="0" w:type="dxa"/>
                  <w:right w:w="108" w:type="dxa"/>
                </w:tblCellMar>
              </w:tblPrEx>
              <w:trPr>
                <w:trHeight w:val="454" w:hRule="atLeast"/>
              </w:trPr>
              <w:tc>
                <w:tcPr>
                  <w:tcW w:w="248" w:type="pct"/>
                  <w:tcBorders>
                    <w:top w:val="single" w:color="000000" w:sz="2" w:space="0"/>
                    <w:left w:val="nil"/>
                    <w:bottom w:val="single" w:color="000000" w:sz="12" w:space="0"/>
                    <w:right w:val="single" w:color="000000" w:sz="4" w:space="0"/>
                    <w:tl2br w:val="nil"/>
                    <w:tr2bl w:val="nil"/>
                  </w:tcBorders>
                  <w:noWrap/>
                  <w:vAlign w:val="center"/>
                </w:tcPr>
                <w:p w14:paraId="5220C1AC">
                  <w:pPr>
                    <w:widowControl w:val="0"/>
                    <w:overflowPunct w:val="0"/>
                    <w:topLinePunct/>
                    <w:jc w:val="center"/>
                    <w:rPr>
                      <w:rFonts w:hint="default" w:ascii="Times New Roman" w:hAnsi="Times New Roman" w:eastAsia="宋体" w:cs="Times New Roman"/>
                      <w:color w:val="auto"/>
                      <w:w w:val="99"/>
                      <w:kern w:val="2"/>
                      <w:sz w:val="21"/>
                      <w:szCs w:val="24"/>
                      <w:lang w:val="en-US" w:eastAsia="zh-CN" w:bidi="zh-CN"/>
                    </w:rPr>
                  </w:pPr>
                  <w:r>
                    <w:rPr>
                      <w:rFonts w:hint="default" w:ascii="Times New Roman" w:hAnsi="Times New Roman" w:eastAsia="宋体" w:cs="Times New Roman"/>
                      <w:color w:val="auto"/>
                      <w:w w:val="99"/>
                      <w:kern w:val="2"/>
                      <w:sz w:val="21"/>
                      <w:szCs w:val="24"/>
                      <w:lang w:val="en-US" w:eastAsia="zh-CN" w:bidi="zh-CN"/>
                    </w:rPr>
                    <w:t>3</w:t>
                  </w:r>
                </w:p>
              </w:tc>
              <w:tc>
                <w:tcPr>
                  <w:tcW w:w="1359" w:type="pct"/>
                  <w:gridSpan w:val="2"/>
                  <w:tcBorders>
                    <w:top w:val="single" w:color="000000" w:sz="2" w:space="0"/>
                    <w:left w:val="single" w:color="000000" w:sz="4" w:space="0"/>
                    <w:bottom w:val="single" w:color="000000" w:sz="12" w:space="0"/>
                    <w:right w:val="single" w:color="000000" w:sz="4" w:space="0"/>
                    <w:tl2br w:val="nil"/>
                    <w:tr2bl w:val="nil"/>
                  </w:tcBorders>
                  <w:noWrap/>
                  <w:vAlign w:val="center"/>
                </w:tcPr>
                <w:p w14:paraId="43B765B9">
                  <w:pPr>
                    <w:widowControl w:val="0"/>
                    <w:overflowPunct w:val="0"/>
                    <w:topLinePunct/>
                    <w:spacing w:line="360" w:lineRule="exa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贡献值超标达标情况</w:t>
                  </w:r>
                </w:p>
              </w:tc>
              <w:tc>
                <w:tcPr>
                  <w:tcW w:w="847" w:type="pct"/>
                  <w:tcBorders>
                    <w:top w:val="single" w:color="auto" w:sz="4" w:space="0"/>
                    <w:left w:val="single" w:color="000000" w:sz="4" w:space="0"/>
                    <w:bottom w:val="single" w:color="000000" w:sz="12" w:space="0"/>
                    <w:right w:val="nil"/>
                    <w:tl2br w:val="nil"/>
                    <w:tr2bl w:val="nil"/>
                  </w:tcBorders>
                  <w:noWrap/>
                  <w:vAlign w:val="center"/>
                </w:tcPr>
                <w:p w14:paraId="20C37756">
                  <w:pPr>
                    <w:widowControl w:val="0"/>
                    <w:overflowPunct w:val="0"/>
                    <w:topLinePunct/>
                    <w:spacing w:line="360" w:lineRule="exa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达标</w:t>
                  </w:r>
                </w:p>
              </w:tc>
              <w:tc>
                <w:tcPr>
                  <w:tcW w:w="847" w:type="pct"/>
                  <w:tcBorders>
                    <w:top w:val="single" w:color="auto" w:sz="4" w:space="0"/>
                    <w:left w:val="single" w:color="000000" w:sz="4" w:space="0"/>
                    <w:bottom w:val="single" w:color="000000" w:sz="12" w:space="0"/>
                    <w:right w:val="nil"/>
                    <w:tl2br w:val="nil"/>
                    <w:tr2bl w:val="nil"/>
                  </w:tcBorders>
                  <w:noWrap/>
                  <w:vAlign w:val="center"/>
                </w:tcPr>
                <w:p w14:paraId="5C1DDB85">
                  <w:pPr>
                    <w:widowControl w:val="0"/>
                    <w:overflowPunct w:val="0"/>
                    <w:topLinePunct/>
                    <w:spacing w:line="360" w:lineRule="exa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达标</w:t>
                  </w:r>
                </w:p>
              </w:tc>
              <w:tc>
                <w:tcPr>
                  <w:tcW w:w="847" w:type="pct"/>
                  <w:tcBorders>
                    <w:top w:val="single" w:color="auto" w:sz="4" w:space="0"/>
                    <w:left w:val="single" w:color="000000" w:sz="4" w:space="0"/>
                    <w:bottom w:val="single" w:color="000000" w:sz="12" w:space="0"/>
                    <w:right w:val="nil"/>
                    <w:tl2br w:val="nil"/>
                    <w:tr2bl w:val="nil"/>
                  </w:tcBorders>
                  <w:noWrap/>
                  <w:vAlign w:val="center"/>
                </w:tcPr>
                <w:p w14:paraId="1EF3AB54">
                  <w:pPr>
                    <w:widowControl w:val="0"/>
                    <w:overflowPunct w:val="0"/>
                    <w:topLinePunct/>
                    <w:spacing w:line="360" w:lineRule="exa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达标</w:t>
                  </w:r>
                </w:p>
              </w:tc>
              <w:tc>
                <w:tcPr>
                  <w:tcW w:w="849" w:type="pct"/>
                  <w:tcBorders>
                    <w:top w:val="single" w:color="auto" w:sz="4" w:space="0"/>
                    <w:left w:val="single" w:color="000000" w:sz="4" w:space="0"/>
                    <w:bottom w:val="single" w:color="000000" w:sz="12" w:space="0"/>
                    <w:right w:val="nil"/>
                    <w:tl2br w:val="nil"/>
                    <w:tr2bl w:val="nil"/>
                  </w:tcBorders>
                  <w:noWrap/>
                  <w:vAlign w:val="center"/>
                </w:tcPr>
                <w:p w14:paraId="2449113A">
                  <w:pPr>
                    <w:widowControl w:val="0"/>
                    <w:overflowPunct w:val="0"/>
                    <w:topLinePunct/>
                    <w:spacing w:line="360" w:lineRule="exact"/>
                    <w:jc w:val="center"/>
                    <w:rPr>
                      <w:rFonts w:hint="default" w:ascii="Times New Roman" w:hAnsi="Times New Roman" w:eastAsia="宋体" w:cs="Times New Roman"/>
                      <w:color w:val="auto"/>
                      <w:kern w:val="2"/>
                      <w:sz w:val="21"/>
                      <w:szCs w:val="24"/>
                      <w:lang w:val="en-US" w:eastAsia="zh-CN" w:bidi="zh-CN"/>
                    </w:rPr>
                  </w:pPr>
                  <w:r>
                    <w:rPr>
                      <w:rFonts w:hint="default" w:ascii="Times New Roman" w:hAnsi="Times New Roman" w:eastAsia="宋体" w:cs="Times New Roman"/>
                      <w:color w:val="auto"/>
                      <w:kern w:val="2"/>
                      <w:sz w:val="21"/>
                      <w:szCs w:val="24"/>
                      <w:lang w:val="en-US" w:eastAsia="zh-CN" w:bidi="zh-CN"/>
                    </w:rPr>
                    <w:t>达标</w:t>
                  </w:r>
                </w:p>
              </w:tc>
            </w:tr>
          </w:tbl>
          <w:p w14:paraId="7E1C529A">
            <w:pPr>
              <w:keepNext w:val="0"/>
              <w:keepLines w:val="0"/>
              <w:pageBreakBefore w:val="0"/>
              <w:widowControl w:val="0"/>
              <w:numPr>
                <w:ilvl w:val="0"/>
                <w:numId w:val="0"/>
              </w:numPr>
              <w:kinsoku/>
              <w:wordWrap/>
              <w:overflowPunct/>
              <w:topLinePunct w:val="0"/>
              <w:autoSpaceDE w:val="0"/>
              <w:autoSpaceDN w:val="0"/>
              <w:bidi w:val="0"/>
              <w:adjustRightInd/>
              <w:snapToGrid/>
              <w:spacing w:line="500" w:lineRule="exact"/>
              <w:ind w:firstLine="440" w:firstLineChars="200"/>
              <w:jc w:val="both"/>
              <w:textAlignment w:val="auto"/>
              <w:outlineLvl w:val="9"/>
              <w:rPr>
                <w:rFonts w:hint="default" w:ascii="Times New Roman" w:hAnsi="Times New Roman" w:cs="Times New Roman" w:eastAsiaTheme="minorEastAsia"/>
                <w:b w:val="0"/>
                <w:bCs/>
                <w:color w:val="auto"/>
                <w:kern w:val="0"/>
                <w:sz w:val="22"/>
                <w:szCs w:val="22"/>
                <w:lang w:val="en-US" w:eastAsia="zh-CN" w:bidi="ar-SA"/>
              </w:rPr>
            </w:pPr>
            <w:r>
              <w:rPr>
                <w:rFonts w:hint="default" w:ascii="Times New Roman" w:hAnsi="Times New Roman" w:cs="Times New Roman" w:eastAsiaTheme="minorEastAsia"/>
                <w:b w:val="0"/>
                <w:bCs/>
                <w:color w:val="auto"/>
                <w:kern w:val="0"/>
                <w:sz w:val="22"/>
                <w:szCs w:val="22"/>
                <w:lang w:val="en-US" w:eastAsia="zh-CN" w:bidi="ar-SA"/>
              </w:rPr>
              <w:t>由上表可以看出，本项目厂界满足《工业企业厂界环境噪声排放标准》（GB12348-2008）</w:t>
            </w:r>
            <w:r>
              <w:rPr>
                <w:rFonts w:hint="eastAsia" w:ascii="Times New Roman" w:hAnsi="Times New Roman" w:cs="Times New Roman" w:eastAsiaTheme="minorEastAsia"/>
                <w:b w:val="0"/>
                <w:bCs/>
                <w:color w:val="auto"/>
                <w:kern w:val="0"/>
                <w:sz w:val="22"/>
                <w:szCs w:val="22"/>
                <w:lang w:val="en-US" w:eastAsia="zh-CN" w:bidi="ar-SA"/>
              </w:rPr>
              <w:t>3</w:t>
            </w:r>
            <w:r>
              <w:rPr>
                <w:rFonts w:hint="default" w:ascii="Times New Roman" w:hAnsi="Times New Roman" w:cs="Times New Roman" w:eastAsiaTheme="minorEastAsia"/>
                <w:b w:val="0"/>
                <w:bCs/>
                <w:color w:val="auto"/>
                <w:kern w:val="0"/>
                <w:sz w:val="22"/>
                <w:szCs w:val="22"/>
                <w:lang w:val="en-US" w:eastAsia="zh-CN" w:bidi="ar-SA"/>
              </w:rPr>
              <w:t>类标准要求。</w:t>
            </w:r>
          </w:p>
          <w:p w14:paraId="68E22DBF">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4.3.4 防治措施</w:t>
            </w:r>
          </w:p>
          <w:p w14:paraId="5DA083B5">
            <w:pPr>
              <w:autoSpaceDE w:val="0"/>
              <w:autoSpaceDN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为使噪声稳定达标，确保拟建项目会给周围环境带来明显的噪声，必须重视对噪声的治理，采取切实有效的降噪措施：</w:t>
            </w:r>
          </w:p>
          <w:p w14:paraId="6B21761B">
            <w:pPr>
              <w:autoSpaceDE w:val="0"/>
              <w:autoSpaceDN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①购置低噪音、低能耗、高产能的新型机械设备，在设备安装过程中加强减振措施，从声源上降低设备噪声强度。动力设备采用钢砼隔振基础，管道、阀门接口采取缓动及减振的挠性接头（口）。</w:t>
            </w:r>
          </w:p>
          <w:p w14:paraId="136801AE">
            <w:pPr>
              <w:autoSpaceDE w:val="0"/>
              <w:autoSpaceDN w:val="0"/>
              <w:spacing w:line="500" w:lineRule="exact"/>
              <w:ind w:firstLine="440" w:firstLineChars="200"/>
              <w:jc w:val="left"/>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②本项目在密封的厂房内生产，对噪声较大的设备采用隔声措施，并合理安排布局、利用距离衰减降噪。</w:t>
            </w:r>
          </w:p>
          <w:p w14:paraId="73F8F43D">
            <w:pPr>
              <w:autoSpaceDE w:val="0"/>
              <w:autoSpaceDN w:val="0"/>
              <w:spacing w:line="500" w:lineRule="exact"/>
              <w:ind w:firstLine="440"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③所有设备指定专人定期保养、检修，同时加强生产管理，减少操作中的撞击声，避免产生不正常的高分贝噪声。</w:t>
            </w:r>
          </w:p>
          <w:p w14:paraId="6FB0A496">
            <w:pPr>
              <w:autoSpaceDE w:val="0"/>
              <w:autoSpaceDN w:val="0"/>
              <w:spacing w:line="500" w:lineRule="exact"/>
              <w:ind w:firstLine="440"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通过采取上述治理措施后，拟建项目的强噪声源可降噪2</w:t>
            </w:r>
            <w:r>
              <w:rPr>
                <w:rFonts w:hint="eastAsia" w:ascii="Times New Roman" w:hAnsi="Times New Roman" w:eastAsia="宋体" w:cs="Times New Roman"/>
                <w:color w:val="auto"/>
                <w:kern w:val="0"/>
                <w:sz w:val="22"/>
                <w:szCs w:val="22"/>
                <w:lang w:val="en-US" w:eastAsia="zh-CN"/>
              </w:rPr>
              <w:t>5</w:t>
            </w:r>
            <w:r>
              <w:rPr>
                <w:rFonts w:hint="default" w:ascii="Times New Roman" w:hAnsi="Times New Roman" w:eastAsia="宋体" w:cs="Times New Roman"/>
                <w:color w:val="auto"/>
                <w:kern w:val="0"/>
                <w:sz w:val="22"/>
                <w:szCs w:val="22"/>
              </w:rPr>
              <w:t>dB</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A</w:t>
            </w:r>
            <w:r>
              <w:rPr>
                <w:rFonts w:hint="eastAsia" w:cs="Times New Roman"/>
                <w:color w:val="auto"/>
                <w:kern w:val="0"/>
                <w:sz w:val="22"/>
                <w:szCs w:val="22"/>
                <w:lang w:eastAsia="zh-CN"/>
              </w:rPr>
              <w:t>）</w:t>
            </w:r>
            <w:r>
              <w:rPr>
                <w:rFonts w:hint="default" w:ascii="Times New Roman" w:hAnsi="Times New Roman" w:eastAsia="宋体" w:cs="Times New Roman"/>
                <w:color w:val="auto"/>
                <w:kern w:val="0"/>
                <w:sz w:val="22"/>
                <w:szCs w:val="22"/>
              </w:rPr>
              <w:t>，项目厂界噪声能够满足《工业企业厂界环境噪声排放标准》（GB12348-2008）中的</w:t>
            </w:r>
            <w:r>
              <w:rPr>
                <w:rFonts w:hint="eastAsia" w:ascii="Times New Roman" w:hAnsi="Times New Roman" w:eastAsia="宋体" w:cs="Times New Roman"/>
                <w:color w:val="auto"/>
                <w:kern w:val="0"/>
                <w:sz w:val="22"/>
                <w:szCs w:val="22"/>
                <w:lang w:val="en-US" w:eastAsia="zh-CN"/>
              </w:rPr>
              <w:t>3</w:t>
            </w:r>
            <w:r>
              <w:rPr>
                <w:rFonts w:hint="default" w:ascii="Times New Roman" w:hAnsi="Times New Roman" w:eastAsia="宋体" w:cs="Times New Roman"/>
                <w:color w:val="auto"/>
                <w:kern w:val="0"/>
                <w:sz w:val="22"/>
                <w:szCs w:val="22"/>
              </w:rPr>
              <w:t>类标准值。</w:t>
            </w:r>
          </w:p>
          <w:p w14:paraId="4483087F">
            <w:pPr>
              <w:autoSpaceDE w:val="0"/>
              <w:autoSpaceDN w:val="0"/>
              <w:spacing w:line="500" w:lineRule="exact"/>
              <w:ind w:firstLine="442"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kern w:val="0"/>
                <w:sz w:val="22"/>
                <w:szCs w:val="22"/>
              </w:rPr>
              <w:t>4.3.5 噪声污染源监测计划</w:t>
            </w:r>
          </w:p>
          <w:p w14:paraId="670AC69C">
            <w:pPr>
              <w:autoSpaceDE w:val="0"/>
              <w:autoSpaceDN w:val="0"/>
              <w:spacing w:line="500" w:lineRule="exact"/>
              <w:ind w:firstLine="440" w:firstLineChars="200"/>
              <w:rPr>
                <w:rFonts w:hint="default" w:ascii="Times New Roman" w:hAnsi="Times New Roman" w:eastAsia="宋体" w:cs="Times New Roman"/>
                <w:color w:val="auto"/>
                <w:kern w:val="0"/>
                <w:sz w:val="22"/>
                <w:szCs w:val="22"/>
              </w:rPr>
            </w:pPr>
            <w:r>
              <w:rPr>
                <w:rFonts w:hint="default" w:ascii="Times New Roman" w:hAnsi="Times New Roman" w:eastAsia="宋体" w:cs="Times New Roman"/>
                <w:color w:val="auto"/>
                <w:kern w:val="0"/>
                <w:sz w:val="22"/>
                <w:szCs w:val="22"/>
              </w:rPr>
              <w:t>参照《排污单位自行监测技术指南 总则》（HJ819-2017）、《排污单位自行监测技术指南 橡胶和塑料制品》（HJ1207-2021）中的自行监测要求，本项目噪声自行监测方案见表4.3.5-1。</w:t>
            </w:r>
          </w:p>
          <w:p w14:paraId="32E0AB74">
            <w:pPr>
              <w:autoSpaceDE w:val="0"/>
              <w:autoSpaceDN w:val="0"/>
              <w:spacing w:line="500" w:lineRule="exact"/>
              <w:jc w:val="center"/>
              <w:rPr>
                <w:rFonts w:hint="default" w:ascii="Times New Roman" w:hAnsi="Times New Roman" w:eastAsia="宋体" w:cs="Times New Roman"/>
                <w:color w:val="auto"/>
                <w:kern w:val="0"/>
                <w:sz w:val="22"/>
                <w:szCs w:val="22"/>
              </w:rPr>
            </w:pPr>
            <w:r>
              <w:rPr>
                <w:rFonts w:hint="default" w:ascii="Times New Roman" w:hAnsi="Times New Roman" w:eastAsia="宋体" w:cs="Times New Roman"/>
                <w:b/>
                <w:bCs/>
                <w:color w:val="auto"/>
                <w:sz w:val="24"/>
                <w:lang w:bidi="zh-CN"/>
              </w:rPr>
              <w:t>表4.3.5-1  项目噪声监测方案表</w:t>
            </w:r>
          </w:p>
          <w:tbl>
            <w:tblPr>
              <w:tblStyle w:val="44"/>
              <w:tblW w:w="498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93"/>
              <w:gridCol w:w="2394"/>
              <w:gridCol w:w="3046"/>
            </w:tblGrid>
            <w:tr w14:paraId="7D06D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021" w:type="pct"/>
                  <w:tcBorders>
                    <w:top w:val="single" w:color="auto" w:sz="12" w:space="0"/>
                  </w:tcBorders>
                  <w:vAlign w:val="center"/>
                </w:tcPr>
                <w:p w14:paraId="0B1BFD73">
                  <w:pPr>
                    <w:autoSpaceDE w:val="0"/>
                    <w:autoSpaceDN w:val="0"/>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监测点位</w:t>
                  </w:r>
                </w:p>
              </w:tc>
              <w:tc>
                <w:tcPr>
                  <w:tcW w:w="1310" w:type="pct"/>
                  <w:tcBorders>
                    <w:top w:val="single" w:color="auto" w:sz="12" w:space="0"/>
                  </w:tcBorders>
                  <w:vAlign w:val="center"/>
                </w:tcPr>
                <w:p w14:paraId="1680DC7F">
                  <w:pPr>
                    <w:autoSpaceDE w:val="0"/>
                    <w:autoSpaceDN w:val="0"/>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监测指标</w:t>
                  </w:r>
                </w:p>
              </w:tc>
              <w:tc>
                <w:tcPr>
                  <w:tcW w:w="1667" w:type="pct"/>
                  <w:tcBorders>
                    <w:top w:val="single" w:color="auto" w:sz="12" w:space="0"/>
                    <w:right w:val="nil"/>
                  </w:tcBorders>
                  <w:vAlign w:val="center"/>
                </w:tcPr>
                <w:p w14:paraId="027FFA72">
                  <w:pPr>
                    <w:autoSpaceDE w:val="0"/>
                    <w:autoSpaceDN w:val="0"/>
                    <w:spacing w:line="360" w:lineRule="exact"/>
                    <w:jc w:val="center"/>
                    <w:rPr>
                      <w:rFonts w:hint="default" w:ascii="Times New Roman" w:hAnsi="Times New Roman" w:eastAsia="宋体" w:cs="Times New Roman"/>
                      <w:b/>
                      <w:bCs/>
                      <w:color w:val="auto"/>
                      <w:kern w:val="0"/>
                      <w:szCs w:val="21"/>
                    </w:rPr>
                  </w:pPr>
                  <w:r>
                    <w:rPr>
                      <w:rFonts w:hint="default" w:ascii="Times New Roman" w:hAnsi="Times New Roman" w:eastAsia="宋体" w:cs="Times New Roman"/>
                      <w:b/>
                      <w:bCs/>
                      <w:color w:val="auto"/>
                      <w:kern w:val="0"/>
                      <w:szCs w:val="21"/>
                    </w:rPr>
                    <w:t>监测频次</w:t>
                  </w:r>
                </w:p>
              </w:tc>
            </w:tr>
            <w:tr w14:paraId="38C0A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021" w:type="pct"/>
                  <w:tcBorders>
                    <w:left w:val="nil"/>
                    <w:bottom w:val="single" w:color="auto" w:sz="12" w:space="0"/>
                  </w:tcBorders>
                  <w:vAlign w:val="center"/>
                </w:tcPr>
                <w:p w14:paraId="7434989E">
                  <w:pPr>
                    <w:autoSpaceDE w:val="0"/>
                    <w:autoSpaceDN w:val="0"/>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厂界四周各布设1个监测点</w:t>
                  </w:r>
                </w:p>
              </w:tc>
              <w:tc>
                <w:tcPr>
                  <w:tcW w:w="1310" w:type="pct"/>
                  <w:tcBorders>
                    <w:bottom w:val="single" w:color="auto" w:sz="12" w:space="0"/>
                  </w:tcBorders>
                  <w:vAlign w:val="center"/>
                </w:tcPr>
                <w:p w14:paraId="79787643">
                  <w:pPr>
                    <w:autoSpaceDE w:val="0"/>
                    <w:autoSpaceDN w:val="0"/>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噪声</w:t>
                  </w:r>
                </w:p>
              </w:tc>
              <w:tc>
                <w:tcPr>
                  <w:tcW w:w="1667" w:type="pct"/>
                  <w:tcBorders>
                    <w:bottom w:val="single" w:color="auto" w:sz="12" w:space="0"/>
                    <w:right w:val="nil"/>
                  </w:tcBorders>
                  <w:vAlign w:val="center"/>
                </w:tcPr>
                <w:p w14:paraId="4CBA6C42">
                  <w:pPr>
                    <w:autoSpaceDE w:val="0"/>
                    <w:autoSpaceDN w:val="0"/>
                    <w:spacing w:line="360" w:lineRule="exac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1次/季度，昼夜</w:t>
                  </w:r>
                </w:p>
              </w:tc>
            </w:tr>
          </w:tbl>
          <w:p w14:paraId="6CB18929">
            <w:pPr>
              <w:keepNext w:val="0"/>
              <w:keepLines w:val="0"/>
              <w:pageBreakBefore w:val="0"/>
              <w:widowControl w:val="0"/>
              <w:suppressLineNumbers w:val="0"/>
              <w:kinsoku/>
              <w:wordWrap/>
              <w:overflowPunct/>
              <w:topLinePunct w:val="0"/>
              <w:autoSpaceDE/>
              <w:autoSpaceDN/>
              <w:bidi w:val="0"/>
              <w:adjustRightInd/>
              <w:snapToGrid/>
              <w:spacing w:line="500" w:lineRule="exact"/>
              <w:ind w:firstLine="442"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
                <w:color w:val="auto"/>
                <w:kern w:val="0"/>
                <w:sz w:val="22"/>
                <w:szCs w:val="22"/>
                <w:lang w:val="en-US" w:eastAsia="zh-CN" w:bidi="ar"/>
              </w:rPr>
              <w:t>4.4固废</w:t>
            </w:r>
          </w:p>
          <w:p w14:paraId="5FF1BDF3">
            <w:pPr>
              <w:keepNext w:val="0"/>
              <w:keepLines w:val="0"/>
              <w:pageBreakBefore w:val="0"/>
              <w:widowControl w:val="0"/>
              <w:kinsoku/>
              <w:wordWrap/>
              <w:overflowPunct/>
              <w:topLinePunct w:val="0"/>
              <w:autoSpaceDE w:val="0"/>
              <w:autoSpaceDN w:val="0"/>
              <w:bidi w:val="0"/>
              <w:adjustRightInd w:val="0"/>
              <w:snapToGrid w:val="0"/>
              <w:spacing w:line="500" w:lineRule="exact"/>
              <w:ind w:left="0" w:leftChars="0" w:firstLine="442" w:firstLineChars="200"/>
              <w:textAlignment w:val="auto"/>
              <w:rPr>
                <w:rFonts w:hint="default" w:ascii="Times New Roman" w:hAnsi="Times New Roman" w:eastAsia="宋体" w:cs="Times New Roman"/>
                <w:b/>
                <w:color w:val="auto"/>
                <w:w w:val="100"/>
                <w:sz w:val="22"/>
                <w:szCs w:val="22"/>
                <w:lang w:val="en-US" w:eastAsia="zh-CN"/>
              </w:rPr>
            </w:pPr>
            <w:r>
              <w:rPr>
                <w:rFonts w:hint="eastAsia" w:ascii="Times New Roman" w:hAnsi="Times New Roman" w:eastAsia="宋体" w:cs="Times New Roman"/>
                <w:b/>
                <w:color w:val="auto"/>
                <w:w w:val="100"/>
                <w:sz w:val="22"/>
                <w:szCs w:val="22"/>
                <w:lang w:val="en-US" w:eastAsia="zh-CN"/>
              </w:rPr>
              <w:t xml:space="preserve">4.4.1 </w:t>
            </w:r>
            <w:r>
              <w:rPr>
                <w:rFonts w:hint="default" w:ascii="Times New Roman" w:hAnsi="Times New Roman" w:eastAsia="宋体" w:cs="Times New Roman"/>
                <w:b/>
                <w:color w:val="auto"/>
                <w:w w:val="100"/>
                <w:sz w:val="22"/>
                <w:szCs w:val="22"/>
              </w:rPr>
              <w:t>固废</w:t>
            </w:r>
            <w:r>
              <w:rPr>
                <w:rFonts w:hint="default" w:ascii="Times New Roman" w:hAnsi="Times New Roman" w:eastAsia="宋体" w:cs="Times New Roman"/>
                <w:b/>
                <w:color w:val="auto"/>
                <w:w w:val="100"/>
                <w:sz w:val="22"/>
                <w:szCs w:val="22"/>
                <w:lang w:val="en-US" w:eastAsia="zh-CN"/>
              </w:rPr>
              <w:t>产生情况</w:t>
            </w:r>
          </w:p>
          <w:p w14:paraId="2DB1F305">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lang w:eastAsia="zh-CN"/>
              </w:rPr>
              <w:t>技改</w:t>
            </w:r>
            <w:r>
              <w:rPr>
                <w:rFonts w:hint="default" w:ascii="Times New Roman" w:hAnsi="Times New Roman" w:eastAsia="宋体" w:cs="Times New Roman"/>
                <w:color w:val="auto"/>
                <w:w w:val="100"/>
                <w:sz w:val="22"/>
                <w:szCs w:val="22"/>
              </w:rPr>
              <w:t>项目产生的固废主要为危险废物、一般固废和生活垃圾。</w:t>
            </w:r>
          </w:p>
          <w:p w14:paraId="10FBF1F8">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color w:val="auto"/>
                <w:w w:val="100"/>
                <w:sz w:val="22"/>
                <w:szCs w:val="22"/>
                <w:highlight w:val="none"/>
                <w:lang w:eastAsia="zh-CN"/>
              </w:rPr>
            </w:pPr>
            <w:r>
              <w:rPr>
                <w:rFonts w:hint="eastAsia" w:ascii="宋体" w:hAnsi="宋体" w:eastAsia="宋体" w:cs="宋体"/>
                <w:b/>
                <w:bCs/>
                <w:color w:val="auto"/>
                <w:w w:val="100"/>
                <w:sz w:val="22"/>
                <w:szCs w:val="22"/>
              </w:rPr>
              <w:t>⑴危险废物</w:t>
            </w:r>
          </w:p>
          <w:p w14:paraId="5F99F35B">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eastAsia" w:ascii="Times New Roman" w:hAnsi="Times New Roman" w:eastAsia="宋体" w:cs="Times New Roman"/>
                <w:b/>
                <w:bCs/>
                <w:color w:val="auto"/>
                <w:w w:val="100"/>
                <w:sz w:val="22"/>
                <w:szCs w:val="22"/>
                <w:lang w:eastAsia="zh-CN"/>
              </w:rPr>
            </w:pPr>
            <w:r>
              <w:rPr>
                <w:rFonts w:hint="default" w:ascii="Times New Roman" w:hAnsi="Times New Roman" w:eastAsia="宋体" w:cs="Times New Roman"/>
                <w:b/>
                <w:bCs/>
                <w:color w:val="auto"/>
                <w:w w:val="100"/>
                <w:sz w:val="22"/>
                <w:szCs w:val="22"/>
              </w:rPr>
              <w:t>①</w:t>
            </w:r>
            <w:r>
              <w:rPr>
                <w:rFonts w:hint="eastAsia" w:cs="Times New Roman"/>
                <w:b/>
                <w:bCs/>
                <w:color w:val="auto"/>
                <w:w w:val="100"/>
                <w:sz w:val="22"/>
                <w:szCs w:val="22"/>
                <w:lang w:eastAsia="zh-CN"/>
              </w:rPr>
              <w:t>废胶水</w:t>
            </w:r>
            <w:r>
              <w:rPr>
                <w:rFonts w:hint="default" w:ascii="Times New Roman" w:hAnsi="Times New Roman" w:eastAsia="宋体" w:cs="Times New Roman"/>
                <w:b/>
                <w:bCs/>
                <w:color w:val="auto"/>
                <w:w w:val="100"/>
                <w:sz w:val="22"/>
                <w:szCs w:val="22"/>
                <w:highlight w:val="none"/>
                <w:lang w:val="en-US" w:eastAsia="zh-CN"/>
              </w:rPr>
              <w:t>（S</w:t>
            </w:r>
            <w:r>
              <w:rPr>
                <w:rFonts w:hint="eastAsia" w:cs="Times New Roman"/>
                <w:b/>
                <w:bCs/>
                <w:color w:val="auto"/>
                <w:w w:val="100"/>
                <w:sz w:val="22"/>
                <w:szCs w:val="22"/>
                <w:highlight w:val="none"/>
                <w:lang w:val="en-US" w:eastAsia="zh-CN"/>
              </w:rPr>
              <w:t>1</w:t>
            </w:r>
            <w:r>
              <w:rPr>
                <w:rFonts w:hint="default" w:ascii="Times New Roman" w:hAnsi="Times New Roman" w:eastAsia="宋体" w:cs="Times New Roman"/>
                <w:b/>
                <w:bCs/>
                <w:color w:val="auto"/>
                <w:w w:val="100"/>
                <w:sz w:val="22"/>
                <w:szCs w:val="22"/>
                <w:highlight w:val="none"/>
                <w:lang w:val="en-US" w:eastAsia="zh-CN"/>
              </w:rPr>
              <w:t>-</w:t>
            </w:r>
            <w:r>
              <w:rPr>
                <w:rFonts w:hint="eastAsia" w:ascii="Times New Roman" w:hAnsi="Times New Roman" w:eastAsia="宋体" w:cs="Times New Roman"/>
                <w:b/>
                <w:bCs/>
                <w:color w:val="auto"/>
                <w:w w:val="100"/>
                <w:sz w:val="22"/>
                <w:szCs w:val="22"/>
                <w:highlight w:val="none"/>
                <w:lang w:val="en-US" w:eastAsia="zh-CN"/>
              </w:rPr>
              <w:t>2</w:t>
            </w:r>
            <w:r>
              <w:rPr>
                <w:rFonts w:hint="default" w:ascii="Times New Roman" w:hAnsi="Times New Roman" w:eastAsia="宋体" w:cs="Times New Roman"/>
                <w:b/>
                <w:bCs/>
                <w:color w:val="auto"/>
                <w:w w:val="100"/>
                <w:sz w:val="22"/>
                <w:szCs w:val="22"/>
                <w:highlight w:val="none"/>
                <w:lang w:val="en-US" w:eastAsia="zh-CN"/>
              </w:rPr>
              <w:t>）</w:t>
            </w:r>
          </w:p>
          <w:p w14:paraId="4578D36B">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b/>
                <w:bCs/>
                <w:color w:val="auto"/>
                <w:w w:val="100"/>
                <w:sz w:val="22"/>
                <w:szCs w:val="22"/>
                <w:lang w:eastAsia="zh-CN"/>
              </w:rPr>
            </w:pPr>
            <w:r>
              <w:rPr>
                <w:rFonts w:hint="default" w:ascii="Times New Roman" w:hAnsi="Times New Roman" w:eastAsia="宋体" w:cs="Times New Roman"/>
                <w:color w:val="auto"/>
                <w:w w:val="100"/>
                <w:sz w:val="22"/>
                <w:szCs w:val="22"/>
                <w:highlight w:val="none"/>
                <w:lang w:val="en-US" w:eastAsia="zh-CN"/>
              </w:rPr>
              <w:t>根据企业提供的资料，建设项目</w:t>
            </w:r>
            <w:r>
              <w:rPr>
                <w:rFonts w:hint="default" w:ascii="Times New Roman" w:hAnsi="Times New Roman" w:cs="Times New Roman"/>
                <w:color w:val="auto"/>
                <w:w w:val="100"/>
                <w:sz w:val="22"/>
                <w:szCs w:val="22"/>
                <w:highlight w:val="none"/>
                <w:lang w:val="en-US" w:eastAsia="zh-CN"/>
              </w:rPr>
              <w:t>涂胶过程中</w:t>
            </w:r>
            <w:r>
              <w:rPr>
                <w:rFonts w:hint="default" w:ascii="Times New Roman" w:hAnsi="Times New Roman" w:eastAsia="宋体" w:cs="Times New Roman"/>
                <w:color w:val="auto"/>
                <w:w w:val="100"/>
                <w:sz w:val="22"/>
                <w:szCs w:val="22"/>
                <w:highlight w:val="none"/>
                <w:lang w:val="en-US" w:eastAsia="zh-CN"/>
              </w:rPr>
              <w:t>产生的废</w:t>
            </w:r>
            <w:r>
              <w:rPr>
                <w:rFonts w:hint="default" w:ascii="Times New Roman" w:hAnsi="Times New Roman" w:cs="Times New Roman"/>
                <w:color w:val="auto"/>
                <w:w w:val="100"/>
                <w:sz w:val="22"/>
                <w:szCs w:val="22"/>
                <w:highlight w:val="none"/>
                <w:lang w:val="en-US" w:eastAsia="zh-CN"/>
              </w:rPr>
              <w:t>胶水</w:t>
            </w:r>
            <w:r>
              <w:rPr>
                <w:rFonts w:hint="default" w:ascii="Times New Roman" w:hAnsi="Times New Roman" w:eastAsia="宋体" w:cs="Times New Roman"/>
                <w:color w:val="auto"/>
                <w:w w:val="100"/>
                <w:sz w:val="22"/>
                <w:szCs w:val="22"/>
                <w:highlight w:val="none"/>
                <w:lang w:val="en-US" w:eastAsia="zh-CN"/>
              </w:rPr>
              <w:t>约为</w:t>
            </w:r>
            <w:r>
              <w:rPr>
                <w:rFonts w:hint="default" w:ascii="Times New Roman" w:hAnsi="Times New Roman" w:cs="Times New Roman"/>
                <w:color w:val="auto"/>
                <w:w w:val="100"/>
                <w:sz w:val="22"/>
                <w:szCs w:val="22"/>
                <w:highlight w:val="none"/>
                <w:lang w:val="en-US" w:eastAsia="zh-CN"/>
              </w:rPr>
              <w:t>1.0</w:t>
            </w:r>
            <w:r>
              <w:rPr>
                <w:rFonts w:hint="default" w:ascii="Times New Roman" w:hAnsi="Times New Roman" w:eastAsia="宋体" w:cs="Times New Roman"/>
                <w:color w:val="auto"/>
                <w:w w:val="100"/>
                <w:sz w:val="22"/>
                <w:szCs w:val="22"/>
                <w:highlight w:val="none"/>
                <w:lang w:val="en-US" w:eastAsia="zh-CN"/>
              </w:rPr>
              <w:t>t/a，经查属于危险废物（HW06废有机溶剂与含有机溶剂废物，900-402-06），委托有资质单位处置。</w:t>
            </w:r>
          </w:p>
          <w:p w14:paraId="636AE218">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color w:val="auto"/>
                <w:w w:val="100"/>
                <w:sz w:val="22"/>
                <w:szCs w:val="22"/>
                <w:highlight w:val="none"/>
                <w:lang w:val="en-US" w:eastAsia="zh-CN"/>
              </w:rPr>
            </w:pPr>
            <w:r>
              <w:rPr>
                <w:rFonts w:hint="default" w:ascii="Times New Roman" w:hAnsi="Times New Roman" w:eastAsia="宋体" w:cs="Times New Roman"/>
                <w:b/>
                <w:bCs/>
                <w:color w:val="auto"/>
                <w:kern w:val="2"/>
                <w:sz w:val="22"/>
                <w:szCs w:val="22"/>
                <w:lang w:val="en-US" w:eastAsia="zh-CN" w:bidi="ar-SA"/>
              </w:rPr>
              <w:t>②</w:t>
            </w:r>
            <w:r>
              <w:rPr>
                <w:rFonts w:hint="default" w:ascii="Times New Roman" w:hAnsi="Times New Roman" w:eastAsia="宋体" w:cs="Times New Roman"/>
                <w:b/>
                <w:bCs/>
                <w:color w:val="auto"/>
                <w:w w:val="100"/>
                <w:sz w:val="22"/>
                <w:szCs w:val="22"/>
                <w:highlight w:val="none"/>
                <w:lang w:val="en-US" w:eastAsia="zh-CN"/>
              </w:rPr>
              <w:t>废</w:t>
            </w:r>
            <w:r>
              <w:rPr>
                <w:rFonts w:hint="eastAsia" w:ascii="Times New Roman" w:hAnsi="Times New Roman" w:eastAsia="宋体" w:cs="Times New Roman"/>
                <w:b/>
                <w:bCs/>
                <w:color w:val="auto"/>
                <w:w w:val="100"/>
                <w:sz w:val="22"/>
                <w:szCs w:val="22"/>
                <w:highlight w:val="none"/>
                <w:lang w:val="en-US" w:eastAsia="zh-CN"/>
              </w:rPr>
              <w:t>清洗</w:t>
            </w:r>
            <w:r>
              <w:rPr>
                <w:rFonts w:hint="default" w:ascii="Times New Roman" w:hAnsi="Times New Roman" w:eastAsia="宋体" w:cs="Times New Roman"/>
                <w:b/>
                <w:bCs/>
                <w:color w:val="auto"/>
                <w:w w:val="100"/>
                <w:sz w:val="22"/>
                <w:szCs w:val="22"/>
                <w:highlight w:val="none"/>
                <w:lang w:val="en-US" w:eastAsia="zh-CN"/>
              </w:rPr>
              <w:t>液（S2-</w:t>
            </w:r>
            <w:r>
              <w:rPr>
                <w:rFonts w:hint="eastAsia" w:ascii="Times New Roman" w:hAnsi="Times New Roman" w:eastAsia="宋体" w:cs="Times New Roman"/>
                <w:b/>
                <w:bCs/>
                <w:color w:val="auto"/>
                <w:w w:val="100"/>
                <w:sz w:val="22"/>
                <w:szCs w:val="22"/>
                <w:highlight w:val="none"/>
                <w:lang w:val="en-US" w:eastAsia="zh-CN"/>
              </w:rPr>
              <w:t>2</w:t>
            </w:r>
            <w:r>
              <w:rPr>
                <w:rFonts w:hint="default" w:ascii="Times New Roman" w:hAnsi="Times New Roman" w:eastAsia="宋体" w:cs="Times New Roman"/>
                <w:b/>
                <w:bCs/>
                <w:color w:val="auto"/>
                <w:w w:val="100"/>
                <w:sz w:val="22"/>
                <w:szCs w:val="22"/>
                <w:highlight w:val="none"/>
                <w:lang w:val="en-US" w:eastAsia="zh-CN"/>
              </w:rPr>
              <w:t>）</w:t>
            </w:r>
          </w:p>
          <w:p w14:paraId="66909400">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eastAsia" w:ascii="Times New Roman" w:hAnsi="Times New Roman" w:eastAsia="宋体" w:cs="Times New Roman"/>
                <w:b/>
                <w:bCs/>
                <w:color w:val="auto"/>
                <w:w w:val="100"/>
                <w:sz w:val="22"/>
                <w:szCs w:val="22"/>
                <w:lang w:eastAsia="zh-CN"/>
              </w:rPr>
            </w:pPr>
            <w:r>
              <w:rPr>
                <w:rFonts w:hint="eastAsia" w:ascii="Times New Roman" w:hAnsi="Times New Roman" w:eastAsia="宋体" w:cs="Times New Roman"/>
                <w:color w:val="auto"/>
                <w:w w:val="100"/>
                <w:sz w:val="22"/>
                <w:szCs w:val="22"/>
                <w:highlight w:val="none"/>
                <w:lang w:val="en-US" w:eastAsia="zh-CN"/>
              </w:rPr>
              <w:t>根据企业提供的资料，建设项目</w:t>
            </w:r>
            <w:r>
              <w:rPr>
                <w:rFonts w:hint="eastAsia" w:cs="Times New Roman"/>
                <w:color w:val="auto"/>
                <w:w w:val="100"/>
                <w:sz w:val="22"/>
                <w:szCs w:val="22"/>
                <w:highlight w:val="none"/>
                <w:lang w:val="en-US" w:eastAsia="zh-CN"/>
              </w:rPr>
              <w:t>轴芯清洗过程中</w:t>
            </w:r>
            <w:r>
              <w:rPr>
                <w:rFonts w:hint="eastAsia" w:ascii="Times New Roman" w:hAnsi="Times New Roman" w:eastAsia="宋体" w:cs="Times New Roman"/>
                <w:color w:val="auto"/>
                <w:w w:val="100"/>
                <w:sz w:val="22"/>
                <w:szCs w:val="22"/>
                <w:highlight w:val="none"/>
                <w:lang w:val="en-US" w:eastAsia="zh-CN"/>
              </w:rPr>
              <w:t>产生的废清洗量约为3.8t/a，经查属于危险废物（HW06废有机溶剂与含有机溶剂废物，900-402-06），委托有资质单位处置。</w:t>
            </w:r>
          </w:p>
          <w:p w14:paraId="7EF9AFD1">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color w:val="auto"/>
                <w:w w:val="100"/>
                <w:sz w:val="22"/>
                <w:szCs w:val="22"/>
                <w:highlight w:val="none"/>
                <w:lang w:val="en-US" w:eastAsia="zh-CN"/>
              </w:rPr>
            </w:pPr>
            <w:r>
              <w:rPr>
                <w:rFonts w:hint="eastAsia" w:ascii="Times New Roman" w:hAnsi="Times New Roman" w:eastAsia="宋体" w:cs="Times New Roman"/>
                <w:b/>
                <w:bCs/>
                <w:color w:val="auto"/>
                <w:kern w:val="2"/>
                <w:sz w:val="22"/>
                <w:szCs w:val="22"/>
                <w:lang w:val="en-US" w:eastAsia="zh-CN" w:bidi="ar-SA"/>
              </w:rPr>
              <w:t>③</w:t>
            </w:r>
            <w:r>
              <w:rPr>
                <w:rFonts w:hint="eastAsia" w:cs="Times New Roman"/>
                <w:b/>
                <w:bCs/>
                <w:color w:val="auto"/>
                <w:w w:val="100"/>
                <w:sz w:val="22"/>
                <w:szCs w:val="22"/>
                <w:highlight w:val="none"/>
                <w:lang w:val="en-US" w:eastAsia="zh-CN"/>
              </w:rPr>
              <w:t>废涂液</w:t>
            </w:r>
            <w:r>
              <w:rPr>
                <w:rFonts w:hint="default" w:ascii="Times New Roman" w:hAnsi="Times New Roman" w:eastAsia="宋体" w:cs="Times New Roman"/>
                <w:b/>
                <w:bCs/>
                <w:color w:val="auto"/>
                <w:w w:val="100"/>
                <w:sz w:val="22"/>
                <w:szCs w:val="22"/>
                <w:highlight w:val="none"/>
                <w:lang w:val="en-US" w:eastAsia="zh-CN"/>
              </w:rPr>
              <w:t>（S2-</w:t>
            </w:r>
            <w:r>
              <w:rPr>
                <w:rFonts w:hint="eastAsia" w:ascii="Times New Roman" w:hAnsi="Times New Roman" w:eastAsia="宋体" w:cs="Times New Roman"/>
                <w:b/>
                <w:bCs/>
                <w:color w:val="auto"/>
                <w:w w:val="100"/>
                <w:sz w:val="22"/>
                <w:szCs w:val="22"/>
                <w:highlight w:val="none"/>
                <w:lang w:val="en-US" w:eastAsia="zh-CN"/>
              </w:rPr>
              <w:t>3</w:t>
            </w:r>
            <w:r>
              <w:rPr>
                <w:rFonts w:hint="default" w:ascii="Times New Roman" w:hAnsi="Times New Roman" w:eastAsia="宋体" w:cs="Times New Roman"/>
                <w:b/>
                <w:bCs/>
                <w:color w:val="auto"/>
                <w:w w:val="100"/>
                <w:sz w:val="22"/>
                <w:szCs w:val="22"/>
                <w:highlight w:val="none"/>
                <w:lang w:val="en-US" w:eastAsia="zh-CN"/>
              </w:rPr>
              <w:t>）</w:t>
            </w:r>
          </w:p>
          <w:p w14:paraId="68B833A6">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eastAsia" w:ascii="Times New Roman" w:hAnsi="Times New Roman" w:eastAsia="宋体" w:cs="Times New Roman"/>
                <w:color w:val="auto"/>
                <w:w w:val="100"/>
                <w:sz w:val="22"/>
                <w:szCs w:val="22"/>
                <w:highlight w:val="none"/>
                <w:lang w:val="en-US" w:eastAsia="zh-CN"/>
              </w:rPr>
            </w:pPr>
            <w:r>
              <w:rPr>
                <w:rFonts w:hint="eastAsia" w:ascii="Times New Roman" w:hAnsi="Times New Roman" w:eastAsia="宋体" w:cs="Times New Roman"/>
                <w:color w:val="auto"/>
                <w:w w:val="100"/>
                <w:sz w:val="22"/>
                <w:szCs w:val="22"/>
                <w:highlight w:val="none"/>
                <w:lang w:val="en-US" w:eastAsia="zh-CN"/>
              </w:rPr>
              <w:t>根据企业提供的资料，建设项目</w:t>
            </w:r>
            <w:r>
              <w:rPr>
                <w:rFonts w:hint="eastAsia" w:cs="Times New Roman"/>
                <w:color w:val="auto"/>
                <w:w w:val="100"/>
                <w:sz w:val="22"/>
                <w:szCs w:val="22"/>
                <w:highlight w:val="none"/>
                <w:lang w:val="en-US" w:eastAsia="zh-CN"/>
              </w:rPr>
              <w:t>轴芯涂胶过程中</w:t>
            </w:r>
            <w:r>
              <w:rPr>
                <w:rFonts w:hint="eastAsia" w:ascii="Times New Roman" w:hAnsi="Times New Roman" w:eastAsia="宋体" w:cs="Times New Roman"/>
                <w:color w:val="auto"/>
                <w:w w:val="100"/>
                <w:sz w:val="22"/>
                <w:szCs w:val="22"/>
                <w:highlight w:val="none"/>
                <w:lang w:val="en-US" w:eastAsia="zh-CN"/>
              </w:rPr>
              <w:t>产生的</w:t>
            </w:r>
            <w:r>
              <w:rPr>
                <w:rFonts w:hint="eastAsia" w:cs="Times New Roman"/>
                <w:color w:val="auto"/>
                <w:w w:val="100"/>
                <w:sz w:val="22"/>
                <w:szCs w:val="22"/>
                <w:highlight w:val="none"/>
                <w:lang w:val="en-US" w:eastAsia="zh-CN"/>
              </w:rPr>
              <w:t>废涂液</w:t>
            </w:r>
            <w:r>
              <w:rPr>
                <w:rFonts w:hint="eastAsia" w:ascii="Times New Roman" w:hAnsi="Times New Roman" w:eastAsia="宋体" w:cs="Times New Roman"/>
                <w:color w:val="auto"/>
                <w:w w:val="100"/>
                <w:sz w:val="22"/>
                <w:szCs w:val="22"/>
                <w:highlight w:val="none"/>
                <w:lang w:val="en-US" w:eastAsia="zh-CN"/>
              </w:rPr>
              <w:t>量约为</w:t>
            </w:r>
            <w:r>
              <w:rPr>
                <w:rFonts w:hint="eastAsia" w:cs="Times New Roman"/>
                <w:color w:val="auto"/>
                <w:w w:val="100"/>
                <w:sz w:val="22"/>
                <w:szCs w:val="22"/>
                <w:highlight w:val="none"/>
                <w:lang w:val="en-US" w:eastAsia="zh-CN"/>
              </w:rPr>
              <w:t>10</w:t>
            </w:r>
            <w:r>
              <w:rPr>
                <w:rFonts w:hint="eastAsia" w:ascii="Times New Roman" w:hAnsi="Times New Roman" w:eastAsia="宋体" w:cs="Times New Roman"/>
                <w:color w:val="auto"/>
                <w:w w:val="100"/>
                <w:sz w:val="22"/>
                <w:szCs w:val="22"/>
                <w:highlight w:val="none"/>
                <w:lang w:val="en-US" w:eastAsia="zh-CN"/>
              </w:rPr>
              <w:t>t/a，经查属于危险废物（HW06废有机溶剂与含有机溶剂废物，900-402-06），委托有资质单位处置。</w:t>
            </w:r>
          </w:p>
          <w:p w14:paraId="194B0FE4">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eastAsia" w:ascii="宋体" w:hAnsi="宋体" w:eastAsia="宋体" w:cs="宋体"/>
                <w:color w:val="auto"/>
                <w:w w:val="100"/>
                <w:sz w:val="22"/>
                <w:szCs w:val="22"/>
                <w:highlight w:val="none"/>
                <w:lang w:eastAsia="zh-CN"/>
              </w:rPr>
            </w:pPr>
            <w:r>
              <w:rPr>
                <w:rFonts w:hint="eastAsia" w:ascii="Times New Roman" w:hAnsi="Times New Roman" w:eastAsia="宋体" w:cs="Times New Roman"/>
                <w:b/>
                <w:bCs/>
                <w:color w:val="auto"/>
                <w:kern w:val="2"/>
                <w:sz w:val="22"/>
                <w:szCs w:val="22"/>
                <w:lang w:val="en-US" w:eastAsia="zh-CN" w:bidi="ar-SA"/>
              </w:rPr>
              <w:t>④废渣（</w:t>
            </w:r>
            <w:r>
              <w:rPr>
                <w:rFonts w:hint="default" w:ascii="Times New Roman" w:hAnsi="Times New Roman" w:eastAsia="宋体" w:cs="Times New Roman"/>
                <w:b/>
                <w:bCs/>
                <w:color w:val="auto"/>
                <w:w w:val="100"/>
                <w:sz w:val="22"/>
                <w:szCs w:val="22"/>
                <w:highlight w:val="none"/>
                <w:lang w:val="en-US" w:eastAsia="zh-CN"/>
              </w:rPr>
              <w:t>S2-</w:t>
            </w:r>
            <w:r>
              <w:rPr>
                <w:rFonts w:hint="eastAsia" w:cs="Times New Roman"/>
                <w:b/>
                <w:bCs/>
                <w:color w:val="auto"/>
                <w:w w:val="100"/>
                <w:sz w:val="22"/>
                <w:szCs w:val="22"/>
                <w:highlight w:val="none"/>
                <w:lang w:val="en-US" w:eastAsia="zh-CN"/>
              </w:rPr>
              <w:t>6</w:t>
            </w:r>
            <w:r>
              <w:rPr>
                <w:rFonts w:hint="eastAsia" w:ascii="Times New Roman" w:hAnsi="Times New Roman" w:eastAsia="宋体" w:cs="Times New Roman"/>
                <w:b/>
                <w:bCs/>
                <w:color w:val="auto"/>
                <w:kern w:val="2"/>
                <w:sz w:val="22"/>
                <w:szCs w:val="22"/>
                <w:lang w:val="en-US" w:eastAsia="zh-CN" w:bidi="ar-SA"/>
              </w:rPr>
              <w:t>）</w:t>
            </w:r>
          </w:p>
          <w:p w14:paraId="3FCF74EE">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color w:val="auto"/>
                <w:w w:val="100"/>
                <w:sz w:val="22"/>
                <w:szCs w:val="22"/>
                <w:highlight w:val="none"/>
                <w:lang w:val="en-US" w:eastAsia="zh-CN"/>
              </w:rPr>
            </w:pPr>
            <w:r>
              <w:rPr>
                <w:rFonts w:hint="eastAsia" w:ascii="Times New Roman" w:hAnsi="Times New Roman" w:eastAsia="宋体" w:cs="Times New Roman"/>
                <w:color w:val="auto"/>
                <w:w w:val="100"/>
                <w:sz w:val="22"/>
                <w:szCs w:val="22"/>
                <w:highlight w:val="none"/>
                <w:lang w:eastAsia="zh-CN"/>
              </w:rPr>
              <w:t>项目在喷涂过程中产生有机废渣约</w:t>
            </w:r>
            <w:r>
              <w:rPr>
                <w:rFonts w:hint="eastAsia" w:ascii="Times New Roman" w:hAnsi="Times New Roman" w:eastAsia="宋体" w:cs="Times New Roman"/>
                <w:color w:val="auto"/>
                <w:w w:val="100"/>
                <w:sz w:val="22"/>
                <w:szCs w:val="22"/>
                <w:highlight w:val="none"/>
                <w:lang w:val="en-US" w:eastAsia="zh-CN"/>
              </w:rPr>
              <w:t>20t/a，属于《国家危险废物名录》（2021年版）中“HW06 废有机溶剂与含有机溶剂废物（900-402-06）”，委托有资质单位处置。</w:t>
            </w:r>
          </w:p>
          <w:p w14:paraId="5EF046D7">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color w:val="auto"/>
                <w:w w:val="100"/>
                <w:sz w:val="22"/>
                <w:szCs w:val="22"/>
                <w:highlight w:val="none"/>
                <w:lang w:eastAsia="zh-CN"/>
              </w:rPr>
            </w:pPr>
            <w:r>
              <w:rPr>
                <w:rFonts w:hint="eastAsia" w:ascii="宋体" w:hAnsi="宋体" w:eastAsia="宋体" w:cs="宋体"/>
                <w:b/>
                <w:bCs/>
                <w:color w:val="auto"/>
                <w:w w:val="100"/>
                <w:sz w:val="22"/>
                <w:szCs w:val="22"/>
                <w:highlight w:val="none"/>
                <w:lang w:val="en-US" w:eastAsia="zh-CN"/>
              </w:rPr>
              <w:t>⑤</w:t>
            </w:r>
            <w:r>
              <w:rPr>
                <w:rFonts w:hint="eastAsia" w:ascii="Times New Roman" w:hAnsi="Times New Roman" w:eastAsia="宋体" w:cs="Times New Roman"/>
                <w:b/>
                <w:bCs/>
                <w:color w:val="auto"/>
                <w:w w:val="100"/>
                <w:sz w:val="22"/>
                <w:szCs w:val="22"/>
                <w:lang w:eastAsia="zh-CN"/>
              </w:rPr>
              <w:t>废活性炭</w:t>
            </w:r>
          </w:p>
          <w:p w14:paraId="6E187285">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color w:val="auto"/>
                <w:w w:val="100"/>
                <w:sz w:val="22"/>
                <w:szCs w:val="22"/>
                <w:highlight w:val="none"/>
              </w:rPr>
            </w:pPr>
            <w:r>
              <w:rPr>
                <w:rFonts w:hint="default" w:ascii="Times New Roman" w:hAnsi="Times New Roman" w:eastAsia="宋体" w:cs="Times New Roman"/>
                <w:color w:val="auto"/>
                <w:w w:val="100"/>
                <w:sz w:val="22"/>
                <w:szCs w:val="22"/>
                <w:highlight w:val="none"/>
                <w:lang w:eastAsia="zh-CN"/>
              </w:rPr>
              <w:t>技改</w:t>
            </w:r>
            <w:r>
              <w:rPr>
                <w:rFonts w:hint="default" w:ascii="Times New Roman" w:hAnsi="Times New Roman" w:eastAsia="宋体" w:cs="Times New Roman"/>
                <w:color w:val="auto"/>
                <w:w w:val="100"/>
                <w:sz w:val="22"/>
                <w:szCs w:val="22"/>
                <w:highlight w:val="none"/>
              </w:rPr>
              <w:t>项目</w:t>
            </w:r>
            <w:r>
              <w:rPr>
                <w:rFonts w:hint="eastAsia" w:cs="Times New Roman"/>
                <w:color w:val="auto"/>
                <w:w w:val="100"/>
                <w:sz w:val="22"/>
                <w:szCs w:val="22"/>
                <w:highlight w:val="none"/>
                <w:lang w:val="en-US" w:eastAsia="zh-CN"/>
              </w:rPr>
              <w:t>混炼</w:t>
            </w:r>
            <w:r>
              <w:rPr>
                <w:rFonts w:hint="default" w:ascii="Times New Roman" w:hAnsi="Times New Roman" w:eastAsia="宋体" w:cs="Times New Roman"/>
                <w:color w:val="auto"/>
                <w:w w:val="100"/>
                <w:sz w:val="22"/>
                <w:szCs w:val="22"/>
                <w:highlight w:val="none"/>
                <w:lang w:val="en-US" w:eastAsia="zh-CN"/>
              </w:rPr>
              <w:t>、加热</w:t>
            </w:r>
            <w:r>
              <w:rPr>
                <w:rFonts w:hint="eastAsia" w:ascii="Times New Roman" w:hAnsi="Times New Roman" w:eastAsia="宋体" w:cs="Times New Roman"/>
                <w:color w:val="auto"/>
                <w:w w:val="100"/>
                <w:sz w:val="22"/>
                <w:szCs w:val="22"/>
                <w:highlight w:val="none"/>
                <w:lang w:val="en-US" w:eastAsia="zh-CN"/>
              </w:rPr>
              <w:t>、</w:t>
            </w:r>
            <w:r>
              <w:rPr>
                <w:rFonts w:hint="default" w:ascii="Times New Roman" w:hAnsi="Times New Roman" w:eastAsia="宋体" w:cs="Times New Roman"/>
                <w:color w:val="auto"/>
                <w:w w:val="100"/>
                <w:sz w:val="22"/>
                <w:szCs w:val="22"/>
                <w:highlight w:val="none"/>
                <w:lang w:val="en-US" w:eastAsia="zh-CN"/>
              </w:rPr>
              <w:t>轴芯</w:t>
            </w:r>
            <w:r>
              <w:rPr>
                <w:rFonts w:hint="eastAsia" w:ascii="Times New Roman" w:hAnsi="Times New Roman" w:eastAsia="宋体" w:cs="Times New Roman"/>
                <w:color w:val="auto"/>
                <w:w w:val="100"/>
                <w:sz w:val="22"/>
                <w:szCs w:val="22"/>
                <w:highlight w:val="none"/>
                <w:lang w:val="en-US" w:eastAsia="zh-CN"/>
              </w:rPr>
              <w:t>清洗</w:t>
            </w:r>
            <w:r>
              <w:rPr>
                <w:rFonts w:hint="default" w:ascii="Times New Roman" w:hAnsi="Times New Roman" w:eastAsia="宋体" w:cs="Times New Roman"/>
                <w:color w:val="auto"/>
                <w:w w:val="100"/>
                <w:sz w:val="22"/>
                <w:szCs w:val="22"/>
                <w:highlight w:val="none"/>
                <w:lang w:val="en-US" w:eastAsia="zh-CN"/>
              </w:rPr>
              <w:t>以及轴芯涂胶</w:t>
            </w:r>
            <w:r>
              <w:rPr>
                <w:rFonts w:hint="default" w:ascii="Times New Roman" w:hAnsi="Times New Roman" w:eastAsia="宋体" w:cs="Times New Roman"/>
                <w:color w:val="auto"/>
                <w:w w:val="100"/>
                <w:sz w:val="22"/>
                <w:szCs w:val="22"/>
                <w:highlight w:val="none"/>
              </w:rPr>
              <w:t>产生的</w:t>
            </w:r>
            <w:r>
              <w:rPr>
                <w:rFonts w:hint="eastAsia" w:ascii="Times New Roman" w:hAnsi="Times New Roman" w:eastAsia="宋体" w:cs="Times New Roman"/>
                <w:color w:val="auto"/>
                <w:w w:val="100"/>
                <w:sz w:val="22"/>
                <w:szCs w:val="22"/>
                <w:highlight w:val="none"/>
                <w:lang w:eastAsia="zh-CN"/>
              </w:rPr>
              <w:t>挥发性有机物均</w:t>
            </w:r>
            <w:r>
              <w:rPr>
                <w:rFonts w:hint="default" w:ascii="Times New Roman" w:hAnsi="Times New Roman" w:eastAsia="宋体" w:cs="Times New Roman"/>
                <w:color w:val="auto"/>
                <w:w w:val="100"/>
                <w:sz w:val="22"/>
                <w:szCs w:val="22"/>
                <w:highlight w:val="none"/>
              </w:rPr>
              <w:t>采用</w:t>
            </w:r>
            <w:r>
              <w:rPr>
                <w:rFonts w:hint="default" w:ascii="Times New Roman" w:hAnsi="Times New Roman" w:eastAsia="宋体" w:cs="Times New Roman"/>
                <w:color w:val="auto"/>
                <w:w w:val="100"/>
                <w:sz w:val="22"/>
                <w:szCs w:val="22"/>
                <w:highlight w:val="none"/>
                <w:lang w:eastAsia="zh-CN"/>
              </w:rPr>
              <w:t>二级活性炭吸附，</w:t>
            </w:r>
            <w:r>
              <w:rPr>
                <w:rFonts w:hint="default" w:ascii="Times New Roman" w:hAnsi="Times New Roman" w:eastAsia="宋体" w:cs="Times New Roman"/>
                <w:color w:val="auto"/>
                <w:w w:val="100"/>
                <w:sz w:val="22"/>
                <w:szCs w:val="22"/>
                <w:highlight w:val="none"/>
              </w:rPr>
              <w:t>废气处理过程会产生废活性炭，建设项目废气进入</w:t>
            </w:r>
            <w:r>
              <w:rPr>
                <w:rFonts w:hint="default" w:ascii="Times New Roman" w:hAnsi="Times New Roman" w:eastAsia="宋体" w:cs="Times New Roman"/>
                <w:color w:val="auto"/>
                <w:w w:val="100"/>
                <w:sz w:val="22"/>
                <w:szCs w:val="22"/>
                <w:highlight w:val="none"/>
                <w:lang w:eastAsia="zh-CN"/>
              </w:rPr>
              <w:t>二级活性炭</w:t>
            </w:r>
            <w:r>
              <w:rPr>
                <w:rFonts w:hint="default" w:ascii="Times New Roman" w:hAnsi="Times New Roman" w:eastAsia="宋体" w:cs="Times New Roman"/>
                <w:color w:val="auto"/>
                <w:w w:val="100"/>
                <w:sz w:val="22"/>
                <w:szCs w:val="22"/>
                <w:highlight w:val="none"/>
              </w:rPr>
              <w:t>吸附装置被</w:t>
            </w:r>
            <w:r>
              <w:rPr>
                <w:rFonts w:hint="default" w:ascii="Times New Roman" w:hAnsi="Times New Roman" w:eastAsia="宋体" w:cs="Times New Roman"/>
                <w:color w:val="auto"/>
                <w:w w:val="100"/>
                <w:sz w:val="22"/>
                <w:szCs w:val="22"/>
                <w:highlight w:val="none"/>
                <w:lang w:eastAsia="zh-CN"/>
              </w:rPr>
              <w:t>处理</w:t>
            </w:r>
            <w:r>
              <w:rPr>
                <w:rFonts w:hint="default" w:ascii="Times New Roman" w:hAnsi="Times New Roman" w:eastAsia="宋体" w:cs="Times New Roman"/>
                <w:color w:val="auto"/>
                <w:w w:val="100"/>
                <w:sz w:val="22"/>
                <w:szCs w:val="22"/>
                <w:highlight w:val="none"/>
              </w:rPr>
              <w:t>的废气量约</w:t>
            </w:r>
            <w:r>
              <w:rPr>
                <w:rFonts w:hint="eastAsia" w:ascii="Times New Roman" w:hAnsi="Times New Roman" w:eastAsia="宋体" w:cs="Times New Roman"/>
                <w:color w:val="auto"/>
                <w:w w:val="100"/>
                <w:sz w:val="22"/>
                <w:szCs w:val="22"/>
                <w:highlight w:val="none"/>
                <w:lang w:val="en-US" w:eastAsia="zh-CN"/>
              </w:rPr>
              <w:t>13.274</w:t>
            </w:r>
            <w:r>
              <w:rPr>
                <w:rFonts w:hint="default" w:ascii="Times New Roman" w:hAnsi="Times New Roman" w:eastAsia="宋体" w:cs="Times New Roman"/>
                <w:color w:val="auto"/>
                <w:w w:val="100"/>
                <w:sz w:val="22"/>
                <w:szCs w:val="22"/>
                <w:highlight w:val="none"/>
              </w:rPr>
              <w:t>t/a</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rPr>
              <w:t>根据《活性炭吸附手册》，活性炭对有机废气的吸附总量为0.1-0.4kg/kg（活性炭），本项目按0.</w:t>
            </w:r>
            <w:r>
              <w:rPr>
                <w:rFonts w:hint="eastAsia" w:ascii="Times New Roman" w:hAnsi="Times New Roman" w:eastAsia="宋体" w:cs="Times New Roman"/>
                <w:color w:val="auto"/>
                <w:w w:val="100"/>
                <w:sz w:val="22"/>
                <w:szCs w:val="22"/>
                <w:highlight w:val="none"/>
                <w:lang w:val="en-US" w:eastAsia="zh-CN"/>
              </w:rPr>
              <w:t>3</w:t>
            </w:r>
            <w:r>
              <w:rPr>
                <w:rFonts w:hint="default" w:ascii="Times New Roman" w:hAnsi="Times New Roman" w:eastAsia="宋体" w:cs="Times New Roman"/>
                <w:color w:val="auto"/>
                <w:w w:val="100"/>
                <w:sz w:val="22"/>
                <w:szCs w:val="22"/>
                <w:highlight w:val="none"/>
              </w:rPr>
              <w:t>kg/kg（活性炭）计，共需要新鲜活性炭</w:t>
            </w:r>
            <w:r>
              <w:rPr>
                <w:rFonts w:hint="eastAsia" w:ascii="Times New Roman" w:hAnsi="Times New Roman" w:eastAsia="宋体" w:cs="Times New Roman"/>
                <w:color w:val="auto"/>
                <w:w w:val="100"/>
                <w:sz w:val="22"/>
                <w:szCs w:val="22"/>
                <w:highlight w:val="none"/>
                <w:lang w:val="en-US" w:eastAsia="zh-CN"/>
              </w:rPr>
              <w:t>44.247</w:t>
            </w:r>
            <w:r>
              <w:rPr>
                <w:rFonts w:hint="default" w:ascii="Times New Roman" w:hAnsi="Times New Roman" w:eastAsia="宋体" w:cs="Times New Roman"/>
                <w:color w:val="auto"/>
                <w:w w:val="100"/>
                <w:sz w:val="22"/>
                <w:szCs w:val="22"/>
                <w:highlight w:val="none"/>
              </w:rPr>
              <w:t>t，本项目活性炭吸附装置填充量</w:t>
            </w:r>
            <w:r>
              <w:rPr>
                <w:rFonts w:hint="eastAsia" w:ascii="Times New Roman" w:hAnsi="Times New Roman" w:eastAsia="宋体" w:cs="Times New Roman"/>
                <w:color w:val="auto"/>
                <w:w w:val="100"/>
                <w:sz w:val="22"/>
                <w:szCs w:val="22"/>
                <w:highlight w:val="none"/>
                <w:lang w:val="en-US" w:eastAsia="zh-CN"/>
              </w:rPr>
              <w:t>1.5</w:t>
            </w:r>
            <w:r>
              <w:rPr>
                <w:rFonts w:hint="default" w:ascii="Times New Roman" w:hAnsi="Times New Roman" w:eastAsia="宋体" w:cs="Times New Roman"/>
                <w:color w:val="auto"/>
                <w:w w:val="100"/>
                <w:sz w:val="22"/>
                <w:szCs w:val="22"/>
                <w:highlight w:val="none"/>
              </w:rPr>
              <w:t>t，</w:t>
            </w:r>
            <w:r>
              <w:rPr>
                <w:rFonts w:hint="default" w:ascii="Times New Roman" w:hAnsi="Times New Roman" w:eastAsia="宋体" w:cs="Times New Roman"/>
                <w:color w:val="auto"/>
                <w:w w:val="100"/>
                <w:sz w:val="22"/>
                <w:szCs w:val="22"/>
                <w:highlight w:val="none"/>
                <w:lang w:val="en-US" w:eastAsia="zh-CN"/>
              </w:rPr>
              <w:t>本项目每</w:t>
            </w:r>
            <w:r>
              <w:rPr>
                <w:rFonts w:hint="eastAsia" w:cs="Times New Roman"/>
                <w:color w:val="auto"/>
                <w:w w:val="100"/>
                <w:sz w:val="22"/>
                <w:szCs w:val="22"/>
                <w:highlight w:val="none"/>
                <w:lang w:val="en-US" w:eastAsia="zh-CN"/>
              </w:rPr>
              <w:t>10</w:t>
            </w:r>
            <w:r>
              <w:rPr>
                <w:rFonts w:hint="default" w:ascii="Times New Roman" w:hAnsi="Times New Roman" w:eastAsia="宋体" w:cs="Times New Roman"/>
                <w:color w:val="auto"/>
                <w:w w:val="100"/>
                <w:sz w:val="22"/>
                <w:szCs w:val="22"/>
                <w:highlight w:val="none"/>
                <w:lang w:val="en-US" w:eastAsia="zh-CN"/>
              </w:rPr>
              <w:t>天更换一次活性炭，</w:t>
            </w:r>
            <w:r>
              <w:rPr>
                <w:rFonts w:hint="default" w:ascii="Times New Roman" w:hAnsi="Times New Roman" w:eastAsia="宋体" w:cs="Times New Roman"/>
                <w:color w:val="auto"/>
                <w:w w:val="100"/>
                <w:sz w:val="22"/>
                <w:szCs w:val="22"/>
                <w:highlight w:val="none"/>
              </w:rPr>
              <w:t>则废活性炭产生量约</w:t>
            </w:r>
            <w:r>
              <w:rPr>
                <w:rFonts w:hint="eastAsia" w:ascii="Times New Roman" w:hAnsi="Times New Roman" w:eastAsia="宋体" w:cs="Times New Roman"/>
                <w:color w:val="auto"/>
                <w:w w:val="100"/>
                <w:sz w:val="22"/>
                <w:szCs w:val="22"/>
                <w:highlight w:val="none"/>
                <w:lang w:val="en-US" w:eastAsia="zh-CN"/>
              </w:rPr>
              <w:t>58.274</w:t>
            </w:r>
            <w:r>
              <w:rPr>
                <w:rFonts w:hint="default" w:ascii="Times New Roman" w:hAnsi="Times New Roman" w:eastAsia="宋体" w:cs="Times New Roman"/>
                <w:color w:val="auto"/>
                <w:w w:val="100"/>
                <w:sz w:val="22"/>
                <w:szCs w:val="22"/>
                <w:highlight w:val="none"/>
                <w:lang w:val="en-US" w:eastAsia="zh-CN"/>
              </w:rPr>
              <w:t>t/a</w:t>
            </w:r>
            <w:r>
              <w:rPr>
                <w:rFonts w:hint="default" w:ascii="Times New Roman" w:hAnsi="Times New Roman" w:eastAsia="宋体" w:cs="Times New Roman"/>
                <w:color w:val="auto"/>
                <w:w w:val="100"/>
                <w:sz w:val="22"/>
                <w:szCs w:val="22"/>
                <w:highlight w:val="none"/>
              </w:rPr>
              <w:t>，经查</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lang w:val="en-US" w:eastAsia="zh-CN"/>
              </w:rPr>
              <w:t>国家危险废物名录（2021年版）</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rPr>
              <w:t>属于危险废物（HW49其他废物，900-0</w:t>
            </w:r>
            <w:r>
              <w:rPr>
                <w:rFonts w:hint="default" w:ascii="Times New Roman" w:hAnsi="Times New Roman" w:eastAsia="宋体" w:cs="Times New Roman"/>
                <w:color w:val="auto"/>
                <w:w w:val="100"/>
                <w:sz w:val="22"/>
                <w:szCs w:val="22"/>
                <w:highlight w:val="none"/>
                <w:lang w:val="en-US" w:eastAsia="zh-CN"/>
              </w:rPr>
              <w:t>39</w:t>
            </w:r>
            <w:r>
              <w:rPr>
                <w:rFonts w:hint="default" w:ascii="Times New Roman" w:hAnsi="Times New Roman" w:eastAsia="宋体" w:cs="Times New Roman"/>
                <w:color w:val="auto"/>
                <w:w w:val="100"/>
                <w:sz w:val="22"/>
                <w:szCs w:val="22"/>
                <w:highlight w:val="none"/>
              </w:rPr>
              <w:t>-49）。</w:t>
            </w:r>
          </w:p>
          <w:p w14:paraId="3EA986E9">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color w:val="auto"/>
                <w:w w:val="100"/>
                <w:sz w:val="22"/>
                <w:szCs w:val="22"/>
                <w:highlight w:val="none"/>
                <w:lang w:eastAsia="zh-CN"/>
              </w:rPr>
            </w:pPr>
            <w:r>
              <w:rPr>
                <w:rFonts w:hint="default" w:ascii="Times New Roman" w:hAnsi="Times New Roman" w:eastAsia="宋体" w:cs="Times New Roman"/>
                <w:color w:val="auto"/>
                <w:w w:val="100"/>
                <w:sz w:val="22"/>
                <w:szCs w:val="22"/>
                <w:highlight w:val="none"/>
                <w:lang w:eastAsia="zh-CN"/>
              </w:rPr>
              <w:t>技改</w:t>
            </w:r>
            <w:r>
              <w:rPr>
                <w:rFonts w:hint="default" w:ascii="Times New Roman" w:hAnsi="Times New Roman" w:eastAsia="宋体" w:cs="Times New Roman"/>
                <w:color w:val="auto"/>
                <w:w w:val="100"/>
                <w:sz w:val="22"/>
                <w:szCs w:val="22"/>
                <w:highlight w:val="none"/>
              </w:rPr>
              <w:t>项目</w:t>
            </w:r>
            <w:r>
              <w:rPr>
                <w:rFonts w:hint="default" w:ascii="Times New Roman" w:hAnsi="Times New Roman" w:eastAsia="宋体" w:cs="Times New Roman"/>
                <w:color w:val="auto"/>
                <w:w w:val="100"/>
                <w:sz w:val="22"/>
                <w:szCs w:val="22"/>
                <w:highlight w:val="none"/>
                <w:lang w:eastAsia="zh-CN"/>
              </w:rPr>
              <w:t>喷涂工序</w:t>
            </w:r>
            <w:r>
              <w:rPr>
                <w:rFonts w:hint="default" w:ascii="Times New Roman" w:hAnsi="Times New Roman" w:eastAsia="宋体" w:cs="Times New Roman"/>
                <w:color w:val="auto"/>
                <w:w w:val="100"/>
                <w:sz w:val="22"/>
                <w:szCs w:val="22"/>
                <w:highlight w:val="none"/>
              </w:rPr>
              <w:t>产生的</w:t>
            </w:r>
            <w:r>
              <w:rPr>
                <w:rFonts w:hint="default" w:ascii="Times New Roman" w:hAnsi="Times New Roman" w:eastAsia="宋体" w:cs="Times New Roman"/>
                <w:color w:val="auto"/>
                <w:w w:val="100"/>
                <w:sz w:val="22"/>
                <w:szCs w:val="22"/>
                <w:highlight w:val="none"/>
                <w:lang w:val="en-US" w:eastAsia="zh-CN"/>
              </w:rPr>
              <w:t>VOC</w:t>
            </w:r>
            <w:r>
              <w:rPr>
                <w:rFonts w:hint="default" w:ascii="Times New Roman" w:hAnsi="Times New Roman" w:eastAsia="宋体" w:cs="Times New Roman"/>
                <w:color w:val="auto"/>
                <w:w w:val="100"/>
                <w:sz w:val="22"/>
                <w:szCs w:val="22"/>
                <w:highlight w:val="none"/>
                <w:vertAlign w:val="subscript"/>
                <w:lang w:val="en-US" w:eastAsia="zh-CN"/>
              </w:rPr>
              <w:t>S</w:t>
            </w:r>
            <w:r>
              <w:rPr>
                <w:rFonts w:hint="default" w:ascii="Times New Roman" w:hAnsi="Times New Roman" w:eastAsia="宋体" w:cs="Times New Roman"/>
                <w:color w:val="auto"/>
                <w:w w:val="100"/>
                <w:sz w:val="22"/>
                <w:szCs w:val="22"/>
                <w:highlight w:val="none"/>
              </w:rPr>
              <w:t>采用</w:t>
            </w:r>
            <w:r>
              <w:rPr>
                <w:rFonts w:hint="default" w:ascii="Times New Roman" w:hAnsi="Times New Roman" w:eastAsia="宋体" w:cs="Times New Roman"/>
                <w:color w:val="auto"/>
                <w:w w:val="100"/>
                <w:sz w:val="22"/>
                <w:szCs w:val="22"/>
                <w:highlight w:val="none"/>
                <w:lang w:eastAsia="zh-CN"/>
              </w:rPr>
              <w:t>负压集气系统</w:t>
            </w:r>
            <w:r>
              <w:rPr>
                <w:rFonts w:hint="eastAsia" w:ascii="Times New Roman" w:hAnsi="Times New Roman" w:eastAsia="宋体" w:cs="Times New Roman"/>
                <w:color w:val="auto"/>
                <w:w w:val="100"/>
                <w:sz w:val="22"/>
                <w:szCs w:val="22"/>
                <w:highlight w:val="none"/>
                <w:lang w:val="en-US" w:eastAsia="zh-CN"/>
              </w:rPr>
              <w:t>+“水喷淋+活性炭吸附脱附+RCO装置”</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rPr>
              <w:t>废气处理过程会产生废活性炭，建设项目废气进入活性炭吸附装置被吸附的废气量约</w:t>
            </w:r>
            <w:r>
              <w:rPr>
                <w:rFonts w:hint="default" w:ascii="Times New Roman" w:hAnsi="Times New Roman" w:eastAsia="宋体" w:cs="Times New Roman"/>
                <w:color w:val="auto"/>
                <w:w w:val="100"/>
                <w:sz w:val="22"/>
                <w:szCs w:val="22"/>
                <w:highlight w:val="none"/>
                <w:lang w:val="en-US" w:eastAsia="zh-CN"/>
              </w:rPr>
              <w:t>18.97</w:t>
            </w:r>
            <w:r>
              <w:rPr>
                <w:rFonts w:hint="default" w:ascii="Times New Roman" w:hAnsi="Times New Roman" w:eastAsia="宋体" w:cs="Times New Roman"/>
                <w:color w:val="auto"/>
                <w:w w:val="100"/>
                <w:sz w:val="22"/>
                <w:szCs w:val="22"/>
                <w:highlight w:val="none"/>
              </w:rPr>
              <w:t>t/a，根据《活性炭吸附手册》，活性炭对有机废气的吸附总量为0.1-0.4kg/kg（活性炭），本项目按0.</w:t>
            </w:r>
            <w:r>
              <w:rPr>
                <w:rFonts w:hint="eastAsia" w:ascii="Times New Roman" w:hAnsi="Times New Roman" w:eastAsia="宋体" w:cs="Times New Roman"/>
                <w:color w:val="auto"/>
                <w:w w:val="100"/>
                <w:sz w:val="22"/>
                <w:szCs w:val="22"/>
                <w:highlight w:val="none"/>
                <w:lang w:val="en-US" w:eastAsia="zh-CN"/>
              </w:rPr>
              <w:t>3</w:t>
            </w:r>
            <w:r>
              <w:rPr>
                <w:rFonts w:hint="default" w:ascii="Times New Roman" w:hAnsi="Times New Roman" w:eastAsia="宋体" w:cs="Times New Roman"/>
                <w:color w:val="auto"/>
                <w:w w:val="100"/>
                <w:sz w:val="22"/>
                <w:szCs w:val="22"/>
                <w:highlight w:val="none"/>
              </w:rPr>
              <w:t>kg/kg（活性炭）计，共需要新鲜活性炭</w:t>
            </w:r>
            <w:r>
              <w:rPr>
                <w:rFonts w:hint="eastAsia" w:ascii="Times New Roman" w:hAnsi="Times New Roman" w:eastAsia="宋体" w:cs="Times New Roman"/>
                <w:color w:val="auto"/>
                <w:w w:val="100"/>
                <w:sz w:val="22"/>
                <w:szCs w:val="22"/>
                <w:highlight w:val="none"/>
                <w:lang w:val="en-US" w:eastAsia="zh-CN"/>
              </w:rPr>
              <w:t>63.23</w:t>
            </w:r>
            <w:r>
              <w:rPr>
                <w:rFonts w:hint="default" w:ascii="Times New Roman" w:hAnsi="Times New Roman" w:eastAsia="宋体" w:cs="Times New Roman"/>
                <w:color w:val="auto"/>
                <w:w w:val="100"/>
                <w:sz w:val="22"/>
                <w:szCs w:val="22"/>
                <w:highlight w:val="none"/>
              </w:rPr>
              <w:t>t，本项目活性炭吸附装置填充量</w:t>
            </w:r>
            <w:r>
              <w:rPr>
                <w:rFonts w:hint="eastAsia" w:ascii="Times New Roman" w:hAnsi="Times New Roman" w:eastAsia="宋体" w:cs="Times New Roman"/>
                <w:color w:val="auto"/>
                <w:w w:val="100"/>
                <w:sz w:val="22"/>
                <w:szCs w:val="22"/>
                <w:highlight w:val="none"/>
                <w:lang w:val="en-US" w:eastAsia="zh-CN"/>
              </w:rPr>
              <w:t>0.75</w:t>
            </w:r>
            <w:r>
              <w:rPr>
                <w:rFonts w:hint="default" w:ascii="Times New Roman" w:hAnsi="Times New Roman" w:eastAsia="宋体" w:cs="Times New Roman"/>
                <w:color w:val="auto"/>
                <w:w w:val="100"/>
                <w:sz w:val="22"/>
                <w:szCs w:val="22"/>
                <w:highlight w:val="none"/>
              </w:rPr>
              <w:t>t，</w:t>
            </w:r>
            <w:r>
              <w:rPr>
                <w:rFonts w:hint="default" w:ascii="Times New Roman" w:hAnsi="Times New Roman" w:eastAsia="宋体" w:cs="Times New Roman"/>
                <w:color w:val="auto"/>
                <w:w w:val="100"/>
                <w:sz w:val="22"/>
                <w:szCs w:val="22"/>
                <w:highlight w:val="none"/>
                <w:lang w:val="en-US" w:eastAsia="zh-CN"/>
              </w:rPr>
              <w:t>RCO装置活性炭吸附最佳次数为40-50次，本项目每</w:t>
            </w:r>
            <w:r>
              <w:rPr>
                <w:rFonts w:hint="eastAsia" w:ascii="Times New Roman" w:hAnsi="Times New Roman" w:eastAsia="宋体" w:cs="Times New Roman"/>
                <w:color w:val="auto"/>
                <w:w w:val="100"/>
                <w:sz w:val="22"/>
                <w:szCs w:val="22"/>
                <w:highlight w:val="none"/>
                <w:lang w:val="en-US" w:eastAsia="zh-CN"/>
              </w:rPr>
              <w:t>3.56天</w:t>
            </w:r>
            <w:r>
              <w:rPr>
                <w:rFonts w:hint="default" w:ascii="Times New Roman" w:hAnsi="Times New Roman" w:eastAsia="宋体" w:cs="Times New Roman"/>
                <w:color w:val="auto"/>
                <w:w w:val="100"/>
                <w:sz w:val="22"/>
                <w:szCs w:val="22"/>
                <w:highlight w:val="none"/>
                <w:lang w:val="en-US" w:eastAsia="zh-CN"/>
              </w:rPr>
              <w:t>脱附</w:t>
            </w:r>
            <w:r>
              <w:rPr>
                <w:rFonts w:hint="eastAsia" w:ascii="Times New Roman" w:hAnsi="Times New Roman" w:eastAsia="宋体" w:cs="Times New Roman"/>
                <w:color w:val="auto"/>
                <w:w w:val="100"/>
                <w:sz w:val="22"/>
                <w:szCs w:val="22"/>
                <w:highlight w:val="none"/>
                <w:lang w:val="en-US" w:eastAsia="zh-CN"/>
              </w:rPr>
              <w:t>1</w:t>
            </w:r>
            <w:r>
              <w:rPr>
                <w:rFonts w:hint="default" w:ascii="Times New Roman" w:hAnsi="Times New Roman" w:eastAsia="宋体" w:cs="Times New Roman"/>
                <w:color w:val="auto"/>
                <w:w w:val="100"/>
                <w:sz w:val="22"/>
                <w:szCs w:val="22"/>
                <w:highlight w:val="none"/>
                <w:lang w:val="en-US" w:eastAsia="zh-CN"/>
              </w:rPr>
              <w:t>次活性炭，达到活性炭使用寿命后活性炭全部更换</w:t>
            </w:r>
            <w:r>
              <w:rPr>
                <w:rFonts w:hint="default" w:ascii="Times New Roman" w:hAnsi="Times New Roman" w:eastAsia="宋体" w:cs="Times New Roman"/>
                <w:color w:val="auto"/>
                <w:w w:val="100"/>
                <w:sz w:val="22"/>
                <w:szCs w:val="22"/>
                <w:highlight w:val="none"/>
              </w:rPr>
              <w:t>，</w:t>
            </w:r>
            <w:r>
              <w:rPr>
                <w:rFonts w:hint="default" w:ascii="Times New Roman" w:hAnsi="Times New Roman" w:eastAsia="宋体" w:cs="Times New Roman"/>
                <w:color w:val="auto"/>
                <w:w w:val="100"/>
                <w:sz w:val="22"/>
                <w:szCs w:val="22"/>
                <w:highlight w:val="none"/>
                <w:lang w:eastAsia="zh-CN"/>
              </w:rPr>
              <w:t>项目取脱附次数</w:t>
            </w:r>
            <w:r>
              <w:rPr>
                <w:rFonts w:hint="default" w:ascii="Times New Roman" w:hAnsi="Times New Roman" w:eastAsia="宋体" w:cs="Times New Roman"/>
                <w:color w:val="auto"/>
                <w:w w:val="100"/>
                <w:sz w:val="22"/>
                <w:szCs w:val="22"/>
                <w:highlight w:val="none"/>
                <w:lang w:val="en-US" w:eastAsia="zh-CN"/>
              </w:rPr>
              <w:t>4</w:t>
            </w:r>
            <w:r>
              <w:rPr>
                <w:rFonts w:hint="eastAsia" w:ascii="Times New Roman" w:hAnsi="Times New Roman" w:eastAsia="宋体" w:cs="Times New Roman"/>
                <w:color w:val="auto"/>
                <w:w w:val="100"/>
                <w:sz w:val="22"/>
                <w:szCs w:val="22"/>
                <w:highlight w:val="none"/>
                <w:lang w:val="en-US" w:eastAsia="zh-CN"/>
              </w:rPr>
              <w:t>5</w:t>
            </w:r>
            <w:r>
              <w:rPr>
                <w:rFonts w:hint="default" w:ascii="Times New Roman" w:hAnsi="Times New Roman" w:eastAsia="宋体" w:cs="Times New Roman"/>
                <w:color w:val="auto"/>
                <w:w w:val="100"/>
                <w:sz w:val="22"/>
                <w:szCs w:val="22"/>
                <w:highlight w:val="none"/>
                <w:lang w:val="en-US" w:eastAsia="zh-CN"/>
              </w:rPr>
              <w:t>次，即每年</w:t>
            </w:r>
            <w:r>
              <w:rPr>
                <w:rFonts w:hint="eastAsia" w:ascii="Times New Roman" w:hAnsi="Times New Roman" w:eastAsia="宋体" w:cs="Times New Roman"/>
                <w:color w:val="auto"/>
                <w:w w:val="100"/>
                <w:sz w:val="22"/>
                <w:szCs w:val="22"/>
                <w:highlight w:val="none"/>
                <w:lang w:val="en-US" w:eastAsia="zh-CN"/>
              </w:rPr>
              <w:t>需</w:t>
            </w:r>
            <w:r>
              <w:rPr>
                <w:rFonts w:hint="default" w:ascii="Times New Roman" w:hAnsi="Times New Roman" w:eastAsia="宋体" w:cs="Times New Roman"/>
                <w:color w:val="auto"/>
                <w:w w:val="100"/>
                <w:sz w:val="22"/>
                <w:szCs w:val="22"/>
                <w:highlight w:val="none"/>
                <w:lang w:val="en-US" w:eastAsia="zh-CN"/>
              </w:rPr>
              <w:t>更换</w:t>
            </w:r>
            <w:r>
              <w:rPr>
                <w:rFonts w:hint="eastAsia" w:ascii="Times New Roman" w:hAnsi="Times New Roman" w:eastAsia="宋体" w:cs="Times New Roman"/>
                <w:color w:val="auto"/>
                <w:w w:val="100"/>
                <w:sz w:val="22"/>
                <w:szCs w:val="22"/>
                <w:highlight w:val="none"/>
                <w:lang w:val="en-US" w:eastAsia="zh-CN"/>
              </w:rPr>
              <w:t>2次</w:t>
            </w:r>
            <w:r>
              <w:rPr>
                <w:rFonts w:hint="default" w:ascii="Times New Roman" w:hAnsi="Times New Roman" w:eastAsia="宋体" w:cs="Times New Roman"/>
                <w:color w:val="auto"/>
                <w:w w:val="100"/>
                <w:sz w:val="22"/>
                <w:szCs w:val="22"/>
                <w:highlight w:val="none"/>
                <w:lang w:val="en-US" w:eastAsia="zh-CN"/>
              </w:rPr>
              <w:t>活性炭，</w:t>
            </w:r>
            <w:r>
              <w:rPr>
                <w:rFonts w:hint="eastAsia" w:ascii="Times New Roman" w:hAnsi="Times New Roman" w:eastAsia="宋体" w:cs="Times New Roman"/>
                <w:color w:val="auto"/>
                <w:w w:val="100"/>
                <w:sz w:val="22"/>
                <w:szCs w:val="22"/>
                <w:highlight w:val="none"/>
                <w:lang w:val="en-US" w:eastAsia="zh-CN"/>
              </w:rPr>
              <w:t>则废活性炭的产生量约为1.50</w:t>
            </w:r>
            <w:r>
              <w:rPr>
                <w:rFonts w:hint="default" w:ascii="Times New Roman" w:hAnsi="Times New Roman" w:eastAsia="宋体" w:cs="Times New Roman"/>
                <w:color w:val="auto"/>
                <w:w w:val="100"/>
                <w:sz w:val="22"/>
                <w:szCs w:val="22"/>
                <w:highlight w:val="none"/>
                <w:lang w:val="en-US" w:eastAsia="zh-CN"/>
              </w:rPr>
              <w:t>t/a，</w:t>
            </w:r>
            <w:r>
              <w:rPr>
                <w:rFonts w:hint="default" w:ascii="Times New Roman" w:hAnsi="Times New Roman" w:eastAsia="宋体" w:cs="Times New Roman"/>
                <w:color w:val="auto"/>
                <w:w w:val="100"/>
                <w:sz w:val="22"/>
                <w:szCs w:val="22"/>
                <w:highlight w:val="none"/>
              </w:rPr>
              <w:t>经查</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lang w:val="en-US" w:eastAsia="zh-CN"/>
              </w:rPr>
              <w:t>国家危险废物名录（2021年版）</w:t>
            </w:r>
            <w:r>
              <w:rPr>
                <w:rFonts w:hint="default" w:ascii="Times New Roman" w:hAnsi="Times New Roman" w:eastAsia="宋体" w:cs="Times New Roman"/>
                <w:color w:val="auto"/>
                <w:w w:val="100"/>
                <w:sz w:val="22"/>
                <w:szCs w:val="22"/>
                <w:highlight w:val="none"/>
                <w:lang w:eastAsia="zh-CN"/>
              </w:rPr>
              <w:t>》</w:t>
            </w:r>
            <w:r>
              <w:rPr>
                <w:rFonts w:hint="default" w:ascii="Times New Roman" w:hAnsi="Times New Roman" w:eastAsia="宋体" w:cs="Times New Roman"/>
                <w:color w:val="auto"/>
                <w:w w:val="100"/>
                <w:sz w:val="22"/>
                <w:szCs w:val="22"/>
                <w:highlight w:val="none"/>
              </w:rPr>
              <w:t>属于危险废物（HW49其他废物，900-0</w:t>
            </w:r>
            <w:r>
              <w:rPr>
                <w:rFonts w:hint="default" w:ascii="Times New Roman" w:hAnsi="Times New Roman" w:eastAsia="宋体" w:cs="Times New Roman"/>
                <w:color w:val="auto"/>
                <w:w w:val="100"/>
                <w:sz w:val="22"/>
                <w:szCs w:val="22"/>
                <w:highlight w:val="none"/>
                <w:lang w:val="en-US" w:eastAsia="zh-CN"/>
              </w:rPr>
              <w:t>39</w:t>
            </w:r>
            <w:r>
              <w:rPr>
                <w:rFonts w:hint="default" w:ascii="Times New Roman" w:hAnsi="Times New Roman" w:eastAsia="宋体" w:cs="Times New Roman"/>
                <w:color w:val="auto"/>
                <w:w w:val="100"/>
                <w:sz w:val="22"/>
                <w:szCs w:val="22"/>
                <w:highlight w:val="none"/>
              </w:rPr>
              <w:t>-49）。</w:t>
            </w:r>
            <w:r>
              <w:rPr>
                <w:rFonts w:hint="default" w:ascii="Times New Roman" w:hAnsi="Times New Roman" w:eastAsia="宋体" w:cs="Times New Roman"/>
                <w:color w:val="auto"/>
                <w:w w:val="100"/>
                <w:sz w:val="22"/>
                <w:szCs w:val="22"/>
                <w:highlight w:val="none"/>
                <w:lang w:val="en-US" w:eastAsia="zh-CN"/>
              </w:rPr>
              <w:t>因此，本项目产生的废活性炭量约为</w:t>
            </w:r>
            <w:r>
              <w:rPr>
                <w:rFonts w:hint="eastAsia" w:cs="Times New Roman"/>
                <w:color w:val="auto"/>
                <w:w w:val="100"/>
                <w:sz w:val="22"/>
                <w:szCs w:val="22"/>
                <w:highlight w:val="none"/>
                <w:lang w:val="en-US" w:eastAsia="zh-CN"/>
              </w:rPr>
              <w:t>59.77</w:t>
            </w:r>
            <w:r>
              <w:rPr>
                <w:rFonts w:hint="default" w:ascii="Times New Roman" w:hAnsi="Times New Roman" w:eastAsia="宋体" w:cs="Times New Roman"/>
                <w:color w:val="auto"/>
                <w:w w:val="100"/>
                <w:sz w:val="22"/>
                <w:szCs w:val="22"/>
                <w:highlight w:val="none"/>
              </w:rPr>
              <w:t>t/a</w:t>
            </w:r>
            <w:r>
              <w:rPr>
                <w:rFonts w:hint="default" w:ascii="Times New Roman" w:hAnsi="Times New Roman" w:eastAsia="宋体" w:cs="Times New Roman"/>
                <w:color w:val="auto"/>
                <w:w w:val="100"/>
                <w:sz w:val="22"/>
                <w:szCs w:val="22"/>
                <w:highlight w:val="none"/>
                <w:lang w:eastAsia="zh-CN"/>
              </w:rPr>
              <w:t>。</w:t>
            </w:r>
          </w:p>
          <w:p w14:paraId="615515B5">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eastAsia" w:ascii="宋体" w:hAnsi="宋体" w:eastAsia="宋体" w:cs="宋体"/>
                <w:color w:val="auto"/>
                <w:w w:val="100"/>
                <w:sz w:val="22"/>
                <w:szCs w:val="22"/>
                <w:highlight w:val="none"/>
                <w:lang w:eastAsia="zh-CN"/>
              </w:rPr>
            </w:pPr>
            <w:r>
              <w:rPr>
                <w:rFonts w:hint="eastAsia" w:ascii="宋体" w:hAnsi="宋体" w:eastAsia="宋体" w:cs="宋体"/>
                <w:b/>
                <w:bCs/>
                <w:color w:val="auto"/>
                <w:w w:val="100"/>
                <w:sz w:val="22"/>
                <w:szCs w:val="22"/>
                <w:highlight w:val="none"/>
                <w:lang w:val="en-US" w:eastAsia="zh-CN"/>
              </w:rPr>
              <w:t>⑥</w:t>
            </w:r>
            <w:r>
              <w:rPr>
                <w:rFonts w:hint="eastAsia" w:ascii="Times New Roman" w:hAnsi="Times New Roman" w:eastAsia="宋体" w:cs="Times New Roman"/>
                <w:b/>
                <w:bCs/>
                <w:color w:val="auto"/>
                <w:kern w:val="2"/>
                <w:sz w:val="22"/>
                <w:szCs w:val="22"/>
                <w:lang w:val="en-US" w:eastAsia="zh-CN" w:bidi="ar-SA"/>
              </w:rPr>
              <w:t>水喷淋废水</w:t>
            </w:r>
          </w:p>
          <w:p w14:paraId="161D4399">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color w:val="auto"/>
                <w:w w:val="100"/>
                <w:sz w:val="22"/>
                <w:szCs w:val="22"/>
                <w:highlight w:val="none"/>
                <w:lang w:val="en-US" w:eastAsia="zh-CN"/>
              </w:rPr>
            </w:pPr>
            <w:r>
              <w:rPr>
                <w:rFonts w:hint="eastAsia" w:ascii="Times New Roman" w:hAnsi="Times New Roman" w:eastAsia="宋体" w:cs="Times New Roman"/>
                <w:color w:val="auto"/>
                <w:w w:val="100"/>
                <w:sz w:val="22"/>
                <w:szCs w:val="22"/>
                <w:highlight w:val="none"/>
                <w:lang w:eastAsia="zh-CN"/>
              </w:rPr>
              <w:t>项目运行过程中废气处理系统水喷淋废水的产生量约为</w:t>
            </w:r>
            <w:r>
              <w:rPr>
                <w:rFonts w:hint="eastAsia" w:ascii="Times New Roman" w:hAnsi="Times New Roman" w:eastAsia="宋体" w:cs="Times New Roman"/>
                <w:color w:val="auto"/>
                <w:w w:val="100"/>
                <w:sz w:val="22"/>
                <w:szCs w:val="22"/>
                <w:highlight w:val="none"/>
                <w:lang w:val="en-US" w:eastAsia="zh-CN"/>
              </w:rPr>
              <w:t>1.0t/a，属于《国家危险废物名录》（2021年版）中“HW06 废有机溶剂与含有机溶剂废物（900-402-06）”，委托有资质单位处置。</w:t>
            </w:r>
          </w:p>
          <w:p w14:paraId="7785104F">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b/>
                <w:bCs/>
                <w:color w:val="auto"/>
                <w:kern w:val="2"/>
                <w:sz w:val="22"/>
                <w:szCs w:val="22"/>
                <w:lang w:val="en-US" w:eastAsia="zh-CN" w:bidi="ar-SA"/>
              </w:rPr>
            </w:pPr>
            <w:r>
              <w:rPr>
                <w:rFonts w:hint="eastAsia" w:ascii="宋体" w:hAnsi="宋体" w:eastAsia="宋体" w:cs="宋体"/>
                <w:b/>
                <w:bCs/>
                <w:color w:val="auto"/>
                <w:w w:val="100"/>
                <w:kern w:val="2"/>
                <w:sz w:val="22"/>
                <w:szCs w:val="22"/>
                <w:highlight w:val="none"/>
                <w:lang w:val="en-US" w:eastAsia="zh-CN" w:bidi="ar-SA"/>
              </w:rPr>
              <w:t>⑦</w:t>
            </w:r>
            <w:r>
              <w:rPr>
                <w:rFonts w:hint="default" w:ascii="Times New Roman" w:hAnsi="Times New Roman" w:eastAsia="宋体" w:cs="Times New Roman"/>
                <w:b/>
                <w:bCs/>
                <w:color w:val="auto"/>
                <w:kern w:val="2"/>
                <w:sz w:val="22"/>
                <w:szCs w:val="22"/>
                <w:lang w:val="en-US" w:eastAsia="zh-CN" w:bidi="ar-SA"/>
              </w:rPr>
              <w:t>废机油</w:t>
            </w:r>
          </w:p>
          <w:p w14:paraId="31977932">
            <w:pPr>
              <w:widowControl w:val="0"/>
              <w:spacing w:line="500" w:lineRule="exact"/>
              <w:ind w:firstLine="440" w:firstLineChars="200"/>
              <w:jc w:val="both"/>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项目废机油产生量约为0.5t/a，属于《国家危险废物名录》（2021年版）中“HW08 废矿物油与含矿物油废物（900-249-08）”，委托有资质单位处置。</w:t>
            </w:r>
          </w:p>
          <w:p w14:paraId="50D63709">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b/>
                <w:bCs/>
                <w:color w:val="auto"/>
                <w:kern w:val="2"/>
                <w:sz w:val="22"/>
                <w:szCs w:val="22"/>
                <w:lang w:val="en-US" w:eastAsia="zh-CN" w:bidi="ar-SA"/>
              </w:rPr>
            </w:pPr>
            <w:r>
              <w:rPr>
                <w:rFonts w:hint="eastAsia" w:ascii="宋体" w:hAnsi="宋体" w:eastAsia="宋体" w:cs="宋体"/>
                <w:b/>
                <w:bCs/>
                <w:color w:val="auto"/>
                <w:w w:val="100"/>
                <w:sz w:val="22"/>
                <w:szCs w:val="22"/>
                <w:highlight w:val="none"/>
                <w:lang w:val="en-US" w:eastAsia="zh-CN"/>
              </w:rPr>
              <w:t>⑧</w:t>
            </w:r>
            <w:r>
              <w:rPr>
                <w:rFonts w:hint="default" w:ascii="Times New Roman" w:hAnsi="Times New Roman" w:eastAsia="宋体" w:cs="Times New Roman"/>
                <w:b/>
                <w:bCs/>
                <w:color w:val="auto"/>
                <w:kern w:val="2"/>
                <w:sz w:val="22"/>
                <w:szCs w:val="22"/>
                <w:lang w:val="en-US" w:eastAsia="zh-CN" w:bidi="ar-SA"/>
              </w:rPr>
              <w:t>废</w:t>
            </w:r>
            <w:r>
              <w:rPr>
                <w:rFonts w:hint="eastAsia" w:cs="Times New Roman"/>
                <w:b/>
                <w:bCs/>
                <w:color w:val="auto"/>
                <w:kern w:val="2"/>
                <w:sz w:val="22"/>
                <w:szCs w:val="22"/>
                <w:lang w:val="en-US" w:eastAsia="zh-CN" w:bidi="ar-SA"/>
              </w:rPr>
              <w:t>油</w:t>
            </w:r>
            <w:r>
              <w:rPr>
                <w:rFonts w:hint="default" w:ascii="Times New Roman" w:hAnsi="Times New Roman" w:eastAsia="宋体" w:cs="Times New Roman"/>
                <w:b/>
                <w:bCs/>
                <w:color w:val="auto"/>
                <w:kern w:val="2"/>
                <w:sz w:val="22"/>
                <w:szCs w:val="22"/>
                <w:lang w:val="en-US" w:eastAsia="zh-CN" w:bidi="ar-SA"/>
              </w:rPr>
              <w:t>桶</w:t>
            </w:r>
          </w:p>
          <w:p w14:paraId="104ECF25">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项目机油、润滑油、液压油更换后产生废油桶，产生量约为0.</w:t>
            </w:r>
            <w:r>
              <w:rPr>
                <w:rFonts w:hint="eastAsia" w:cs="Times New Roman"/>
                <w:color w:val="auto"/>
                <w:kern w:val="2"/>
                <w:sz w:val="22"/>
                <w:szCs w:val="22"/>
                <w:lang w:val="en-US" w:eastAsia="zh-CN" w:bidi="ar-SA"/>
              </w:rPr>
              <w:t>5</w:t>
            </w:r>
            <w:r>
              <w:rPr>
                <w:rFonts w:hint="default" w:ascii="Times New Roman" w:hAnsi="Times New Roman" w:eastAsia="宋体" w:cs="Times New Roman"/>
                <w:color w:val="auto"/>
                <w:kern w:val="2"/>
                <w:sz w:val="22"/>
                <w:szCs w:val="22"/>
                <w:lang w:val="en-US" w:eastAsia="zh-CN" w:bidi="ar-SA"/>
              </w:rPr>
              <w:t>0t/a，属于《国家危险废物名录》（2021年版）中“HW08 废矿物油与含矿物油废物（900-249-08）其他生产、销售、使用过程中产生的废矿物油及沾染矿物油的废弃包装物”，委托有资质单位处置</w:t>
            </w:r>
            <w:r>
              <w:rPr>
                <w:rFonts w:hint="eastAsia" w:ascii="Times New Roman" w:hAnsi="Times New Roman" w:eastAsia="宋体" w:cs="Times New Roman"/>
                <w:color w:val="auto"/>
                <w:kern w:val="2"/>
                <w:sz w:val="22"/>
                <w:szCs w:val="22"/>
                <w:lang w:val="en-US" w:eastAsia="zh-CN" w:bidi="ar-SA"/>
              </w:rPr>
              <w:t>。</w:t>
            </w:r>
          </w:p>
          <w:p w14:paraId="016DA767">
            <w:pPr>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eastAsia" w:ascii="宋体" w:hAnsi="宋体" w:eastAsia="宋体" w:cs="宋体"/>
                <w:b/>
                <w:bCs/>
                <w:color w:val="auto"/>
                <w:w w:val="100"/>
                <w:kern w:val="2"/>
                <w:sz w:val="22"/>
                <w:szCs w:val="22"/>
                <w:highlight w:val="none"/>
                <w:lang w:val="en-US" w:eastAsia="zh-CN" w:bidi="ar-SA"/>
              </w:rPr>
            </w:pPr>
            <w:r>
              <w:rPr>
                <w:rFonts w:hint="eastAsia" w:ascii="仿宋" w:hAnsi="仿宋" w:eastAsia="仿宋" w:cs="仿宋"/>
                <w:b/>
                <w:bCs/>
                <w:color w:val="auto"/>
                <w:w w:val="100"/>
                <w:sz w:val="22"/>
                <w:szCs w:val="22"/>
                <w:highlight w:val="none"/>
                <w:lang w:val="en-US" w:eastAsia="zh-CN"/>
              </w:rPr>
              <w:t>⑨</w:t>
            </w:r>
            <w:r>
              <w:rPr>
                <w:rFonts w:hint="eastAsia" w:ascii="宋体" w:hAnsi="宋体" w:eastAsia="宋体" w:cs="宋体"/>
                <w:b/>
                <w:bCs/>
                <w:color w:val="auto"/>
                <w:w w:val="100"/>
                <w:kern w:val="2"/>
                <w:sz w:val="22"/>
                <w:szCs w:val="22"/>
                <w:highlight w:val="none"/>
                <w:lang w:val="en-US" w:eastAsia="zh-CN" w:bidi="ar-SA"/>
              </w:rPr>
              <w:t>废桶</w:t>
            </w:r>
          </w:p>
          <w:p w14:paraId="70A859B6">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eastAsia"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b w:val="0"/>
                <w:bCs w:val="0"/>
                <w:color w:val="auto"/>
                <w:kern w:val="2"/>
                <w:sz w:val="22"/>
                <w:szCs w:val="22"/>
                <w:lang w:val="en-US" w:eastAsia="zh-CN" w:bidi="ar-SA"/>
              </w:rPr>
              <w:t>在生产过程中产生废桶约3.5t/a，经查属于危险废物（HW49其他废物，900-047-49）</w:t>
            </w:r>
            <w:r>
              <w:rPr>
                <w:rFonts w:hint="eastAsia" w:ascii="Times New Roman" w:hAnsi="Times New Roman" w:eastAsia="宋体" w:cs="Times New Roman"/>
                <w:b w:val="0"/>
                <w:bCs w:val="0"/>
                <w:color w:val="auto"/>
                <w:kern w:val="2"/>
                <w:sz w:val="22"/>
                <w:szCs w:val="22"/>
                <w:lang w:val="en-US" w:eastAsia="zh-CN" w:bidi="ar-SA"/>
              </w:rPr>
              <w:t>。</w:t>
            </w:r>
          </w:p>
          <w:p w14:paraId="1F639B4F">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eastAsia" w:ascii="宋体" w:hAnsi="宋体" w:eastAsia="宋体" w:cs="宋体"/>
                <w:color w:val="auto"/>
                <w:w w:val="100"/>
                <w:sz w:val="22"/>
                <w:szCs w:val="22"/>
                <w:highlight w:val="none"/>
                <w:lang w:val="en-US" w:eastAsia="zh-CN"/>
              </w:rPr>
            </w:pPr>
            <w:r>
              <w:rPr>
                <w:rFonts w:hint="eastAsia" w:ascii="仿宋" w:hAnsi="仿宋" w:eastAsia="仿宋" w:cs="仿宋"/>
                <w:b/>
                <w:bCs/>
                <w:color w:val="auto"/>
                <w:w w:val="100"/>
                <w:sz w:val="22"/>
                <w:szCs w:val="22"/>
                <w:highlight w:val="none"/>
                <w:lang w:val="en-US" w:eastAsia="zh-CN"/>
              </w:rPr>
              <w:t>⑩</w:t>
            </w:r>
            <w:r>
              <w:rPr>
                <w:rFonts w:hint="eastAsia" w:ascii="宋体" w:hAnsi="宋体" w:eastAsia="宋体" w:cs="宋体"/>
                <w:b/>
                <w:bCs/>
                <w:color w:val="auto"/>
                <w:w w:val="100"/>
                <w:sz w:val="22"/>
                <w:szCs w:val="22"/>
                <w:highlight w:val="none"/>
                <w:lang w:val="en-US" w:eastAsia="zh-CN"/>
              </w:rPr>
              <w:t>废导热油</w:t>
            </w:r>
          </w:p>
          <w:p w14:paraId="393DE66A">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宋体" w:hAnsi="宋体" w:eastAsia="宋体" w:cs="宋体"/>
                <w:color w:val="auto"/>
                <w:w w:val="100"/>
                <w:sz w:val="22"/>
                <w:szCs w:val="22"/>
                <w:highlight w:val="none"/>
                <w:lang w:val="en-US" w:eastAsia="zh-CN"/>
              </w:rPr>
            </w:pPr>
            <w:r>
              <w:rPr>
                <w:rFonts w:hint="eastAsia" w:ascii="宋体" w:hAnsi="宋体" w:eastAsia="宋体" w:cs="宋体"/>
                <w:color w:val="auto"/>
                <w:w w:val="100"/>
                <w:sz w:val="22"/>
                <w:szCs w:val="22"/>
                <w:highlight w:val="none"/>
                <w:lang w:val="en-US" w:eastAsia="zh-CN"/>
              </w:rPr>
              <w:t>项目硫化罐使用导热油量</w:t>
            </w:r>
            <w:r>
              <w:rPr>
                <w:rFonts w:hint="eastAsia" w:ascii="Times New Roman" w:hAnsi="Times New Roman" w:eastAsia="宋体" w:cs="Times New Roman"/>
                <w:color w:val="auto"/>
                <w:w w:val="100"/>
                <w:sz w:val="22"/>
                <w:szCs w:val="22"/>
                <w:highlight w:val="none"/>
                <w:lang w:val="en-US" w:eastAsia="zh-CN"/>
              </w:rPr>
              <w:t>为0.34t/a，属于《国家危险废物名录》（2021年版）中“HW08 废矿物油与含矿物油废物（900-249-08）”，委托有资质单位处置。</w:t>
            </w:r>
          </w:p>
          <w:p w14:paraId="5060E0EB">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b/>
                <w:bCs/>
                <w:color w:val="auto"/>
                <w:w w:val="100"/>
                <w:sz w:val="22"/>
                <w:szCs w:val="22"/>
              </w:rPr>
            </w:pPr>
            <w:r>
              <w:rPr>
                <w:rFonts w:hint="eastAsia" w:ascii="宋体" w:hAnsi="宋体" w:eastAsia="宋体" w:cs="宋体"/>
                <w:b/>
                <w:bCs/>
                <w:color w:val="auto"/>
                <w:w w:val="100"/>
                <w:sz w:val="22"/>
                <w:szCs w:val="22"/>
              </w:rPr>
              <w:t>⑵</w:t>
            </w:r>
            <w:r>
              <w:rPr>
                <w:rFonts w:hint="default" w:ascii="Times New Roman" w:hAnsi="Times New Roman" w:eastAsia="宋体" w:cs="Times New Roman"/>
                <w:b/>
                <w:bCs/>
                <w:color w:val="auto"/>
                <w:w w:val="100"/>
                <w:sz w:val="22"/>
                <w:szCs w:val="22"/>
              </w:rPr>
              <w:t>一般固废</w:t>
            </w:r>
          </w:p>
          <w:p w14:paraId="731843C1">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eastAsia" w:ascii="宋体" w:hAnsi="宋体" w:eastAsia="宋体" w:cs="宋体"/>
                <w:b/>
                <w:bCs/>
                <w:color w:val="auto"/>
                <w:w w:val="100"/>
                <w:sz w:val="22"/>
                <w:szCs w:val="22"/>
                <w:lang w:val="en-US" w:eastAsia="zh-CN"/>
              </w:rPr>
            </w:pPr>
            <w:r>
              <w:rPr>
                <w:rFonts w:hint="eastAsia" w:ascii="宋体" w:hAnsi="宋体" w:eastAsia="宋体" w:cs="宋体"/>
                <w:b/>
                <w:bCs/>
                <w:color w:val="auto"/>
                <w:w w:val="100"/>
                <w:sz w:val="22"/>
                <w:szCs w:val="22"/>
              </w:rPr>
              <w:t>①</w:t>
            </w:r>
            <w:r>
              <w:rPr>
                <w:rFonts w:hint="eastAsia" w:ascii="宋体" w:hAnsi="宋体" w:cs="宋体"/>
                <w:b/>
                <w:bCs/>
                <w:color w:val="auto"/>
                <w:w w:val="100"/>
                <w:sz w:val="22"/>
                <w:szCs w:val="22"/>
                <w:lang w:val="en-US" w:eastAsia="zh-CN"/>
              </w:rPr>
              <w:t>杂质</w:t>
            </w:r>
            <w:r>
              <w:rPr>
                <w:rFonts w:hint="default" w:ascii="Times New Roman" w:hAnsi="Times New Roman" w:cs="Times New Roman"/>
                <w:b/>
                <w:bCs/>
                <w:color w:val="auto"/>
                <w:w w:val="100"/>
                <w:sz w:val="22"/>
                <w:szCs w:val="22"/>
                <w:lang w:val="en-US" w:eastAsia="zh-CN"/>
              </w:rPr>
              <w:t>（S1-1、S2-1）</w:t>
            </w:r>
          </w:p>
          <w:p w14:paraId="27AEE5A4">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eastAsia="宋体" w:cs="Times New Roman"/>
                <w:b w:val="0"/>
                <w:bCs w:val="0"/>
                <w:color w:val="auto"/>
                <w:w w:val="100"/>
                <w:sz w:val="22"/>
                <w:szCs w:val="22"/>
                <w:lang w:val="en-US" w:eastAsia="zh-CN"/>
              </w:rPr>
            </w:pPr>
            <w:r>
              <w:rPr>
                <w:rFonts w:hint="default" w:ascii="Times New Roman" w:hAnsi="Times New Roman" w:cs="Times New Roman"/>
                <w:b w:val="0"/>
                <w:bCs w:val="0"/>
                <w:color w:val="auto"/>
                <w:w w:val="100"/>
                <w:sz w:val="22"/>
                <w:szCs w:val="22"/>
                <w:lang w:val="en-US" w:eastAsia="zh-CN"/>
              </w:rPr>
              <w:t>橡胶过滤过程中产生少量杂质，约占原料的0.1%</w:t>
            </w:r>
            <w:r>
              <w:rPr>
                <w:rFonts w:hint="eastAsia" w:ascii="Times New Roman" w:hAnsi="Times New Roman" w:cs="Times New Roman"/>
                <w:b w:val="0"/>
                <w:bCs w:val="0"/>
                <w:color w:val="auto"/>
                <w:w w:val="100"/>
                <w:sz w:val="22"/>
                <w:szCs w:val="22"/>
                <w:lang w:val="en-US" w:eastAsia="zh-CN"/>
              </w:rPr>
              <w:t>，项目橡胶原辅料的使用量为1198.5t/a，则过滤杂质的产生量约为1.199t/a</w:t>
            </w:r>
            <w:r>
              <w:rPr>
                <w:rFonts w:hint="eastAsia" w:cs="Times New Roman"/>
                <w:b w:val="0"/>
                <w:bCs w:val="0"/>
                <w:color w:val="auto"/>
                <w:w w:val="100"/>
                <w:sz w:val="22"/>
                <w:szCs w:val="22"/>
                <w:lang w:val="en-US" w:eastAsia="zh-CN"/>
              </w:rPr>
              <w:t>。</w:t>
            </w:r>
          </w:p>
          <w:p w14:paraId="203C679C">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eastAsia" w:ascii="宋体" w:hAnsi="宋体" w:eastAsia="宋体" w:cs="宋体"/>
                <w:b/>
                <w:bCs/>
                <w:color w:val="auto"/>
                <w:w w:val="100"/>
                <w:sz w:val="22"/>
                <w:szCs w:val="22"/>
                <w:lang w:eastAsia="zh-CN"/>
              </w:rPr>
            </w:pPr>
            <w:r>
              <w:rPr>
                <w:rFonts w:hint="eastAsia" w:ascii="宋体" w:hAnsi="宋体" w:eastAsia="宋体" w:cs="宋体"/>
                <w:b/>
                <w:bCs/>
                <w:color w:val="auto"/>
                <w:w w:val="100"/>
                <w:sz w:val="22"/>
                <w:szCs w:val="22"/>
              </w:rPr>
              <w:t>②</w:t>
            </w:r>
            <w:r>
              <w:rPr>
                <w:rFonts w:hint="eastAsia" w:ascii="宋体" w:hAnsi="宋体" w:cs="宋体"/>
                <w:b/>
                <w:bCs/>
                <w:color w:val="auto"/>
                <w:w w:val="100"/>
                <w:sz w:val="22"/>
                <w:szCs w:val="22"/>
                <w:lang w:eastAsia="zh-CN"/>
              </w:rPr>
              <w:t>废布条</w:t>
            </w:r>
            <w:r>
              <w:rPr>
                <w:rFonts w:hint="default" w:ascii="Times New Roman" w:hAnsi="Times New Roman" w:cs="Times New Roman"/>
                <w:b/>
                <w:bCs/>
                <w:color w:val="auto"/>
                <w:w w:val="100"/>
                <w:sz w:val="22"/>
                <w:szCs w:val="22"/>
                <w:lang w:val="en-US" w:eastAsia="zh-CN"/>
              </w:rPr>
              <w:t>（S</w:t>
            </w:r>
            <w:r>
              <w:rPr>
                <w:rFonts w:hint="eastAsia" w:cs="Times New Roman"/>
                <w:b/>
                <w:bCs/>
                <w:color w:val="auto"/>
                <w:w w:val="100"/>
                <w:sz w:val="22"/>
                <w:szCs w:val="22"/>
                <w:lang w:val="en-US" w:eastAsia="zh-CN"/>
              </w:rPr>
              <w:t>1-3</w:t>
            </w:r>
            <w:r>
              <w:rPr>
                <w:rFonts w:hint="default" w:ascii="Times New Roman" w:hAnsi="Times New Roman" w:cs="Times New Roman"/>
                <w:b/>
                <w:bCs/>
                <w:color w:val="auto"/>
                <w:w w:val="100"/>
                <w:sz w:val="22"/>
                <w:szCs w:val="22"/>
                <w:lang w:val="en-US" w:eastAsia="zh-CN"/>
              </w:rPr>
              <w:t>）</w:t>
            </w:r>
          </w:p>
          <w:p w14:paraId="2316A73E">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cs="Times New Roman"/>
                <w:b w:val="0"/>
                <w:bCs w:val="0"/>
                <w:color w:val="auto"/>
                <w:w w:val="100"/>
                <w:sz w:val="22"/>
                <w:szCs w:val="22"/>
                <w:lang w:val="en-US" w:eastAsia="zh-CN"/>
              </w:rPr>
            </w:pPr>
            <w:r>
              <w:rPr>
                <w:rFonts w:hint="default" w:ascii="Times New Roman" w:hAnsi="Times New Roman" w:cs="Times New Roman"/>
                <w:b w:val="0"/>
                <w:bCs w:val="0"/>
                <w:color w:val="auto"/>
                <w:w w:val="100"/>
                <w:sz w:val="22"/>
                <w:szCs w:val="22"/>
                <w:lang w:val="en-US" w:eastAsia="zh-CN"/>
              </w:rPr>
              <w:t>根据企业提供资料，废布条的产生量约占原料的0.5%，本项目帆布使用量约30t/a，则废布条的产生量约0.15t/a。</w:t>
            </w:r>
          </w:p>
          <w:p w14:paraId="53B6F4E3">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eastAsia" w:ascii="宋体" w:hAnsi="宋体" w:eastAsia="宋体" w:cs="宋体"/>
                <w:b/>
                <w:bCs/>
                <w:color w:val="auto"/>
                <w:w w:val="100"/>
                <w:sz w:val="22"/>
                <w:szCs w:val="22"/>
                <w:lang w:val="en-US" w:eastAsia="zh-CN"/>
              </w:rPr>
            </w:pPr>
            <w:r>
              <w:rPr>
                <w:rFonts w:hint="eastAsia" w:ascii="宋体" w:hAnsi="宋体" w:eastAsia="宋体" w:cs="宋体"/>
                <w:b/>
                <w:bCs/>
                <w:color w:val="auto"/>
                <w:w w:val="100"/>
                <w:sz w:val="22"/>
                <w:szCs w:val="22"/>
                <w:lang w:eastAsia="zh-CN"/>
              </w:rPr>
              <w:t>③</w:t>
            </w:r>
            <w:r>
              <w:rPr>
                <w:rFonts w:hint="eastAsia" w:ascii="宋体" w:hAnsi="宋体" w:cs="宋体"/>
                <w:b/>
                <w:bCs/>
                <w:color w:val="auto"/>
                <w:w w:val="100"/>
                <w:sz w:val="22"/>
                <w:szCs w:val="22"/>
                <w:lang w:val="en-US" w:eastAsia="zh-CN"/>
              </w:rPr>
              <w:t>废边角料</w:t>
            </w:r>
            <w:r>
              <w:rPr>
                <w:rFonts w:hint="default" w:ascii="Times New Roman" w:hAnsi="Times New Roman" w:cs="Times New Roman"/>
                <w:b/>
                <w:bCs/>
                <w:color w:val="auto"/>
                <w:w w:val="100"/>
                <w:sz w:val="22"/>
                <w:szCs w:val="22"/>
                <w:lang w:val="en-US" w:eastAsia="zh-CN"/>
              </w:rPr>
              <w:t>（S2-</w:t>
            </w:r>
            <w:r>
              <w:rPr>
                <w:rFonts w:hint="eastAsia" w:cs="Times New Roman"/>
                <w:b/>
                <w:bCs/>
                <w:color w:val="auto"/>
                <w:w w:val="100"/>
                <w:sz w:val="22"/>
                <w:szCs w:val="22"/>
                <w:lang w:val="en-US" w:eastAsia="zh-CN"/>
              </w:rPr>
              <w:t>4、</w:t>
            </w:r>
            <w:r>
              <w:rPr>
                <w:rFonts w:hint="default" w:ascii="Times New Roman" w:hAnsi="Times New Roman" w:cs="Times New Roman"/>
                <w:b/>
                <w:bCs/>
                <w:color w:val="auto"/>
                <w:w w:val="100"/>
                <w:sz w:val="22"/>
                <w:szCs w:val="22"/>
                <w:lang w:val="en-US" w:eastAsia="zh-CN"/>
              </w:rPr>
              <w:t>S2-</w:t>
            </w:r>
            <w:r>
              <w:rPr>
                <w:rFonts w:hint="eastAsia" w:cs="Times New Roman"/>
                <w:b/>
                <w:bCs/>
                <w:color w:val="auto"/>
                <w:w w:val="100"/>
                <w:sz w:val="22"/>
                <w:szCs w:val="22"/>
                <w:lang w:val="en-US" w:eastAsia="zh-CN"/>
              </w:rPr>
              <w:t>5</w:t>
            </w:r>
            <w:r>
              <w:rPr>
                <w:rFonts w:hint="default" w:ascii="Times New Roman" w:hAnsi="Times New Roman" w:cs="Times New Roman"/>
                <w:b/>
                <w:bCs/>
                <w:color w:val="auto"/>
                <w:w w:val="100"/>
                <w:sz w:val="22"/>
                <w:szCs w:val="22"/>
                <w:lang w:val="en-US" w:eastAsia="zh-CN"/>
              </w:rPr>
              <w:t>）</w:t>
            </w:r>
          </w:p>
          <w:p w14:paraId="2C547332">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eastAsia="宋体" w:cs="Times New Roman"/>
                <w:b w:val="0"/>
                <w:bCs w:val="0"/>
                <w:color w:val="auto"/>
                <w:w w:val="100"/>
                <w:sz w:val="22"/>
                <w:szCs w:val="22"/>
                <w:lang w:val="en-US" w:eastAsia="zh-CN"/>
              </w:rPr>
            </w:pPr>
            <w:r>
              <w:rPr>
                <w:rFonts w:hint="eastAsia" w:ascii="Times New Roman" w:hAnsi="Times New Roman" w:cs="Times New Roman"/>
                <w:b w:val="0"/>
                <w:bCs w:val="0"/>
                <w:color w:val="auto"/>
                <w:w w:val="100"/>
                <w:sz w:val="22"/>
                <w:szCs w:val="22"/>
                <w:lang w:val="en-US" w:eastAsia="zh-CN"/>
              </w:rPr>
              <w:t>橡胶切边</w:t>
            </w:r>
            <w:r>
              <w:rPr>
                <w:rFonts w:hint="eastAsia" w:cs="Times New Roman"/>
                <w:b w:val="0"/>
                <w:bCs w:val="0"/>
                <w:color w:val="auto"/>
                <w:w w:val="100"/>
                <w:sz w:val="22"/>
                <w:szCs w:val="22"/>
                <w:lang w:val="en-US" w:eastAsia="zh-CN"/>
              </w:rPr>
              <w:t>和打磨</w:t>
            </w:r>
            <w:r>
              <w:rPr>
                <w:rFonts w:hint="eastAsia" w:ascii="Times New Roman" w:hAnsi="Times New Roman" w:cs="Times New Roman"/>
                <w:b w:val="0"/>
                <w:bCs w:val="0"/>
                <w:color w:val="auto"/>
                <w:w w:val="100"/>
                <w:sz w:val="22"/>
                <w:szCs w:val="22"/>
                <w:lang w:val="en-US" w:eastAsia="zh-CN"/>
              </w:rPr>
              <w:t>过程中产生少量废边角料，</w:t>
            </w:r>
            <w:r>
              <w:rPr>
                <w:rFonts w:hint="default" w:ascii="Times New Roman" w:hAnsi="Times New Roman" w:cs="Times New Roman"/>
                <w:b w:val="0"/>
                <w:bCs w:val="0"/>
                <w:color w:val="auto"/>
                <w:w w:val="100"/>
                <w:sz w:val="22"/>
                <w:szCs w:val="22"/>
                <w:lang w:val="en-US" w:eastAsia="zh-CN"/>
              </w:rPr>
              <w:t>约占原料的0.1%</w:t>
            </w:r>
            <w:r>
              <w:rPr>
                <w:rFonts w:hint="eastAsia" w:ascii="Times New Roman" w:hAnsi="Times New Roman" w:cs="Times New Roman"/>
                <w:b w:val="0"/>
                <w:bCs w:val="0"/>
                <w:color w:val="auto"/>
                <w:w w:val="100"/>
                <w:sz w:val="22"/>
                <w:szCs w:val="22"/>
                <w:lang w:val="en-US" w:eastAsia="zh-CN"/>
              </w:rPr>
              <w:t>，项目橡胶原辅料的使用量为</w:t>
            </w:r>
            <w:r>
              <w:rPr>
                <w:rFonts w:hint="eastAsia" w:cs="Times New Roman"/>
                <w:b w:val="0"/>
                <w:bCs w:val="0"/>
                <w:color w:val="auto"/>
                <w:w w:val="100"/>
                <w:sz w:val="22"/>
                <w:szCs w:val="22"/>
                <w:lang w:val="en-US" w:eastAsia="zh-CN"/>
              </w:rPr>
              <w:t>650</w:t>
            </w:r>
            <w:r>
              <w:rPr>
                <w:rFonts w:hint="eastAsia" w:ascii="Times New Roman" w:hAnsi="Times New Roman" w:cs="Times New Roman"/>
                <w:b w:val="0"/>
                <w:bCs w:val="0"/>
                <w:color w:val="auto"/>
                <w:w w:val="100"/>
                <w:sz w:val="22"/>
                <w:szCs w:val="22"/>
                <w:lang w:val="en-US" w:eastAsia="zh-CN"/>
              </w:rPr>
              <w:t>t/a，</w:t>
            </w:r>
            <w:r>
              <w:rPr>
                <w:rFonts w:hint="eastAsia" w:cs="Times New Roman"/>
                <w:b w:val="0"/>
                <w:bCs w:val="0"/>
                <w:color w:val="auto"/>
                <w:w w:val="100"/>
                <w:sz w:val="22"/>
                <w:szCs w:val="22"/>
                <w:lang w:val="en-US" w:eastAsia="zh-CN"/>
              </w:rPr>
              <w:t>废边角料</w:t>
            </w:r>
            <w:r>
              <w:rPr>
                <w:rFonts w:hint="eastAsia" w:ascii="Times New Roman" w:hAnsi="Times New Roman" w:cs="Times New Roman"/>
                <w:b w:val="0"/>
                <w:bCs w:val="0"/>
                <w:color w:val="auto"/>
                <w:w w:val="100"/>
                <w:sz w:val="22"/>
                <w:szCs w:val="22"/>
                <w:lang w:val="en-US" w:eastAsia="zh-CN"/>
              </w:rPr>
              <w:t>产生量约为</w:t>
            </w:r>
            <w:r>
              <w:rPr>
                <w:rFonts w:hint="eastAsia" w:cs="Times New Roman"/>
                <w:b w:val="0"/>
                <w:bCs w:val="0"/>
                <w:color w:val="auto"/>
                <w:w w:val="100"/>
                <w:sz w:val="22"/>
                <w:szCs w:val="22"/>
                <w:lang w:val="en-US" w:eastAsia="zh-CN"/>
              </w:rPr>
              <w:t>0.65</w:t>
            </w:r>
            <w:r>
              <w:rPr>
                <w:rFonts w:hint="eastAsia" w:ascii="Times New Roman" w:hAnsi="Times New Roman" w:cs="Times New Roman"/>
                <w:b w:val="0"/>
                <w:bCs w:val="0"/>
                <w:color w:val="auto"/>
                <w:w w:val="100"/>
                <w:sz w:val="22"/>
                <w:szCs w:val="22"/>
                <w:lang w:val="en-US" w:eastAsia="zh-CN"/>
              </w:rPr>
              <w:t>t/a</w:t>
            </w:r>
            <w:r>
              <w:rPr>
                <w:rFonts w:hint="eastAsia" w:cs="Times New Roman"/>
                <w:b w:val="0"/>
                <w:bCs w:val="0"/>
                <w:color w:val="auto"/>
                <w:w w:val="100"/>
                <w:sz w:val="22"/>
                <w:szCs w:val="22"/>
                <w:lang w:val="en-US" w:eastAsia="zh-CN"/>
              </w:rPr>
              <w:t>。</w:t>
            </w:r>
          </w:p>
          <w:p w14:paraId="1578ED0C">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default" w:ascii="Times New Roman" w:hAnsi="Times New Roman" w:cs="Times New Roman" w:eastAsiaTheme="minorEastAsia"/>
                <w:bCs/>
                <w:color w:val="auto"/>
                <w:spacing w:val="-10"/>
                <w:sz w:val="22"/>
                <w:szCs w:val="22"/>
                <w:lang w:val="en-US" w:eastAsia="zh-CN"/>
              </w:rPr>
            </w:pPr>
            <w:r>
              <w:rPr>
                <w:rFonts w:hint="eastAsia" w:ascii="宋体" w:hAnsi="宋体" w:eastAsia="宋体" w:cs="宋体"/>
                <w:b/>
                <w:bCs w:val="0"/>
                <w:color w:val="auto"/>
                <w:w w:val="100"/>
                <w:kern w:val="2"/>
                <w:sz w:val="22"/>
                <w:szCs w:val="22"/>
                <w:lang w:val="en-US" w:eastAsia="zh-CN" w:bidi="ar-SA"/>
              </w:rPr>
              <w:t>④</w:t>
            </w:r>
            <w:r>
              <w:rPr>
                <w:rFonts w:hint="default" w:ascii="Times New Roman" w:hAnsi="Times New Roman" w:eastAsia="宋体" w:cs="Times New Roman"/>
                <w:b/>
                <w:bCs/>
                <w:color w:val="auto"/>
                <w:w w:val="100"/>
                <w:sz w:val="22"/>
                <w:szCs w:val="22"/>
              </w:rPr>
              <w:t>不合格产品</w:t>
            </w:r>
            <w:r>
              <w:rPr>
                <w:rFonts w:hint="eastAsia" w:cs="Times New Roman"/>
                <w:b/>
                <w:bCs/>
                <w:color w:val="auto"/>
                <w:w w:val="100"/>
                <w:sz w:val="22"/>
                <w:szCs w:val="22"/>
                <w:lang w:eastAsia="zh-CN"/>
              </w:rPr>
              <w:t>（</w:t>
            </w:r>
            <w:r>
              <w:rPr>
                <w:rFonts w:hint="default" w:ascii="Times New Roman" w:hAnsi="Times New Roman" w:cs="Times New Roman"/>
                <w:b/>
                <w:bCs/>
                <w:color w:val="auto"/>
                <w:w w:val="100"/>
                <w:sz w:val="22"/>
                <w:szCs w:val="22"/>
                <w:lang w:val="en-US" w:eastAsia="zh-CN"/>
              </w:rPr>
              <w:t>S1-</w:t>
            </w:r>
            <w:r>
              <w:rPr>
                <w:rFonts w:hint="eastAsia" w:cs="Times New Roman"/>
                <w:b/>
                <w:bCs/>
                <w:color w:val="auto"/>
                <w:w w:val="100"/>
                <w:sz w:val="22"/>
                <w:szCs w:val="22"/>
                <w:lang w:val="en-US" w:eastAsia="zh-CN"/>
              </w:rPr>
              <w:t>4</w:t>
            </w:r>
            <w:r>
              <w:rPr>
                <w:rFonts w:hint="default" w:ascii="Times New Roman" w:hAnsi="Times New Roman" w:cs="Times New Roman"/>
                <w:b/>
                <w:bCs/>
                <w:color w:val="auto"/>
                <w:w w:val="100"/>
                <w:sz w:val="22"/>
                <w:szCs w:val="22"/>
                <w:lang w:val="en-US" w:eastAsia="zh-CN"/>
              </w:rPr>
              <w:t>、S2-</w:t>
            </w:r>
            <w:r>
              <w:rPr>
                <w:rFonts w:hint="eastAsia" w:cs="Times New Roman"/>
                <w:b/>
                <w:bCs/>
                <w:color w:val="auto"/>
                <w:w w:val="100"/>
                <w:sz w:val="22"/>
                <w:szCs w:val="22"/>
                <w:lang w:val="en-US" w:eastAsia="zh-CN"/>
              </w:rPr>
              <w:t>7</w:t>
            </w:r>
            <w:r>
              <w:rPr>
                <w:rFonts w:hint="eastAsia" w:cs="Times New Roman"/>
                <w:b/>
                <w:bCs/>
                <w:color w:val="auto"/>
                <w:w w:val="100"/>
                <w:sz w:val="22"/>
                <w:szCs w:val="22"/>
                <w:lang w:eastAsia="zh-CN"/>
              </w:rPr>
              <w:t>）</w:t>
            </w:r>
          </w:p>
        </w:tc>
      </w:tr>
    </w:tbl>
    <w:p w14:paraId="56A2E688">
      <w:pPr>
        <w:tabs>
          <w:tab w:val="left" w:pos="395"/>
        </w:tabs>
        <w:bidi w:val="0"/>
        <w:jc w:val="left"/>
        <w:rPr>
          <w:rFonts w:hint="eastAsia" w:eastAsia="宋体"/>
          <w:color w:val="auto"/>
          <w:lang w:eastAsia="zh-CN"/>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670"/>
        <w:gridCol w:w="13958"/>
      </w:tblGrid>
      <w:tr w14:paraId="231D07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35" w:hRule="atLeast"/>
          <w:jc w:val="center"/>
        </w:trPr>
        <w:tc>
          <w:tcPr>
            <w:tcW w:w="229" w:type="pct"/>
            <w:tcBorders>
              <w:tl2br w:val="nil"/>
              <w:tr2bl w:val="nil"/>
            </w:tcBorders>
            <w:vAlign w:val="center"/>
          </w:tcPr>
          <w:p w14:paraId="5C3834E7">
            <w:pPr>
              <w:widowControl/>
              <w:adjustRightInd w:val="0"/>
              <w:snapToGrid w:val="0"/>
              <w:spacing w:line="500" w:lineRule="exact"/>
              <w:jc w:val="center"/>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运营期环境影响和保护措施</w:t>
            </w:r>
          </w:p>
        </w:tc>
        <w:tc>
          <w:tcPr>
            <w:tcW w:w="4770" w:type="pct"/>
            <w:tcBorders>
              <w:tl2br w:val="nil"/>
              <w:tr2bl w:val="nil"/>
            </w:tcBorders>
          </w:tcPr>
          <w:p w14:paraId="15DAB009">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eastAsia="宋体" w:cs="Times New Roman"/>
                <w:color w:val="auto"/>
                <w:w w:val="100"/>
                <w:sz w:val="22"/>
                <w:szCs w:val="22"/>
              </w:rPr>
            </w:pPr>
            <w:r>
              <w:rPr>
                <w:rFonts w:hint="default" w:ascii="Times New Roman" w:hAnsi="Times New Roman" w:eastAsia="宋体" w:cs="Times New Roman"/>
                <w:color w:val="auto"/>
                <w:w w:val="100"/>
                <w:sz w:val="22"/>
                <w:szCs w:val="22"/>
                <w:lang w:eastAsia="zh-CN"/>
              </w:rPr>
              <w:t>技改</w:t>
            </w:r>
            <w:r>
              <w:rPr>
                <w:rFonts w:hint="default" w:ascii="Times New Roman" w:hAnsi="Times New Roman" w:eastAsia="宋体" w:cs="Times New Roman"/>
                <w:color w:val="auto"/>
                <w:w w:val="100"/>
                <w:sz w:val="22"/>
                <w:szCs w:val="22"/>
              </w:rPr>
              <w:t>项目不合格产品产生量约为</w:t>
            </w:r>
            <w:r>
              <w:rPr>
                <w:rFonts w:hint="eastAsia" w:cs="Times New Roman"/>
                <w:color w:val="auto"/>
                <w:w w:val="100"/>
                <w:sz w:val="22"/>
                <w:szCs w:val="22"/>
                <w:lang w:val="en-US" w:eastAsia="zh-CN"/>
              </w:rPr>
              <w:t>50</w:t>
            </w:r>
            <w:r>
              <w:rPr>
                <w:rFonts w:hint="default" w:ascii="Times New Roman" w:hAnsi="Times New Roman" w:eastAsia="宋体" w:cs="Times New Roman"/>
                <w:color w:val="auto"/>
                <w:w w:val="100"/>
                <w:sz w:val="22"/>
                <w:szCs w:val="22"/>
                <w:lang w:val="en-US" w:eastAsia="zh-CN"/>
              </w:rPr>
              <w:t>t/a</w:t>
            </w:r>
            <w:r>
              <w:rPr>
                <w:rFonts w:hint="default" w:ascii="Times New Roman" w:hAnsi="Times New Roman" w:eastAsia="宋体" w:cs="Times New Roman"/>
                <w:color w:val="auto"/>
                <w:w w:val="100"/>
                <w:sz w:val="22"/>
                <w:szCs w:val="22"/>
              </w:rPr>
              <w:t>，收集外售。</w:t>
            </w:r>
          </w:p>
          <w:p w14:paraId="7878605C">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default" w:ascii="Times New Roman" w:hAnsi="Times New Roman" w:eastAsia="宋体" w:cs="Times New Roman"/>
                <w:b/>
                <w:bCs w:val="0"/>
                <w:color w:val="auto"/>
                <w:w w:val="100"/>
                <w:kern w:val="2"/>
                <w:sz w:val="22"/>
                <w:szCs w:val="22"/>
                <w:lang w:val="en-US" w:eastAsia="zh-CN" w:bidi="ar-SA"/>
              </w:rPr>
            </w:pPr>
            <w:r>
              <w:rPr>
                <w:rFonts w:hint="eastAsia" w:ascii="Times New Roman" w:hAnsi="Times New Roman" w:eastAsia="宋体" w:cs="Times New Roman"/>
                <w:b/>
                <w:bCs/>
                <w:color w:val="auto"/>
                <w:kern w:val="2"/>
                <w:sz w:val="22"/>
                <w:szCs w:val="22"/>
                <w:lang w:val="en-US" w:eastAsia="zh-CN" w:bidi="ar-SA"/>
              </w:rPr>
              <w:t>⑤</w:t>
            </w:r>
            <w:r>
              <w:rPr>
                <w:rFonts w:hint="default" w:ascii="Times New Roman" w:hAnsi="Times New Roman" w:eastAsia="宋体" w:cs="Times New Roman"/>
                <w:b/>
                <w:bCs w:val="0"/>
                <w:color w:val="auto"/>
                <w:w w:val="100"/>
                <w:kern w:val="2"/>
                <w:sz w:val="22"/>
                <w:szCs w:val="22"/>
                <w:lang w:val="en-US" w:eastAsia="zh-CN" w:bidi="ar-SA"/>
              </w:rPr>
              <w:t>沉渣</w:t>
            </w:r>
          </w:p>
          <w:p w14:paraId="6FB2BCDE">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cs="Times New Roman" w:eastAsiaTheme="minorEastAsia"/>
                <w:b/>
                <w:bCs/>
                <w:color w:val="auto"/>
                <w:w w:val="100"/>
                <w:sz w:val="22"/>
                <w:szCs w:val="22"/>
                <w:lang w:val="en-US" w:eastAsia="zh-CN"/>
              </w:rPr>
            </w:pPr>
            <w:r>
              <w:rPr>
                <w:rFonts w:hint="eastAsia" w:cs="Times New Roman"/>
                <w:b w:val="0"/>
                <w:bCs/>
                <w:color w:val="auto"/>
                <w:w w:val="100"/>
                <w:kern w:val="2"/>
                <w:sz w:val="22"/>
                <w:szCs w:val="22"/>
                <w:lang w:val="en-US" w:eastAsia="zh-CN" w:bidi="ar-SA"/>
              </w:rPr>
              <w:t>清洗</w:t>
            </w:r>
            <w:r>
              <w:rPr>
                <w:rFonts w:hint="default" w:ascii="Times New Roman" w:hAnsi="Times New Roman" w:eastAsia="宋体" w:cs="Times New Roman"/>
                <w:b w:val="0"/>
                <w:bCs/>
                <w:color w:val="auto"/>
                <w:w w:val="100"/>
                <w:kern w:val="2"/>
                <w:sz w:val="22"/>
                <w:szCs w:val="22"/>
                <w:lang w:val="en-US" w:eastAsia="zh-CN" w:bidi="ar-SA"/>
              </w:rPr>
              <w:t>沉渣产生量约0.05t/a，收集外售。</w:t>
            </w:r>
            <w:r>
              <w:rPr>
                <w:rFonts w:hint="default" w:ascii="Times New Roman" w:hAnsi="Times New Roman" w:cs="Times New Roman" w:eastAsiaTheme="minorEastAsia"/>
                <w:b/>
                <w:bCs/>
                <w:color w:val="auto"/>
                <w:w w:val="100"/>
                <w:sz w:val="22"/>
                <w:szCs w:val="22"/>
                <w:lang w:val="en-US" w:eastAsia="zh-CN"/>
              </w:rPr>
              <w:t xml:space="preserve">  </w:t>
            </w:r>
          </w:p>
          <w:p w14:paraId="2F3BD2B4">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textAlignment w:val="auto"/>
              <w:rPr>
                <w:rFonts w:hint="eastAsia" w:ascii="Times New Roman" w:hAnsi="Times New Roman" w:eastAsia="宋体" w:cs="Times New Roman"/>
                <w:b/>
                <w:bCs/>
                <w:color w:val="auto"/>
                <w:w w:val="100"/>
                <w:sz w:val="22"/>
                <w:szCs w:val="22"/>
                <w:lang w:val="en-US" w:eastAsia="zh-CN"/>
              </w:rPr>
            </w:pPr>
            <w:r>
              <w:rPr>
                <w:rFonts w:hint="eastAsia" w:ascii="宋体" w:hAnsi="宋体" w:eastAsia="宋体" w:cs="宋体"/>
                <w:b/>
                <w:bCs/>
                <w:color w:val="auto"/>
                <w:w w:val="100"/>
                <w:kern w:val="2"/>
                <w:sz w:val="22"/>
                <w:szCs w:val="22"/>
                <w:lang w:val="en-US" w:eastAsia="zh-CN" w:bidi="ar-SA"/>
              </w:rPr>
              <w:t>⑥</w:t>
            </w:r>
            <w:r>
              <w:rPr>
                <w:rFonts w:hint="eastAsia" w:ascii="宋体" w:hAnsi="宋体" w:eastAsia="宋体" w:cs="宋体"/>
                <w:b/>
                <w:bCs/>
                <w:color w:val="auto"/>
                <w:w w:val="100"/>
                <w:sz w:val="22"/>
                <w:szCs w:val="22"/>
                <w:lang w:eastAsia="zh-CN"/>
              </w:rPr>
              <w:t>除尘器收尘</w:t>
            </w:r>
          </w:p>
          <w:p w14:paraId="0BF4B7C1">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textAlignment w:val="auto"/>
              <w:rPr>
                <w:rFonts w:hint="default" w:ascii="Times New Roman" w:hAnsi="Times New Roman" w:eastAsia="宋体" w:cs="Times New Roman"/>
                <w:b w:val="0"/>
                <w:bCs w:val="0"/>
                <w:color w:val="auto"/>
                <w:w w:val="100"/>
                <w:kern w:val="2"/>
                <w:sz w:val="22"/>
                <w:szCs w:val="22"/>
                <w:lang w:val="en-US" w:eastAsia="zh-CN" w:bidi="ar-SA"/>
              </w:rPr>
            </w:pPr>
            <w:r>
              <w:rPr>
                <w:rFonts w:hint="eastAsia" w:ascii="Times New Roman" w:hAnsi="Times New Roman" w:eastAsia="宋体" w:cs="Times New Roman"/>
                <w:b w:val="0"/>
                <w:bCs w:val="0"/>
                <w:color w:val="auto"/>
                <w:w w:val="100"/>
                <w:sz w:val="22"/>
                <w:szCs w:val="22"/>
                <w:lang w:eastAsia="zh-CN"/>
              </w:rPr>
              <w:t>根据前文计算本项目布袋除尘器收尘量为</w:t>
            </w:r>
            <w:r>
              <w:rPr>
                <w:rFonts w:hint="eastAsia" w:cs="Times New Roman"/>
                <w:b w:val="0"/>
                <w:bCs w:val="0"/>
                <w:color w:val="auto"/>
                <w:w w:val="100"/>
                <w:sz w:val="22"/>
                <w:szCs w:val="22"/>
                <w:lang w:val="en-US" w:eastAsia="zh-CN"/>
              </w:rPr>
              <w:t>20.677</w:t>
            </w:r>
            <w:r>
              <w:rPr>
                <w:rFonts w:hint="eastAsia" w:ascii="Times New Roman" w:hAnsi="Times New Roman" w:eastAsia="宋体" w:cs="Times New Roman"/>
                <w:b w:val="0"/>
                <w:bCs w:val="0"/>
                <w:color w:val="auto"/>
                <w:w w:val="100"/>
                <w:sz w:val="22"/>
                <w:szCs w:val="22"/>
                <w:lang w:val="en-US" w:eastAsia="zh-CN"/>
              </w:rPr>
              <w:t>t/a，收集外售</w:t>
            </w:r>
            <w:r>
              <w:rPr>
                <w:rFonts w:hint="default" w:ascii="Times New Roman" w:hAnsi="Times New Roman" w:eastAsia="宋体" w:cs="Times New Roman"/>
                <w:b w:val="0"/>
                <w:bCs w:val="0"/>
                <w:color w:val="auto"/>
                <w:w w:val="100"/>
                <w:kern w:val="2"/>
                <w:sz w:val="22"/>
                <w:szCs w:val="22"/>
                <w:lang w:val="en-US" w:eastAsia="zh-CN" w:bidi="ar-SA"/>
              </w:rPr>
              <w:t>。</w:t>
            </w:r>
          </w:p>
          <w:p w14:paraId="714BF3D9">
            <w:pPr>
              <w:keepNext w:val="0"/>
              <w:keepLines w:val="0"/>
              <w:pageBreakBefore w:val="0"/>
              <w:widowControl/>
              <w:kinsoku/>
              <w:wordWrap/>
              <w:overflowPunct/>
              <w:topLinePunct w:val="0"/>
              <w:autoSpaceDE/>
              <w:autoSpaceDN/>
              <w:bidi w:val="0"/>
              <w:adjustRightInd w:val="0"/>
              <w:snapToGrid w:val="0"/>
              <w:spacing w:line="400" w:lineRule="exact"/>
              <w:ind w:firstLine="442" w:firstLineChars="200"/>
              <w:textAlignment w:val="auto"/>
              <w:rPr>
                <w:rFonts w:hint="eastAsia" w:ascii="宋体" w:hAnsi="宋体" w:eastAsia="宋体" w:cs="宋体"/>
                <w:color w:val="auto"/>
                <w:w w:val="100"/>
                <w:kern w:val="2"/>
                <w:sz w:val="22"/>
                <w:szCs w:val="22"/>
                <w:lang w:val="en-US" w:eastAsia="zh-CN" w:bidi="ar-SA"/>
              </w:rPr>
            </w:pPr>
            <w:r>
              <w:rPr>
                <w:rFonts w:hint="eastAsia" w:ascii="宋体" w:hAnsi="宋体" w:eastAsia="宋体" w:cs="宋体"/>
                <w:b/>
                <w:bCs/>
                <w:color w:val="auto"/>
                <w:w w:val="100"/>
                <w:kern w:val="2"/>
                <w:sz w:val="22"/>
                <w:szCs w:val="22"/>
                <w:lang w:val="en-US" w:eastAsia="zh-CN" w:bidi="ar-SA"/>
              </w:rPr>
              <w:t>⑦废布袋</w:t>
            </w:r>
            <w:r>
              <w:rPr>
                <w:rFonts w:hint="default" w:ascii="Times New Roman" w:hAnsi="Times New Roman" w:cs="Times New Roman" w:eastAsiaTheme="minorEastAsia"/>
                <w:b/>
                <w:bCs/>
                <w:color w:val="auto"/>
                <w:w w:val="100"/>
                <w:sz w:val="22"/>
                <w:szCs w:val="22"/>
                <w:lang w:val="en-US" w:eastAsia="zh-CN"/>
              </w:rPr>
              <w:t xml:space="preserve"> </w:t>
            </w:r>
          </w:p>
          <w:p w14:paraId="5D060FC8">
            <w:pPr>
              <w:keepNext w:val="0"/>
              <w:keepLines w:val="0"/>
              <w:pageBreakBefore w:val="0"/>
              <w:widowControl/>
              <w:kinsoku/>
              <w:wordWrap/>
              <w:overflowPunct/>
              <w:topLinePunct w:val="0"/>
              <w:autoSpaceDE/>
              <w:autoSpaceDN/>
              <w:bidi w:val="0"/>
              <w:adjustRightInd w:val="0"/>
              <w:snapToGrid w:val="0"/>
              <w:spacing w:line="400" w:lineRule="exact"/>
              <w:ind w:firstLine="440" w:firstLineChars="200"/>
              <w:textAlignment w:val="auto"/>
              <w:rPr>
                <w:rFonts w:hint="default" w:ascii="Times New Roman" w:hAnsi="Times New Roman" w:eastAsia="宋体" w:cs="Times New Roman"/>
                <w:color w:val="auto"/>
                <w:w w:val="100"/>
                <w:kern w:val="2"/>
                <w:sz w:val="22"/>
                <w:szCs w:val="22"/>
                <w:lang w:val="en-US" w:eastAsia="zh-CN" w:bidi="ar-SA"/>
              </w:rPr>
            </w:pPr>
            <w:r>
              <w:rPr>
                <w:rFonts w:hint="eastAsia" w:ascii="宋体" w:hAnsi="宋体" w:eastAsia="宋体" w:cs="宋体"/>
                <w:color w:val="auto"/>
                <w:w w:val="100"/>
                <w:kern w:val="2"/>
                <w:sz w:val="22"/>
                <w:szCs w:val="22"/>
                <w:lang w:val="en-US" w:eastAsia="zh-CN" w:bidi="ar-SA"/>
              </w:rPr>
              <w:t>项目生产过程中废布袋的</w:t>
            </w:r>
            <w:r>
              <w:rPr>
                <w:rFonts w:hint="eastAsia" w:ascii="Times New Roman" w:hAnsi="Times New Roman" w:eastAsia="宋体" w:cs="Times New Roman"/>
                <w:color w:val="auto"/>
                <w:w w:val="100"/>
                <w:kern w:val="2"/>
                <w:sz w:val="22"/>
                <w:szCs w:val="22"/>
                <w:lang w:val="en-US" w:eastAsia="zh-CN" w:bidi="ar-SA"/>
              </w:rPr>
              <w:t>产生量约0.02</w:t>
            </w:r>
            <w:r>
              <w:rPr>
                <w:rFonts w:hint="eastAsia" w:cs="Times New Roman"/>
                <w:color w:val="auto"/>
                <w:w w:val="100"/>
                <w:kern w:val="2"/>
                <w:sz w:val="22"/>
                <w:szCs w:val="22"/>
                <w:lang w:val="en-US" w:eastAsia="zh-CN" w:bidi="ar-SA"/>
              </w:rPr>
              <w:t>4</w:t>
            </w:r>
            <w:r>
              <w:rPr>
                <w:rFonts w:hint="default" w:ascii="Times New Roman" w:hAnsi="Times New Roman" w:eastAsia="宋体" w:cs="Times New Roman"/>
                <w:color w:val="auto"/>
                <w:w w:val="100"/>
                <w:kern w:val="2"/>
                <w:sz w:val="22"/>
                <w:szCs w:val="22"/>
                <w:lang w:val="en-US" w:eastAsia="zh-CN" w:bidi="ar-SA"/>
              </w:rPr>
              <w:t>t/a，收集外售。</w:t>
            </w:r>
          </w:p>
          <w:p w14:paraId="176B9753">
            <w:pPr>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eastAsia" w:ascii="Times New Roman" w:hAnsi="Times New Roman" w:eastAsia="宋体" w:cs="Times New Roman"/>
                <w:b/>
                <w:bCs/>
                <w:color w:val="auto"/>
                <w:w w:val="100"/>
                <w:kern w:val="2"/>
                <w:sz w:val="22"/>
                <w:szCs w:val="22"/>
                <w:lang w:val="en-US" w:eastAsia="zh-CN" w:bidi="ar-SA"/>
              </w:rPr>
            </w:pPr>
            <w:r>
              <w:rPr>
                <w:rFonts w:hint="eastAsia" w:ascii="宋体" w:hAnsi="宋体" w:eastAsia="宋体" w:cs="宋体"/>
                <w:b/>
                <w:bCs/>
                <w:color w:val="auto"/>
                <w:w w:val="100"/>
                <w:sz w:val="22"/>
                <w:szCs w:val="22"/>
                <w:highlight w:val="none"/>
                <w:lang w:val="en-US" w:eastAsia="zh-CN"/>
              </w:rPr>
              <w:t>⑧</w:t>
            </w:r>
            <w:r>
              <w:rPr>
                <w:rFonts w:hint="default" w:ascii="Times New Roman" w:hAnsi="Times New Roman" w:eastAsia="宋体" w:cs="Times New Roman"/>
                <w:b/>
                <w:bCs/>
                <w:color w:val="auto"/>
                <w:w w:val="100"/>
                <w:kern w:val="2"/>
                <w:sz w:val="22"/>
                <w:szCs w:val="22"/>
                <w:lang w:val="en-US" w:eastAsia="zh-CN" w:bidi="ar-SA"/>
              </w:rPr>
              <w:t>废包装</w:t>
            </w:r>
            <w:r>
              <w:rPr>
                <w:rFonts w:hint="eastAsia" w:ascii="Times New Roman" w:hAnsi="Times New Roman" w:eastAsia="宋体" w:cs="Times New Roman"/>
                <w:b/>
                <w:bCs/>
                <w:color w:val="auto"/>
                <w:w w:val="100"/>
                <w:kern w:val="2"/>
                <w:sz w:val="22"/>
                <w:szCs w:val="22"/>
                <w:lang w:val="en-US" w:eastAsia="zh-CN" w:bidi="ar-SA"/>
              </w:rPr>
              <w:t>物</w:t>
            </w:r>
          </w:p>
          <w:p w14:paraId="5FE65BA4">
            <w:pPr>
              <w:keepNext w:val="0"/>
              <w:keepLines w:val="0"/>
              <w:pageBreakBefore w:val="0"/>
              <w:widowControl w:val="0"/>
              <w:kinsoku/>
              <w:wordWrap/>
              <w:overflowPunct/>
              <w:topLinePunct w:val="0"/>
              <w:bidi w:val="0"/>
              <w:adjustRightInd w:val="0"/>
              <w:snapToGrid w:val="0"/>
              <w:spacing w:line="500" w:lineRule="exact"/>
              <w:ind w:left="0" w:leftChars="0" w:firstLine="440" w:firstLineChars="200"/>
              <w:textAlignment w:val="auto"/>
              <w:rPr>
                <w:rFonts w:hint="default" w:ascii="Times New Roman" w:hAnsi="Times New Roman" w:eastAsia="宋体" w:cs="Times New Roman"/>
                <w:color w:val="auto"/>
                <w:w w:val="100"/>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购买原料产生的废包装</w:t>
            </w:r>
            <w:r>
              <w:rPr>
                <w:rFonts w:hint="eastAsia" w:ascii="Times New Roman" w:hAnsi="Times New Roman" w:eastAsia="宋体" w:cs="Times New Roman"/>
                <w:color w:val="auto"/>
                <w:w w:val="100"/>
                <w:kern w:val="2"/>
                <w:sz w:val="22"/>
                <w:szCs w:val="22"/>
                <w:lang w:val="en-US" w:eastAsia="zh-CN" w:bidi="ar-SA"/>
              </w:rPr>
              <w:t>物</w:t>
            </w:r>
            <w:r>
              <w:rPr>
                <w:rFonts w:hint="default" w:ascii="Times New Roman" w:hAnsi="Times New Roman" w:eastAsia="宋体" w:cs="Times New Roman"/>
                <w:color w:val="auto"/>
                <w:w w:val="100"/>
                <w:kern w:val="2"/>
                <w:sz w:val="22"/>
                <w:szCs w:val="22"/>
                <w:lang w:val="en-US" w:eastAsia="zh-CN" w:bidi="ar-SA"/>
              </w:rPr>
              <w:t>产生量约为2t/a，收集外售。</w:t>
            </w:r>
          </w:p>
          <w:p w14:paraId="0E1ABB88">
            <w:pPr>
              <w:keepNext w:val="0"/>
              <w:keepLines w:val="0"/>
              <w:pageBreakBefore w:val="0"/>
              <w:widowControl w:val="0"/>
              <w:kinsoku/>
              <w:wordWrap/>
              <w:overflowPunct/>
              <w:topLinePunct w:val="0"/>
              <w:bidi w:val="0"/>
              <w:adjustRightInd w:val="0"/>
              <w:snapToGrid w:val="0"/>
              <w:spacing w:after="0" w:afterLines="0" w:line="500" w:lineRule="exact"/>
              <w:ind w:left="0" w:leftChars="0" w:firstLine="442" w:firstLineChars="200"/>
              <w:jc w:val="both"/>
              <w:textAlignment w:val="auto"/>
              <w:rPr>
                <w:rFonts w:hint="default" w:ascii="宋体" w:hAnsi="宋体" w:eastAsia="宋体" w:cs="宋体"/>
                <w:b/>
                <w:bCs/>
                <w:color w:val="auto"/>
                <w:w w:val="100"/>
                <w:sz w:val="22"/>
                <w:szCs w:val="22"/>
                <w:highlight w:val="none"/>
                <w:lang w:val="en-US" w:eastAsia="zh-CN"/>
              </w:rPr>
            </w:pPr>
            <w:r>
              <w:rPr>
                <w:rFonts w:hint="eastAsia" w:ascii="宋体" w:hAnsi="宋体" w:eastAsia="宋体" w:cs="宋体"/>
                <w:b/>
                <w:bCs/>
                <w:color w:val="auto"/>
                <w:w w:val="100"/>
                <w:sz w:val="22"/>
                <w:szCs w:val="22"/>
                <w:lang w:val="en-US" w:eastAsia="zh-CN"/>
              </w:rPr>
              <w:t>⑶</w:t>
            </w:r>
            <w:r>
              <w:rPr>
                <w:rFonts w:hint="eastAsia" w:ascii="宋体" w:hAnsi="宋体" w:eastAsia="宋体" w:cs="宋体"/>
                <w:b/>
                <w:bCs/>
                <w:color w:val="auto"/>
                <w:w w:val="100"/>
                <w:sz w:val="22"/>
                <w:szCs w:val="22"/>
                <w:highlight w:val="none"/>
                <w:lang w:val="en-US" w:eastAsia="zh-CN"/>
              </w:rPr>
              <w:t>化粪池污泥</w:t>
            </w:r>
          </w:p>
          <w:p w14:paraId="17BFCC5B">
            <w:pPr>
              <w:pStyle w:val="27"/>
              <w:keepNext w:val="0"/>
              <w:keepLines w:val="0"/>
              <w:pageBreakBefore w:val="0"/>
              <w:widowControl w:val="0"/>
              <w:kinsoku/>
              <w:wordWrap/>
              <w:overflowPunct/>
              <w:topLinePunct w:val="0"/>
              <w:autoSpaceDE/>
              <w:autoSpaceDN/>
              <w:bidi w:val="0"/>
              <w:adjustRightInd/>
              <w:snapToGrid/>
              <w:spacing w:line="500" w:lineRule="exact"/>
              <w:ind w:firstLine="440" w:firstLineChars="200"/>
              <w:textAlignment w:val="auto"/>
              <w:rPr>
                <w:rFonts w:hint="default" w:ascii="Times New Roman" w:hAnsi="Times New Roman" w:eastAsia="宋体" w:cs="Times New Roman"/>
                <w:color w:val="auto"/>
                <w:w w:val="100"/>
                <w:kern w:val="2"/>
                <w:sz w:val="22"/>
                <w:szCs w:val="22"/>
                <w:lang w:val="en-US" w:eastAsia="zh-CN" w:bidi="ar-SA"/>
              </w:rPr>
            </w:pPr>
            <w:r>
              <w:rPr>
                <w:rFonts w:hint="eastAsia" w:ascii="Times New Roman" w:hAnsi="Times New Roman" w:eastAsia="宋体" w:cs="Times New Roman"/>
                <w:color w:val="auto"/>
                <w:w w:val="100"/>
                <w:kern w:val="2"/>
                <w:sz w:val="22"/>
                <w:szCs w:val="22"/>
                <w:lang w:val="en-US" w:eastAsia="zh-CN" w:bidi="ar-SA"/>
              </w:rPr>
              <w:t>技改项目化粪池污泥产生量约</w:t>
            </w:r>
            <w:r>
              <w:rPr>
                <w:rFonts w:hint="eastAsia" w:cs="Times New Roman"/>
                <w:color w:val="auto"/>
                <w:w w:val="100"/>
                <w:kern w:val="2"/>
                <w:sz w:val="22"/>
                <w:szCs w:val="22"/>
                <w:lang w:val="en-US" w:eastAsia="zh-CN" w:bidi="ar-SA"/>
              </w:rPr>
              <w:t>8</w:t>
            </w:r>
            <w:r>
              <w:rPr>
                <w:rFonts w:hint="eastAsia" w:ascii="Times New Roman" w:hAnsi="Times New Roman" w:eastAsia="宋体" w:cs="Times New Roman"/>
                <w:color w:val="auto"/>
                <w:w w:val="100"/>
                <w:kern w:val="2"/>
                <w:sz w:val="22"/>
                <w:szCs w:val="22"/>
                <w:lang w:val="en-US" w:eastAsia="zh-CN" w:bidi="ar-SA"/>
              </w:rPr>
              <w:t>t/a，</w:t>
            </w:r>
            <w:r>
              <w:rPr>
                <w:rFonts w:hint="eastAsia" w:cs="Times New Roman"/>
                <w:color w:val="auto"/>
                <w:w w:val="100"/>
                <w:kern w:val="2"/>
                <w:sz w:val="22"/>
                <w:szCs w:val="22"/>
                <w:lang w:val="en-US" w:eastAsia="zh-CN" w:bidi="ar-SA"/>
              </w:rPr>
              <w:t>环卫部门定期清运</w:t>
            </w:r>
            <w:r>
              <w:rPr>
                <w:rFonts w:hint="eastAsia" w:ascii="Times New Roman" w:hAnsi="Times New Roman" w:eastAsia="宋体" w:cs="Times New Roman"/>
                <w:color w:val="auto"/>
                <w:w w:val="100"/>
                <w:kern w:val="2"/>
                <w:sz w:val="22"/>
                <w:szCs w:val="22"/>
                <w:lang w:val="en-US" w:eastAsia="zh-CN" w:bidi="ar-SA"/>
              </w:rPr>
              <w:t>。</w:t>
            </w:r>
          </w:p>
          <w:p w14:paraId="683F6A4D">
            <w:pPr>
              <w:keepNext w:val="0"/>
              <w:keepLines w:val="0"/>
              <w:pageBreakBefore w:val="0"/>
              <w:widowControl w:val="0"/>
              <w:kinsoku/>
              <w:wordWrap/>
              <w:overflowPunct/>
              <w:topLinePunct w:val="0"/>
              <w:bidi w:val="0"/>
              <w:adjustRightInd w:val="0"/>
              <w:snapToGrid w:val="0"/>
              <w:spacing w:line="500" w:lineRule="exact"/>
              <w:ind w:left="0" w:leftChars="0" w:firstLine="442" w:firstLineChars="200"/>
              <w:textAlignment w:val="auto"/>
              <w:rPr>
                <w:rStyle w:val="48"/>
                <w:rFonts w:hint="default" w:ascii="Times New Roman" w:hAnsi="Times New Roman" w:eastAsia="宋体" w:cs="Times New Roman"/>
                <w:b/>
                <w:bCs/>
                <w:color w:val="auto"/>
                <w:w w:val="100"/>
                <w:sz w:val="22"/>
                <w:szCs w:val="22"/>
              </w:rPr>
            </w:pPr>
            <w:r>
              <w:rPr>
                <w:rFonts w:hint="eastAsia" w:ascii="仿宋" w:hAnsi="仿宋" w:eastAsia="仿宋" w:cs="仿宋"/>
                <w:b/>
                <w:bCs/>
                <w:color w:val="auto"/>
                <w:w w:val="100"/>
                <w:sz w:val="22"/>
                <w:szCs w:val="22"/>
                <w:highlight w:val="none"/>
                <w:lang w:val="en-US" w:eastAsia="zh-CN"/>
              </w:rPr>
              <w:t>⑷</w:t>
            </w:r>
            <w:r>
              <w:rPr>
                <w:rFonts w:hint="default" w:ascii="Times New Roman" w:hAnsi="Times New Roman" w:eastAsia="宋体" w:cs="Times New Roman"/>
                <w:b/>
                <w:bCs/>
                <w:color w:val="auto"/>
                <w:w w:val="100"/>
                <w:sz w:val="22"/>
                <w:szCs w:val="22"/>
              </w:rPr>
              <w:t>生活垃圾</w:t>
            </w:r>
          </w:p>
          <w:p w14:paraId="4ACD095D">
            <w:pPr>
              <w:pStyle w:val="28"/>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left"/>
              <w:textAlignment w:val="auto"/>
              <w:rPr>
                <w:rFonts w:hint="default" w:ascii="Times New Roman" w:hAnsi="Times New Roman" w:eastAsia="宋体" w:cs="Times New Roman"/>
                <w:color w:val="auto"/>
                <w:w w:val="100"/>
                <w:kern w:val="2"/>
                <w:sz w:val="22"/>
                <w:szCs w:val="22"/>
                <w:lang w:val="en-US" w:eastAsia="zh-CN" w:bidi="ar-SA"/>
              </w:rPr>
            </w:pPr>
            <w:r>
              <w:rPr>
                <w:rFonts w:hint="default" w:ascii="Times New Roman" w:hAnsi="Times New Roman" w:eastAsia="宋体" w:cs="Times New Roman"/>
                <w:color w:val="auto"/>
                <w:w w:val="100"/>
                <w:kern w:val="2"/>
                <w:sz w:val="22"/>
                <w:szCs w:val="22"/>
                <w:lang w:val="en-US" w:eastAsia="zh-CN" w:bidi="ar-SA"/>
              </w:rPr>
              <w:t>主要为废纸果皮、纸屑等，项目共有职工</w:t>
            </w:r>
            <w:r>
              <w:rPr>
                <w:rFonts w:hint="eastAsia" w:ascii="Times New Roman" w:hAnsi="Times New Roman" w:eastAsia="宋体" w:cs="Times New Roman"/>
                <w:color w:val="auto"/>
                <w:w w:val="100"/>
                <w:kern w:val="2"/>
                <w:sz w:val="22"/>
                <w:szCs w:val="22"/>
                <w:lang w:val="en-US" w:eastAsia="zh-CN" w:bidi="ar-SA"/>
              </w:rPr>
              <w:t>1</w:t>
            </w:r>
            <w:r>
              <w:rPr>
                <w:rFonts w:hint="default" w:ascii="Times New Roman" w:hAnsi="Times New Roman" w:eastAsia="宋体" w:cs="Times New Roman"/>
                <w:color w:val="auto"/>
                <w:w w:val="100"/>
                <w:kern w:val="2"/>
                <w:sz w:val="22"/>
                <w:szCs w:val="22"/>
                <w:lang w:val="en-US" w:eastAsia="zh-CN" w:bidi="ar-SA"/>
              </w:rPr>
              <w:t>00人，年工作时间300天，生活垃圾按每人每天0.5kg计算，则产生量为</w:t>
            </w:r>
            <w:r>
              <w:rPr>
                <w:rFonts w:hint="eastAsia" w:ascii="Times New Roman" w:hAnsi="Times New Roman" w:eastAsia="宋体" w:cs="Times New Roman"/>
                <w:color w:val="auto"/>
                <w:w w:val="100"/>
                <w:kern w:val="2"/>
                <w:sz w:val="22"/>
                <w:szCs w:val="22"/>
                <w:lang w:val="en-US" w:eastAsia="zh-CN" w:bidi="ar-SA"/>
              </w:rPr>
              <w:t>15</w:t>
            </w:r>
            <w:r>
              <w:rPr>
                <w:rFonts w:hint="default" w:ascii="Times New Roman" w:hAnsi="Times New Roman" w:eastAsia="宋体" w:cs="Times New Roman"/>
                <w:color w:val="auto"/>
                <w:w w:val="100"/>
                <w:kern w:val="2"/>
                <w:sz w:val="22"/>
                <w:szCs w:val="22"/>
                <w:lang w:val="en-US" w:eastAsia="zh-CN" w:bidi="ar-SA"/>
              </w:rPr>
              <w:t>t/a，由环卫部门定期清运。</w:t>
            </w:r>
          </w:p>
          <w:p w14:paraId="5E35FD45">
            <w:pPr>
              <w:keepNext w:val="0"/>
              <w:keepLines w:val="0"/>
              <w:pageBreakBefore w:val="0"/>
              <w:widowControl w:val="0"/>
              <w:kinsoku/>
              <w:wordWrap/>
              <w:overflowPunct/>
              <w:topLinePunct w:val="0"/>
              <w:autoSpaceDE w:val="0"/>
              <w:autoSpaceDN w:val="0"/>
              <w:bidi w:val="0"/>
              <w:adjustRightInd w:val="0"/>
              <w:snapToGrid/>
              <w:spacing w:line="500" w:lineRule="exact"/>
              <w:ind w:firstLine="440" w:firstLineChars="200"/>
              <w:jc w:val="left"/>
              <w:textAlignment w:val="auto"/>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Cs/>
                <w:color w:val="auto"/>
                <w:w w:val="100"/>
                <w:kern w:val="2"/>
                <w:sz w:val="22"/>
                <w:szCs w:val="22"/>
                <w:lang w:val="en-US" w:eastAsia="zh-CN" w:bidi="ar-SA"/>
              </w:rPr>
              <w:t>建设单位需设单独贮存场所存放危险废物，贮存场所要防风、防雨、防晒，在厂区内应避开高压输电线路防护区域，基础必须防渗，并设置危险废物标识。危废集中收集后，暂存企业自建危险废物暂存间，不同种类的危险废物应分类贮存，委托资质单位安全处置并严格执行转移联单制度。本项目危险废物汇总表和危险废物储存场所（设施）基本情况表见4.4-</w:t>
            </w:r>
            <w:r>
              <w:rPr>
                <w:rFonts w:hint="eastAsia" w:ascii="Times New Roman" w:hAnsi="Times New Roman" w:eastAsia="宋体" w:cs="Times New Roman"/>
                <w:bCs/>
                <w:color w:val="auto"/>
                <w:w w:val="100"/>
                <w:kern w:val="2"/>
                <w:sz w:val="22"/>
                <w:szCs w:val="22"/>
                <w:lang w:val="en-US" w:eastAsia="zh-CN" w:bidi="ar-SA"/>
              </w:rPr>
              <w:t>1</w:t>
            </w:r>
            <w:r>
              <w:rPr>
                <w:rFonts w:hint="default" w:ascii="Times New Roman" w:hAnsi="Times New Roman" w:eastAsia="宋体" w:cs="Times New Roman"/>
                <w:bCs/>
                <w:color w:val="auto"/>
                <w:w w:val="100"/>
                <w:kern w:val="2"/>
                <w:sz w:val="22"/>
                <w:szCs w:val="22"/>
                <w:lang w:val="en-US" w:eastAsia="zh-CN" w:bidi="ar-SA"/>
              </w:rPr>
              <w:t>和表4.4-</w:t>
            </w:r>
            <w:r>
              <w:rPr>
                <w:rFonts w:hint="eastAsia" w:ascii="Times New Roman" w:hAnsi="Times New Roman" w:eastAsia="宋体" w:cs="Times New Roman"/>
                <w:bCs/>
                <w:color w:val="auto"/>
                <w:w w:val="100"/>
                <w:kern w:val="2"/>
                <w:sz w:val="22"/>
                <w:szCs w:val="22"/>
                <w:lang w:val="en-US" w:eastAsia="zh-CN" w:bidi="ar-SA"/>
              </w:rPr>
              <w:t>2</w:t>
            </w:r>
            <w:r>
              <w:rPr>
                <w:rFonts w:hint="default" w:ascii="Times New Roman" w:hAnsi="Times New Roman" w:eastAsia="宋体" w:cs="Times New Roman"/>
                <w:bCs/>
                <w:color w:val="auto"/>
                <w:w w:val="100"/>
                <w:kern w:val="2"/>
                <w:sz w:val="22"/>
                <w:szCs w:val="22"/>
                <w:lang w:val="en-US" w:eastAsia="zh-CN" w:bidi="ar-SA"/>
              </w:rPr>
              <w:t>。</w:t>
            </w:r>
          </w:p>
          <w:p w14:paraId="39B40B85">
            <w:pPr>
              <w:widowControl w:val="0"/>
              <w:autoSpaceDE w:val="0"/>
              <w:autoSpaceDN w:val="0"/>
              <w:adjustRightInd w:val="0"/>
              <w:spacing w:line="500" w:lineRule="exact"/>
              <w:jc w:val="center"/>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表4.4-</w:t>
            </w:r>
            <w:r>
              <w:rPr>
                <w:rFonts w:hint="eastAsia" w:ascii="Times New Roman" w:hAnsi="Times New Roman" w:eastAsia="宋体" w:cs="Times New Roman"/>
                <w:b/>
                <w:bCs/>
                <w:color w:val="auto"/>
                <w:kern w:val="2"/>
                <w:sz w:val="22"/>
                <w:szCs w:val="22"/>
                <w:lang w:val="en-US" w:eastAsia="zh-CN" w:bidi="ar-SA"/>
              </w:rPr>
              <w:t>1</w:t>
            </w:r>
            <w:r>
              <w:rPr>
                <w:rFonts w:hint="default" w:ascii="Times New Roman" w:hAnsi="Times New Roman" w:eastAsia="宋体" w:cs="Times New Roman"/>
                <w:b/>
                <w:bCs/>
                <w:color w:val="auto"/>
                <w:kern w:val="2"/>
                <w:sz w:val="22"/>
                <w:szCs w:val="22"/>
                <w:lang w:val="en-US" w:eastAsia="zh-CN" w:bidi="ar-SA"/>
              </w:rPr>
              <w:t xml:space="preserve">  危险废物汇总表</w:t>
            </w:r>
          </w:p>
          <w:tbl>
            <w:tblPr>
              <w:tblStyle w:val="44"/>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1583"/>
              <w:gridCol w:w="1424"/>
              <w:gridCol w:w="1494"/>
              <w:gridCol w:w="1213"/>
              <w:gridCol w:w="1705"/>
              <w:gridCol w:w="679"/>
              <w:gridCol w:w="957"/>
              <w:gridCol w:w="1138"/>
              <w:gridCol w:w="988"/>
              <w:gridCol w:w="1227"/>
              <w:gridCol w:w="1486"/>
            </w:tblGrid>
            <w:tr w14:paraId="1A1A5FE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vAlign w:val="center"/>
                </w:tcPr>
                <w:p w14:paraId="3CDA322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危险废物名称</w:t>
                  </w:r>
                </w:p>
              </w:tc>
              <w:tc>
                <w:tcPr>
                  <w:tcW w:w="512" w:type="pct"/>
                  <w:tcBorders>
                    <w:tl2br w:val="nil"/>
                    <w:tr2bl w:val="nil"/>
                  </w:tcBorders>
                  <w:vAlign w:val="center"/>
                </w:tcPr>
                <w:p w14:paraId="0B1714C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危险废物类别</w:t>
                  </w:r>
                </w:p>
              </w:tc>
              <w:tc>
                <w:tcPr>
                  <w:tcW w:w="537" w:type="pct"/>
                  <w:tcBorders>
                    <w:tl2br w:val="nil"/>
                    <w:tr2bl w:val="nil"/>
                  </w:tcBorders>
                  <w:vAlign w:val="center"/>
                </w:tcPr>
                <w:p w14:paraId="17C266C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危险废物代码</w:t>
                  </w:r>
                </w:p>
              </w:tc>
              <w:tc>
                <w:tcPr>
                  <w:tcW w:w="436" w:type="pct"/>
                  <w:tcBorders>
                    <w:tl2br w:val="nil"/>
                    <w:tr2bl w:val="nil"/>
                  </w:tcBorders>
                  <w:vAlign w:val="center"/>
                </w:tcPr>
                <w:p w14:paraId="34C5CFA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产生量（t/a）</w:t>
                  </w:r>
                </w:p>
              </w:tc>
              <w:tc>
                <w:tcPr>
                  <w:tcW w:w="613" w:type="pct"/>
                  <w:tcBorders>
                    <w:tl2br w:val="nil"/>
                    <w:tr2bl w:val="nil"/>
                  </w:tcBorders>
                  <w:vAlign w:val="center"/>
                </w:tcPr>
                <w:p w14:paraId="38A1F74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产生工序及装置</w:t>
                  </w:r>
                </w:p>
              </w:tc>
              <w:tc>
                <w:tcPr>
                  <w:tcW w:w="244" w:type="pct"/>
                  <w:tcBorders>
                    <w:tl2br w:val="nil"/>
                    <w:tr2bl w:val="nil"/>
                  </w:tcBorders>
                  <w:vAlign w:val="center"/>
                </w:tcPr>
                <w:p w14:paraId="421F77E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形态</w:t>
                  </w:r>
                </w:p>
              </w:tc>
              <w:tc>
                <w:tcPr>
                  <w:tcW w:w="344" w:type="pct"/>
                  <w:tcBorders>
                    <w:tl2br w:val="nil"/>
                    <w:tr2bl w:val="nil"/>
                  </w:tcBorders>
                  <w:vAlign w:val="center"/>
                </w:tcPr>
                <w:p w14:paraId="702AA0F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主要成分</w:t>
                  </w:r>
                </w:p>
              </w:tc>
              <w:tc>
                <w:tcPr>
                  <w:tcW w:w="409" w:type="pct"/>
                  <w:tcBorders>
                    <w:tl2br w:val="nil"/>
                    <w:tr2bl w:val="nil"/>
                  </w:tcBorders>
                  <w:vAlign w:val="center"/>
                </w:tcPr>
                <w:p w14:paraId="5125746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有害成分</w:t>
                  </w:r>
                </w:p>
              </w:tc>
              <w:tc>
                <w:tcPr>
                  <w:tcW w:w="355" w:type="pct"/>
                  <w:tcBorders>
                    <w:tl2br w:val="nil"/>
                    <w:tr2bl w:val="nil"/>
                  </w:tcBorders>
                  <w:vAlign w:val="center"/>
                </w:tcPr>
                <w:p w14:paraId="0218F93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产废周期</w:t>
                  </w:r>
                </w:p>
              </w:tc>
              <w:tc>
                <w:tcPr>
                  <w:tcW w:w="441" w:type="pct"/>
                  <w:tcBorders>
                    <w:tl2br w:val="nil"/>
                    <w:tr2bl w:val="nil"/>
                  </w:tcBorders>
                  <w:vAlign w:val="center"/>
                </w:tcPr>
                <w:p w14:paraId="5045060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危险特性</w:t>
                  </w:r>
                </w:p>
              </w:tc>
              <w:tc>
                <w:tcPr>
                  <w:tcW w:w="534" w:type="pct"/>
                  <w:tcBorders>
                    <w:tl2br w:val="nil"/>
                    <w:tr2bl w:val="nil"/>
                  </w:tcBorders>
                  <w:vAlign w:val="center"/>
                </w:tcPr>
                <w:p w14:paraId="08D27E9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污染防治措施</w:t>
                  </w:r>
                </w:p>
              </w:tc>
            </w:tr>
            <w:tr w14:paraId="045550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562B556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w w:val="100"/>
                      <w:kern w:val="2"/>
                      <w:sz w:val="21"/>
                      <w:szCs w:val="21"/>
                      <w:highlight w:val="none"/>
                      <w:lang w:val="en-US" w:eastAsia="zh-CN" w:bidi="ar-SA"/>
                    </w:rPr>
                  </w:pPr>
                  <w:r>
                    <w:rPr>
                      <w:rFonts w:hint="eastAsia" w:cs="Times New Roman"/>
                      <w:b w:val="0"/>
                      <w:bCs w:val="0"/>
                      <w:color w:val="auto"/>
                      <w:w w:val="100"/>
                      <w:sz w:val="21"/>
                      <w:szCs w:val="21"/>
                      <w:highlight w:val="none"/>
                      <w:lang w:val="en-US" w:eastAsia="zh-CN"/>
                    </w:rPr>
                    <w:t>废胶水</w:t>
                  </w:r>
                </w:p>
              </w:tc>
              <w:tc>
                <w:tcPr>
                  <w:tcW w:w="512" w:type="pct"/>
                  <w:tcBorders>
                    <w:tl2br w:val="nil"/>
                    <w:tr2bl w:val="nil"/>
                  </w:tcBorders>
                  <w:shd w:val="clear" w:color="auto" w:fill="auto"/>
                  <w:vAlign w:val="center"/>
                </w:tcPr>
                <w:p w14:paraId="3917FC5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37" w:type="pct"/>
                  <w:tcBorders>
                    <w:tl2br w:val="nil"/>
                    <w:tr2bl w:val="nil"/>
                  </w:tcBorders>
                  <w:shd w:val="clear" w:color="auto" w:fill="auto"/>
                  <w:vAlign w:val="center"/>
                </w:tcPr>
                <w:p w14:paraId="67D27B4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436" w:type="pct"/>
                  <w:tcBorders>
                    <w:tl2br w:val="nil"/>
                    <w:tr2bl w:val="nil"/>
                  </w:tcBorders>
                  <w:shd w:val="clear" w:color="auto" w:fill="auto"/>
                  <w:vAlign w:val="center"/>
                </w:tcPr>
                <w:p w14:paraId="12A4B27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1.0</w:t>
                  </w:r>
                </w:p>
              </w:tc>
              <w:tc>
                <w:tcPr>
                  <w:tcW w:w="613" w:type="pct"/>
                  <w:tcBorders>
                    <w:tl2br w:val="nil"/>
                    <w:tr2bl w:val="nil"/>
                  </w:tcBorders>
                  <w:shd w:val="clear" w:color="auto" w:fill="auto"/>
                  <w:vAlign w:val="center"/>
                </w:tcPr>
                <w:p w14:paraId="3ABC641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涂胶</w:t>
                  </w:r>
                </w:p>
              </w:tc>
              <w:tc>
                <w:tcPr>
                  <w:tcW w:w="244" w:type="pct"/>
                  <w:tcBorders>
                    <w:tl2br w:val="nil"/>
                    <w:tr2bl w:val="nil"/>
                  </w:tcBorders>
                  <w:shd w:val="clear" w:color="auto" w:fill="auto"/>
                  <w:vAlign w:val="center"/>
                </w:tcPr>
                <w:p w14:paraId="728319F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16A40A0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409" w:type="pct"/>
                  <w:tcBorders>
                    <w:tl2br w:val="nil"/>
                    <w:tr2bl w:val="nil"/>
                  </w:tcBorders>
                  <w:shd w:val="clear" w:color="auto" w:fill="auto"/>
                  <w:vAlign w:val="center"/>
                </w:tcPr>
                <w:p w14:paraId="6A847C5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355" w:type="pct"/>
                  <w:tcBorders>
                    <w:tl2br w:val="nil"/>
                    <w:tr2bl w:val="nil"/>
                  </w:tcBorders>
                  <w:shd w:val="clear" w:color="auto" w:fill="auto"/>
                  <w:vAlign w:val="center"/>
                </w:tcPr>
                <w:p w14:paraId="4737273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rPr>
                    <w:t>1月</w:t>
                  </w:r>
                </w:p>
              </w:tc>
              <w:tc>
                <w:tcPr>
                  <w:tcW w:w="441" w:type="pct"/>
                  <w:tcBorders>
                    <w:tl2br w:val="nil"/>
                    <w:tr2bl w:val="nil"/>
                  </w:tcBorders>
                  <w:shd w:val="clear" w:color="auto" w:fill="auto"/>
                  <w:vAlign w:val="center"/>
                </w:tcPr>
                <w:p w14:paraId="63AA2C6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cs="Times New Roman" w:eastAsiaTheme="minorEastAsia"/>
                      <w:color w:val="auto"/>
                      <w:kern w:val="2"/>
                      <w:sz w:val="21"/>
                      <w:szCs w:val="24"/>
                      <w:lang w:val="en-US" w:eastAsia="zh-CN" w:bidi="ar-SA"/>
                    </w:rPr>
                  </w:pPr>
                  <w:r>
                    <w:rPr>
                      <w:rFonts w:hint="default" w:ascii="Times New Roman" w:hAnsi="Times New Roman" w:cs="Times New Roman" w:eastAsiaTheme="minorEastAsia"/>
                      <w:color w:val="auto"/>
                      <w:lang w:val="en-US"/>
                    </w:rPr>
                    <w:t>T</w:t>
                  </w:r>
                  <w:r>
                    <w:rPr>
                      <w:rFonts w:hint="eastAsia" w:cs="Times New Roman" w:eastAsiaTheme="minorEastAsia"/>
                      <w:color w:val="auto"/>
                      <w:lang w:val="en-US" w:eastAsia="zh-CN"/>
                    </w:rPr>
                    <w:t>/</w:t>
                  </w:r>
                  <w:r>
                    <w:rPr>
                      <w:rFonts w:hint="default" w:ascii="Times New Roman" w:hAnsi="Times New Roman" w:cs="Times New Roman" w:eastAsiaTheme="minorEastAsia"/>
                      <w:color w:val="auto"/>
                      <w:lang w:val="en-US"/>
                    </w:rPr>
                    <w:t>I</w:t>
                  </w:r>
                  <w:r>
                    <w:rPr>
                      <w:rFonts w:hint="eastAsia" w:cs="Times New Roman" w:eastAsiaTheme="minorEastAsia"/>
                      <w:color w:val="auto"/>
                      <w:lang w:val="en-US" w:eastAsia="zh-CN"/>
                    </w:rPr>
                    <w:t>/R</w:t>
                  </w:r>
                </w:p>
              </w:tc>
              <w:tc>
                <w:tcPr>
                  <w:tcW w:w="534" w:type="pct"/>
                  <w:vMerge w:val="restart"/>
                  <w:tcBorders>
                    <w:tl2br w:val="nil"/>
                    <w:tr2bl w:val="nil"/>
                  </w:tcBorders>
                  <w:vAlign w:val="center"/>
                </w:tcPr>
                <w:p w14:paraId="0C11261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危废暂存库暂存，定期委托有资质单位处置</w:t>
                  </w:r>
                </w:p>
              </w:tc>
            </w:tr>
            <w:tr w14:paraId="150ACD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6D3DCF3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废清洗液</w:t>
                  </w:r>
                </w:p>
              </w:tc>
              <w:tc>
                <w:tcPr>
                  <w:tcW w:w="512" w:type="pct"/>
                  <w:tcBorders>
                    <w:tl2br w:val="nil"/>
                    <w:tr2bl w:val="nil"/>
                  </w:tcBorders>
                  <w:shd w:val="clear" w:color="auto" w:fill="auto"/>
                  <w:vAlign w:val="center"/>
                </w:tcPr>
                <w:p w14:paraId="7CBFD3D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37" w:type="pct"/>
                  <w:tcBorders>
                    <w:tl2br w:val="nil"/>
                    <w:tr2bl w:val="nil"/>
                  </w:tcBorders>
                  <w:shd w:val="clear" w:color="auto" w:fill="auto"/>
                  <w:vAlign w:val="center"/>
                </w:tcPr>
                <w:p w14:paraId="29A561B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436" w:type="pct"/>
                  <w:tcBorders>
                    <w:tl2br w:val="nil"/>
                    <w:tr2bl w:val="nil"/>
                  </w:tcBorders>
                  <w:shd w:val="clear" w:color="auto" w:fill="auto"/>
                  <w:vAlign w:val="center"/>
                </w:tcPr>
                <w:p w14:paraId="63FFF57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3.8</w:t>
                  </w:r>
                </w:p>
              </w:tc>
              <w:tc>
                <w:tcPr>
                  <w:tcW w:w="613" w:type="pct"/>
                  <w:tcBorders>
                    <w:tl2br w:val="nil"/>
                    <w:tr2bl w:val="nil"/>
                  </w:tcBorders>
                  <w:shd w:val="clear" w:color="auto" w:fill="auto"/>
                  <w:vAlign w:val="center"/>
                </w:tcPr>
                <w:p w14:paraId="41F92E6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default" w:ascii="Times New Roman" w:hAnsi="Times New Roman" w:eastAsia="宋体" w:cs="Times New Roman"/>
                      <w:b w:val="0"/>
                      <w:bCs w:val="0"/>
                      <w:color w:val="auto"/>
                      <w:w w:val="100"/>
                      <w:sz w:val="21"/>
                      <w:szCs w:val="21"/>
                      <w:highlight w:val="none"/>
                      <w:lang w:val="en-US" w:eastAsia="zh-CN"/>
                    </w:rPr>
                    <w:t>轴芯</w:t>
                  </w:r>
                  <w:r>
                    <w:rPr>
                      <w:rFonts w:hint="eastAsia" w:cs="Times New Roman"/>
                      <w:b w:val="0"/>
                      <w:bCs w:val="0"/>
                      <w:color w:val="auto"/>
                      <w:w w:val="100"/>
                      <w:sz w:val="21"/>
                      <w:szCs w:val="21"/>
                      <w:highlight w:val="none"/>
                      <w:lang w:val="en-US" w:eastAsia="zh-CN"/>
                    </w:rPr>
                    <w:t>清洗</w:t>
                  </w:r>
                </w:p>
              </w:tc>
              <w:tc>
                <w:tcPr>
                  <w:tcW w:w="244" w:type="pct"/>
                  <w:tcBorders>
                    <w:tl2br w:val="nil"/>
                    <w:tr2bl w:val="nil"/>
                  </w:tcBorders>
                  <w:shd w:val="clear" w:color="auto" w:fill="auto"/>
                  <w:vAlign w:val="center"/>
                </w:tcPr>
                <w:p w14:paraId="288ADD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164F4C2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409" w:type="pct"/>
                  <w:tcBorders>
                    <w:tl2br w:val="nil"/>
                    <w:tr2bl w:val="nil"/>
                  </w:tcBorders>
                  <w:shd w:val="clear" w:color="auto" w:fill="auto"/>
                  <w:vAlign w:val="center"/>
                </w:tcPr>
                <w:p w14:paraId="604D304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355" w:type="pct"/>
                  <w:tcBorders>
                    <w:tl2br w:val="nil"/>
                    <w:tr2bl w:val="nil"/>
                  </w:tcBorders>
                  <w:shd w:val="clear" w:color="auto" w:fill="auto"/>
                  <w:vAlign w:val="center"/>
                </w:tcPr>
                <w:p w14:paraId="3B02591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rPr>
                    <w:t>1月</w:t>
                  </w:r>
                </w:p>
              </w:tc>
              <w:tc>
                <w:tcPr>
                  <w:tcW w:w="441" w:type="pct"/>
                  <w:tcBorders>
                    <w:tl2br w:val="nil"/>
                    <w:tr2bl w:val="nil"/>
                  </w:tcBorders>
                  <w:shd w:val="clear" w:color="auto" w:fill="auto"/>
                  <w:vAlign w:val="center"/>
                </w:tcPr>
                <w:p w14:paraId="745DEFA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cs="Times New Roman" w:eastAsiaTheme="minorEastAsia"/>
                      <w:color w:val="auto"/>
                      <w:lang w:val="en-US"/>
                    </w:rPr>
                  </w:pPr>
                  <w:r>
                    <w:rPr>
                      <w:rFonts w:hint="default" w:ascii="Times New Roman" w:hAnsi="Times New Roman" w:cs="Times New Roman" w:eastAsiaTheme="minorEastAsia"/>
                      <w:color w:val="auto"/>
                      <w:lang w:val="en-US"/>
                    </w:rPr>
                    <w:t>T</w:t>
                  </w:r>
                  <w:r>
                    <w:rPr>
                      <w:rFonts w:hint="eastAsia" w:cs="Times New Roman" w:eastAsiaTheme="minorEastAsia"/>
                      <w:color w:val="auto"/>
                      <w:lang w:val="en-US" w:eastAsia="zh-CN"/>
                    </w:rPr>
                    <w:t>/</w:t>
                  </w:r>
                  <w:r>
                    <w:rPr>
                      <w:rFonts w:hint="default" w:ascii="Times New Roman" w:hAnsi="Times New Roman" w:cs="Times New Roman" w:eastAsiaTheme="minorEastAsia"/>
                      <w:color w:val="auto"/>
                      <w:lang w:val="en-US"/>
                    </w:rPr>
                    <w:t>I</w:t>
                  </w:r>
                  <w:r>
                    <w:rPr>
                      <w:rFonts w:hint="eastAsia" w:cs="Times New Roman" w:eastAsiaTheme="minorEastAsia"/>
                      <w:color w:val="auto"/>
                      <w:lang w:val="en-US" w:eastAsia="zh-CN"/>
                    </w:rPr>
                    <w:t>/R</w:t>
                  </w:r>
                </w:p>
              </w:tc>
              <w:tc>
                <w:tcPr>
                  <w:tcW w:w="534" w:type="pct"/>
                  <w:vMerge w:val="continue"/>
                  <w:tcBorders>
                    <w:tl2br w:val="nil"/>
                    <w:tr2bl w:val="nil"/>
                  </w:tcBorders>
                  <w:vAlign w:val="center"/>
                </w:tcPr>
                <w:p w14:paraId="3CB001B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034F81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2AAA823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highlight w:val="none"/>
                      <w:lang w:val="en-US" w:eastAsia="zh-CN"/>
                    </w:rPr>
                    <w:t>废涂液</w:t>
                  </w:r>
                </w:p>
              </w:tc>
              <w:tc>
                <w:tcPr>
                  <w:tcW w:w="512" w:type="pct"/>
                  <w:tcBorders>
                    <w:tl2br w:val="nil"/>
                    <w:tr2bl w:val="nil"/>
                  </w:tcBorders>
                  <w:shd w:val="clear" w:color="auto" w:fill="auto"/>
                  <w:vAlign w:val="center"/>
                </w:tcPr>
                <w:p w14:paraId="449DD71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37" w:type="pct"/>
                  <w:tcBorders>
                    <w:tl2br w:val="nil"/>
                    <w:tr2bl w:val="nil"/>
                  </w:tcBorders>
                  <w:shd w:val="clear" w:color="auto" w:fill="auto"/>
                  <w:vAlign w:val="center"/>
                </w:tcPr>
                <w:p w14:paraId="10F3798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436" w:type="pct"/>
                  <w:tcBorders>
                    <w:tl2br w:val="nil"/>
                    <w:tr2bl w:val="nil"/>
                  </w:tcBorders>
                  <w:shd w:val="clear" w:color="auto" w:fill="auto"/>
                  <w:vAlign w:val="center"/>
                </w:tcPr>
                <w:p w14:paraId="0ECC633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10</w:t>
                  </w:r>
                </w:p>
              </w:tc>
              <w:tc>
                <w:tcPr>
                  <w:tcW w:w="613" w:type="pct"/>
                  <w:tcBorders>
                    <w:tl2br w:val="nil"/>
                    <w:tr2bl w:val="nil"/>
                  </w:tcBorders>
                  <w:shd w:val="clear" w:color="auto" w:fill="auto"/>
                  <w:vAlign w:val="center"/>
                </w:tcPr>
                <w:p w14:paraId="1B3E238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轴芯涂胶</w:t>
                  </w:r>
                </w:p>
              </w:tc>
              <w:tc>
                <w:tcPr>
                  <w:tcW w:w="244" w:type="pct"/>
                  <w:tcBorders>
                    <w:tl2br w:val="nil"/>
                    <w:tr2bl w:val="nil"/>
                  </w:tcBorders>
                  <w:shd w:val="clear" w:color="auto" w:fill="auto"/>
                  <w:vAlign w:val="center"/>
                </w:tcPr>
                <w:p w14:paraId="534A546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6F566A6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409" w:type="pct"/>
                  <w:tcBorders>
                    <w:tl2br w:val="nil"/>
                    <w:tr2bl w:val="nil"/>
                  </w:tcBorders>
                  <w:shd w:val="clear" w:color="auto" w:fill="auto"/>
                  <w:vAlign w:val="center"/>
                </w:tcPr>
                <w:p w14:paraId="20618A5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355" w:type="pct"/>
                  <w:tcBorders>
                    <w:tl2br w:val="nil"/>
                    <w:tr2bl w:val="nil"/>
                  </w:tcBorders>
                  <w:shd w:val="clear" w:color="auto" w:fill="auto"/>
                  <w:vAlign w:val="center"/>
                </w:tcPr>
                <w:p w14:paraId="5180490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rPr>
                    <w:t>1月</w:t>
                  </w:r>
                </w:p>
              </w:tc>
              <w:tc>
                <w:tcPr>
                  <w:tcW w:w="441" w:type="pct"/>
                  <w:tcBorders>
                    <w:tl2br w:val="nil"/>
                    <w:tr2bl w:val="nil"/>
                  </w:tcBorders>
                  <w:shd w:val="clear" w:color="auto" w:fill="auto"/>
                  <w:vAlign w:val="center"/>
                </w:tcPr>
                <w:p w14:paraId="18A511E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eastAsiaTheme="minorEastAsia"/>
                      <w:color w:val="auto"/>
                      <w:lang w:val="en-US"/>
                    </w:rPr>
                    <w:t>T</w:t>
                  </w:r>
                  <w:r>
                    <w:rPr>
                      <w:rFonts w:hint="eastAsia" w:cs="Times New Roman" w:eastAsiaTheme="minorEastAsia"/>
                      <w:color w:val="auto"/>
                      <w:lang w:val="en-US" w:eastAsia="zh-CN"/>
                    </w:rPr>
                    <w:t>/</w:t>
                  </w:r>
                  <w:r>
                    <w:rPr>
                      <w:rFonts w:hint="default" w:ascii="Times New Roman" w:hAnsi="Times New Roman" w:cs="Times New Roman" w:eastAsiaTheme="minorEastAsia"/>
                      <w:color w:val="auto"/>
                      <w:lang w:val="en-US"/>
                    </w:rPr>
                    <w:t>I</w:t>
                  </w:r>
                  <w:r>
                    <w:rPr>
                      <w:rFonts w:hint="eastAsia" w:cs="Times New Roman" w:eastAsiaTheme="minorEastAsia"/>
                      <w:color w:val="auto"/>
                      <w:lang w:val="en-US" w:eastAsia="zh-CN"/>
                    </w:rPr>
                    <w:t>/R</w:t>
                  </w:r>
                </w:p>
              </w:tc>
              <w:tc>
                <w:tcPr>
                  <w:tcW w:w="534" w:type="pct"/>
                  <w:vMerge w:val="continue"/>
                  <w:tcBorders>
                    <w:tl2br w:val="nil"/>
                    <w:tr2bl w:val="nil"/>
                  </w:tcBorders>
                  <w:vAlign w:val="center"/>
                </w:tcPr>
                <w:p w14:paraId="534C2F1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72AEA5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vAlign w:val="center"/>
                </w:tcPr>
                <w:p w14:paraId="1394A81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废渣</w:t>
                  </w:r>
                </w:p>
              </w:tc>
              <w:tc>
                <w:tcPr>
                  <w:tcW w:w="512" w:type="pct"/>
                  <w:tcBorders>
                    <w:tl2br w:val="nil"/>
                    <w:tr2bl w:val="nil"/>
                  </w:tcBorders>
                  <w:shd w:val="clear" w:color="auto" w:fill="auto"/>
                  <w:vAlign w:val="center"/>
                </w:tcPr>
                <w:p w14:paraId="2C7A0B4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37" w:type="pct"/>
                  <w:tcBorders>
                    <w:tl2br w:val="nil"/>
                    <w:tr2bl w:val="nil"/>
                  </w:tcBorders>
                  <w:shd w:val="clear" w:color="auto" w:fill="auto"/>
                  <w:vAlign w:val="center"/>
                </w:tcPr>
                <w:p w14:paraId="1265921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436" w:type="pct"/>
                  <w:tcBorders>
                    <w:tl2br w:val="nil"/>
                    <w:tr2bl w:val="nil"/>
                  </w:tcBorders>
                  <w:vAlign w:val="center"/>
                </w:tcPr>
                <w:p w14:paraId="47C73FE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613" w:type="pct"/>
                  <w:tcBorders>
                    <w:tl2br w:val="nil"/>
                    <w:tr2bl w:val="nil"/>
                  </w:tcBorders>
                  <w:vAlign w:val="center"/>
                </w:tcPr>
                <w:p w14:paraId="51E85D6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喷涂</w:t>
                  </w:r>
                </w:p>
              </w:tc>
              <w:tc>
                <w:tcPr>
                  <w:tcW w:w="244" w:type="pct"/>
                  <w:tcBorders>
                    <w:tl2br w:val="nil"/>
                    <w:tr2bl w:val="nil"/>
                  </w:tcBorders>
                  <w:vAlign w:val="center"/>
                </w:tcPr>
                <w:p w14:paraId="5A4197C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固态</w:t>
                  </w:r>
                </w:p>
              </w:tc>
              <w:tc>
                <w:tcPr>
                  <w:tcW w:w="344" w:type="pct"/>
                  <w:tcBorders>
                    <w:tl2br w:val="nil"/>
                    <w:tr2bl w:val="nil"/>
                  </w:tcBorders>
                  <w:shd w:val="clear" w:color="auto" w:fill="auto"/>
                  <w:vAlign w:val="center"/>
                </w:tcPr>
                <w:p w14:paraId="4D33402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409" w:type="pct"/>
                  <w:tcBorders>
                    <w:tl2br w:val="nil"/>
                    <w:tr2bl w:val="nil"/>
                  </w:tcBorders>
                  <w:shd w:val="clear" w:color="auto" w:fill="auto"/>
                  <w:vAlign w:val="center"/>
                </w:tcPr>
                <w:p w14:paraId="6DDAC59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355" w:type="pct"/>
                  <w:tcBorders>
                    <w:tl2br w:val="nil"/>
                    <w:tr2bl w:val="nil"/>
                  </w:tcBorders>
                  <w:shd w:val="clear" w:color="auto" w:fill="auto"/>
                  <w:vAlign w:val="center"/>
                </w:tcPr>
                <w:p w14:paraId="4FF8E2B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rPr>
                    <w:t>1月</w:t>
                  </w:r>
                </w:p>
              </w:tc>
              <w:tc>
                <w:tcPr>
                  <w:tcW w:w="441" w:type="pct"/>
                  <w:tcBorders>
                    <w:tl2br w:val="nil"/>
                    <w:tr2bl w:val="nil"/>
                  </w:tcBorders>
                  <w:vAlign w:val="center"/>
                </w:tcPr>
                <w:p w14:paraId="0295A6D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cs="Times New Roman" w:eastAsiaTheme="minorEastAsia"/>
                      <w:color w:val="auto"/>
                      <w:lang w:val="en-US"/>
                    </w:rPr>
                    <w:t>T</w:t>
                  </w:r>
                  <w:r>
                    <w:rPr>
                      <w:rFonts w:hint="eastAsia" w:cs="Times New Roman" w:eastAsiaTheme="minorEastAsia"/>
                      <w:color w:val="auto"/>
                      <w:lang w:val="en-US" w:eastAsia="zh-CN"/>
                    </w:rPr>
                    <w:t>/</w:t>
                  </w:r>
                  <w:r>
                    <w:rPr>
                      <w:rFonts w:hint="default" w:ascii="Times New Roman" w:hAnsi="Times New Roman" w:cs="Times New Roman" w:eastAsiaTheme="minorEastAsia"/>
                      <w:color w:val="auto"/>
                      <w:lang w:val="en-US"/>
                    </w:rPr>
                    <w:t>I</w:t>
                  </w:r>
                  <w:r>
                    <w:rPr>
                      <w:rFonts w:hint="eastAsia" w:cs="Times New Roman" w:eastAsiaTheme="minorEastAsia"/>
                      <w:color w:val="auto"/>
                      <w:lang w:val="en-US" w:eastAsia="zh-CN"/>
                    </w:rPr>
                    <w:t>/R</w:t>
                  </w:r>
                </w:p>
              </w:tc>
              <w:tc>
                <w:tcPr>
                  <w:tcW w:w="534" w:type="pct"/>
                  <w:vMerge w:val="continue"/>
                  <w:tcBorders>
                    <w:tl2br w:val="nil"/>
                    <w:tr2bl w:val="nil"/>
                  </w:tcBorders>
                  <w:vAlign w:val="center"/>
                </w:tcPr>
                <w:p w14:paraId="505BBCE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742950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496D2D5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废活性炭</w:t>
                  </w:r>
                </w:p>
              </w:tc>
              <w:tc>
                <w:tcPr>
                  <w:tcW w:w="512" w:type="pct"/>
                  <w:tcBorders>
                    <w:tl2br w:val="nil"/>
                    <w:tr2bl w:val="nil"/>
                  </w:tcBorders>
                  <w:shd w:val="clear" w:color="auto" w:fill="auto"/>
                  <w:vAlign w:val="center"/>
                </w:tcPr>
                <w:p w14:paraId="31F6541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HW49</w:t>
                  </w:r>
                </w:p>
              </w:tc>
              <w:tc>
                <w:tcPr>
                  <w:tcW w:w="537" w:type="pct"/>
                  <w:tcBorders>
                    <w:tl2br w:val="nil"/>
                    <w:tr2bl w:val="nil"/>
                  </w:tcBorders>
                  <w:shd w:val="clear" w:color="auto" w:fill="auto"/>
                  <w:vAlign w:val="center"/>
                </w:tcPr>
                <w:p w14:paraId="1D74F04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900-039-49</w:t>
                  </w:r>
                </w:p>
              </w:tc>
              <w:tc>
                <w:tcPr>
                  <w:tcW w:w="436" w:type="pct"/>
                  <w:tcBorders>
                    <w:tl2br w:val="nil"/>
                    <w:tr2bl w:val="nil"/>
                  </w:tcBorders>
                  <w:shd w:val="clear" w:color="auto" w:fill="auto"/>
                  <w:vAlign w:val="center"/>
                </w:tcPr>
                <w:p w14:paraId="6F2D75D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59.77</w:t>
                  </w:r>
                </w:p>
              </w:tc>
              <w:tc>
                <w:tcPr>
                  <w:tcW w:w="613" w:type="pct"/>
                  <w:tcBorders>
                    <w:tl2br w:val="nil"/>
                    <w:tr2bl w:val="nil"/>
                  </w:tcBorders>
                  <w:shd w:val="clear" w:color="auto" w:fill="auto"/>
                  <w:vAlign w:val="center"/>
                </w:tcPr>
                <w:p w14:paraId="18A22BE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废气处理</w:t>
                  </w:r>
                </w:p>
              </w:tc>
              <w:tc>
                <w:tcPr>
                  <w:tcW w:w="244" w:type="pct"/>
                  <w:tcBorders>
                    <w:tl2br w:val="nil"/>
                    <w:tr2bl w:val="nil"/>
                  </w:tcBorders>
                  <w:shd w:val="clear" w:color="auto" w:fill="auto"/>
                  <w:vAlign w:val="center"/>
                </w:tcPr>
                <w:p w14:paraId="6E4B11C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固态</w:t>
                  </w:r>
                </w:p>
              </w:tc>
              <w:tc>
                <w:tcPr>
                  <w:tcW w:w="344" w:type="pct"/>
                  <w:tcBorders>
                    <w:tl2br w:val="nil"/>
                    <w:tr2bl w:val="nil"/>
                  </w:tcBorders>
                  <w:shd w:val="clear" w:color="auto" w:fill="auto"/>
                  <w:vAlign w:val="center"/>
                </w:tcPr>
                <w:p w14:paraId="03E7DBB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炭</w:t>
                  </w:r>
                </w:p>
              </w:tc>
              <w:tc>
                <w:tcPr>
                  <w:tcW w:w="409" w:type="pct"/>
                  <w:tcBorders>
                    <w:tl2br w:val="nil"/>
                    <w:tr2bl w:val="nil"/>
                  </w:tcBorders>
                  <w:shd w:val="clear" w:color="auto" w:fill="auto"/>
                  <w:vAlign w:val="center"/>
                </w:tcPr>
                <w:p w14:paraId="7796154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有机废气</w:t>
                  </w:r>
                </w:p>
              </w:tc>
              <w:tc>
                <w:tcPr>
                  <w:tcW w:w="355" w:type="pct"/>
                  <w:tcBorders>
                    <w:tl2br w:val="nil"/>
                    <w:tr2bl w:val="nil"/>
                  </w:tcBorders>
                  <w:shd w:val="clear" w:color="auto" w:fill="auto"/>
                  <w:vAlign w:val="center"/>
                </w:tcPr>
                <w:p w14:paraId="3878778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12.5</w:t>
                  </w:r>
                  <w:r>
                    <w:rPr>
                      <w:rFonts w:hint="default" w:ascii="Times New Roman" w:hAnsi="Times New Roman" w:eastAsia="宋体" w:cs="Times New Roman"/>
                      <w:b w:val="0"/>
                      <w:bCs w:val="0"/>
                      <w:color w:val="auto"/>
                      <w:sz w:val="21"/>
                      <w:szCs w:val="21"/>
                    </w:rPr>
                    <w:t>天</w:t>
                  </w:r>
                </w:p>
              </w:tc>
              <w:tc>
                <w:tcPr>
                  <w:tcW w:w="441" w:type="pct"/>
                  <w:tcBorders>
                    <w:tl2br w:val="nil"/>
                    <w:tr2bl w:val="nil"/>
                  </w:tcBorders>
                  <w:shd w:val="clear" w:color="auto" w:fill="auto"/>
                  <w:vAlign w:val="center"/>
                </w:tcPr>
                <w:p w14:paraId="7E2C8B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T</w:t>
                  </w:r>
                </w:p>
              </w:tc>
              <w:tc>
                <w:tcPr>
                  <w:tcW w:w="534" w:type="pct"/>
                  <w:vMerge w:val="continue"/>
                  <w:tcBorders>
                    <w:tl2br w:val="nil"/>
                    <w:tr2bl w:val="nil"/>
                  </w:tcBorders>
                  <w:vAlign w:val="center"/>
                </w:tcPr>
                <w:p w14:paraId="1D6F2F0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49F5B7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vAlign w:val="center"/>
                </w:tcPr>
                <w:p w14:paraId="46EF497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水喷淋废水</w:t>
                  </w:r>
                </w:p>
              </w:tc>
              <w:tc>
                <w:tcPr>
                  <w:tcW w:w="512" w:type="pct"/>
                  <w:tcBorders>
                    <w:tl2br w:val="nil"/>
                    <w:tr2bl w:val="nil"/>
                  </w:tcBorders>
                  <w:shd w:val="clear" w:color="auto" w:fill="auto"/>
                  <w:vAlign w:val="center"/>
                </w:tcPr>
                <w:p w14:paraId="64361F5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37" w:type="pct"/>
                  <w:tcBorders>
                    <w:tl2br w:val="nil"/>
                    <w:tr2bl w:val="nil"/>
                  </w:tcBorders>
                  <w:shd w:val="clear" w:color="auto" w:fill="auto"/>
                  <w:vAlign w:val="center"/>
                </w:tcPr>
                <w:p w14:paraId="1EBBED5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436" w:type="pct"/>
                  <w:tcBorders>
                    <w:tl2br w:val="nil"/>
                    <w:tr2bl w:val="nil"/>
                  </w:tcBorders>
                  <w:shd w:val="clear" w:color="auto" w:fill="auto"/>
                  <w:vAlign w:val="center"/>
                </w:tcPr>
                <w:p w14:paraId="5B04C6D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p>
              </w:tc>
              <w:tc>
                <w:tcPr>
                  <w:tcW w:w="613" w:type="pct"/>
                  <w:tcBorders>
                    <w:tl2br w:val="nil"/>
                    <w:tr2bl w:val="nil"/>
                  </w:tcBorders>
                  <w:shd w:val="clear" w:color="auto" w:fill="auto"/>
                  <w:vAlign w:val="center"/>
                </w:tcPr>
                <w:p w14:paraId="7B9725F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轴芯清洗</w:t>
                  </w:r>
                </w:p>
              </w:tc>
              <w:tc>
                <w:tcPr>
                  <w:tcW w:w="244" w:type="pct"/>
                  <w:tcBorders>
                    <w:tl2br w:val="nil"/>
                    <w:tr2bl w:val="nil"/>
                  </w:tcBorders>
                  <w:shd w:val="clear" w:color="auto" w:fill="auto"/>
                  <w:vAlign w:val="center"/>
                </w:tcPr>
                <w:p w14:paraId="5974FAB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04CB2B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409" w:type="pct"/>
                  <w:tcBorders>
                    <w:tl2br w:val="nil"/>
                    <w:tr2bl w:val="nil"/>
                  </w:tcBorders>
                  <w:shd w:val="clear" w:color="auto" w:fill="auto"/>
                  <w:vAlign w:val="center"/>
                </w:tcPr>
                <w:p w14:paraId="3492B00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有机物</w:t>
                  </w:r>
                </w:p>
              </w:tc>
              <w:tc>
                <w:tcPr>
                  <w:tcW w:w="355" w:type="pct"/>
                  <w:tcBorders>
                    <w:tl2br w:val="nil"/>
                    <w:tr2bl w:val="nil"/>
                  </w:tcBorders>
                  <w:vAlign w:val="center"/>
                </w:tcPr>
                <w:p w14:paraId="69C1AC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1年</w:t>
                  </w:r>
                </w:p>
              </w:tc>
              <w:tc>
                <w:tcPr>
                  <w:tcW w:w="441" w:type="pct"/>
                  <w:tcBorders>
                    <w:tl2br w:val="nil"/>
                    <w:tr2bl w:val="nil"/>
                  </w:tcBorders>
                  <w:vAlign w:val="center"/>
                </w:tcPr>
                <w:p w14:paraId="5CD0FF3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cs="Times New Roman" w:eastAsiaTheme="minorEastAsia"/>
                      <w:color w:val="auto"/>
                      <w:lang w:val="en-US"/>
                    </w:rPr>
                    <w:t>T</w:t>
                  </w:r>
                  <w:r>
                    <w:rPr>
                      <w:rFonts w:hint="eastAsia" w:cs="Times New Roman" w:eastAsiaTheme="minorEastAsia"/>
                      <w:color w:val="auto"/>
                      <w:lang w:val="en-US" w:eastAsia="zh-CN"/>
                    </w:rPr>
                    <w:t>/</w:t>
                  </w:r>
                  <w:r>
                    <w:rPr>
                      <w:rFonts w:hint="default" w:ascii="Times New Roman" w:hAnsi="Times New Roman" w:cs="Times New Roman" w:eastAsiaTheme="minorEastAsia"/>
                      <w:color w:val="auto"/>
                      <w:lang w:val="en-US"/>
                    </w:rPr>
                    <w:t>I</w:t>
                  </w:r>
                  <w:r>
                    <w:rPr>
                      <w:rFonts w:hint="eastAsia" w:cs="Times New Roman" w:eastAsiaTheme="minorEastAsia"/>
                      <w:color w:val="auto"/>
                      <w:lang w:val="en-US" w:eastAsia="zh-CN"/>
                    </w:rPr>
                    <w:t>/R</w:t>
                  </w:r>
                </w:p>
              </w:tc>
              <w:tc>
                <w:tcPr>
                  <w:tcW w:w="534" w:type="pct"/>
                  <w:vMerge w:val="continue"/>
                  <w:tcBorders>
                    <w:tl2br w:val="nil"/>
                    <w:tr2bl w:val="nil"/>
                  </w:tcBorders>
                  <w:vAlign w:val="center"/>
                </w:tcPr>
                <w:p w14:paraId="320545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7FDFC21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16A9464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废机油</w:t>
                  </w:r>
                </w:p>
              </w:tc>
              <w:tc>
                <w:tcPr>
                  <w:tcW w:w="512" w:type="pct"/>
                  <w:tcBorders>
                    <w:tl2br w:val="nil"/>
                    <w:tr2bl w:val="nil"/>
                  </w:tcBorders>
                  <w:shd w:val="clear" w:color="auto" w:fill="auto"/>
                  <w:vAlign w:val="center"/>
                </w:tcPr>
                <w:p w14:paraId="7014123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37" w:type="pct"/>
                  <w:tcBorders>
                    <w:tl2br w:val="nil"/>
                    <w:tr2bl w:val="nil"/>
                  </w:tcBorders>
                  <w:shd w:val="clear" w:color="auto" w:fill="auto"/>
                  <w:vAlign w:val="center"/>
                </w:tcPr>
                <w:p w14:paraId="568C66C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436" w:type="pct"/>
                  <w:tcBorders>
                    <w:tl2br w:val="nil"/>
                    <w:tr2bl w:val="nil"/>
                  </w:tcBorders>
                  <w:shd w:val="clear" w:color="auto" w:fill="auto"/>
                  <w:vAlign w:val="center"/>
                </w:tcPr>
                <w:p w14:paraId="4A77848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0.5</w:t>
                  </w:r>
                </w:p>
              </w:tc>
              <w:tc>
                <w:tcPr>
                  <w:tcW w:w="613" w:type="pct"/>
                  <w:tcBorders>
                    <w:tl2br w:val="nil"/>
                    <w:tr2bl w:val="nil"/>
                  </w:tcBorders>
                  <w:shd w:val="clear" w:color="auto" w:fill="auto"/>
                  <w:vAlign w:val="center"/>
                </w:tcPr>
                <w:p w14:paraId="1EA4745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设备检修</w:t>
                  </w:r>
                </w:p>
              </w:tc>
              <w:tc>
                <w:tcPr>
                  <w:tcW w:w="244" w:type="pct"/>
                  <w:tcBorders>
                    <w:tl2br w:val="nil"/>
                    <w:tr2bl w:val="nil"/>
                  </w:tcBorders>
                  <w:shd w:val="clear" w:color="auto" w:fill="auto"/>
                  <w:vAlign w:val="center"/>
                </w:tcPr>
                <w:p w14:paraId="4DFF1E6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1599C74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矿物油</w:t>
                  </w:r>
                </w:p>
              </w:tc>
              <w:tc>
                <w:tcPr>
                  <w:tcW w:w="409" w:type="pct"/>
                  <w:tcBorders>
                    <w:tl2br w:val="nil"/>
                    <w:tr2bl w:val="nil"/>
                  </w:tcBorders>
                  <w:shd w:val="clear" w:color="auto" w:fill="auto"/>
                  <w:vAlign w:val="center"/>
                </w:tcPr>
                <w:p w14:paraId="701EEC4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矿物油</w:t>
                  </w:r>
                </w:p>
              </w:tc>
              <w:tc>
                <w:tcPr>
                  <w:tcW w:w="355" w:type="pct"/>
                  <w:tcBorders>
                    <w:tl2br w:val="nil"/>
                    <w:tr2bl w:val="nil"/>
                  </w:tcBorders>
                  <w:shd w:val="clear" w:color="auto" w:fill="auto"/>
                  <w:vAlign w:val="center"/>
                </w:tcPr>
                <w:p w14:paraId="72D4DA3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1年</w:t>
                  </w:r>
                </w:p>
              </w:tc>
              <w:tc>
                <w:tcPr>
                  <w:tcW w:w="441" w:type="pct"/>
                  <w:tcBorders>
                    <w:tl2br w:val="nil"/>
                    <w:tr2bl w:val="nil"/>
                  </w:tcBorders>
                  <w:shd w:val="clear" w:color="auto" w:fill="auto"/>
                  <w:vAlign w:val="center"/>
                </w:tcPr>
                <w:p w14:paraId="3C0E963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T,I</w:t>
                  </w:r>
                </w:p>
              </w:tc>
              <w:tc>
                <w:tcPr>
                  <w:tcW w:w="534" w:type="pct"/>
                  <w:vMerge w:val="continue"/>
                  <w:tcBorders>
                    <w:tl2br w:val="nil"/>
                    <w:tr2bl w:val="nil"/>
                  </w:tcBorders>
                  <w:vAlign w:val="center"/>
                </w:tcPr>
                <w:p w14:paraId="6D7B95F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717A5D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2B9BF5A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w:t>
                  </w:r>
                  <w:r>
                    <w:rPr>
                      <w:rFonts w:hint="eastAsia" w:ascii="Times New Roman" w:hAnsi="Times New Roman" w:eastAsia="宋体" w:cs="Times New Roman"/>
                      <w:b w:val="0"/>
                      <w:bCs w:val="0"/>
                      <w:color w:val="auto"/>
                      <w:sz w:val="21"/>
                      <w:szCs w:val="21"/>
                      <w:lang w:val="en-US" w:eastAsia="zh-CN" w:bidi="ar-SA"/>
                    </w:rPr>
                    <w:t>油</w:t>
                  </w:r>
                  <w:r>
                    <w:rPr>
                      <w:rFonts w:hint="default" w:ascii="Times New Roman" w:hAnsi="Times New Roman" w:eastAsia="宋体" w:cs="Times New Roman"/>
                      <w:b w:val="0"/>
                      <w:bCs w:val="0"/>
                      <w:color w:val="auto"/>
                      <w:sz w:val="21"/>
                      <w:szCs w:val="21"/>
                      <w:lang w:val="en-US" w:eastAsia="zh-CN" w:bidi="ar-SA"/>
                    </w:rPr>
                    <w:t>桶</w:t>
                  </w:r>
                </w:p>
              </w:tc>
              <w:tc>
                <w:tcPr>
                  <w:tcW w:w="512" w:type="pct"/>
                  <w:tcBorders>
                    <w:tl2br w:val="nil"/>
                    <w:tr2bl w:val="nil"/>
                  </w:tcBorders>
                  <w:shd w:val="clear" w:color="auto" w:fill="auto"/>
                  <w:vAlign w:val="center"/>
                </w:tcPr>
                <w:p w14:paraId="78417F7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37" w:type="pct"/>
                  <w:tcBorders>
                    <w:tl2br w:val="nil"/>
                    <w:tr2bl w:val="nil"/>
                  </w:tcBorders>
                  <w:shd w:val="clear" w:color="auto" w:fill="auto"/>
                  <w:vAlign w:val="center"/>
                </w:tcPr>
                <w:p w14:paraId="7C71877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436" w:type="pct"/>
                  <w:tcBorders>
                    <w:tl2br w:val="nil"/>
                    <w:tr2bl w:val="nil"/>
                  </w:tcBorders>
                  <w:shd w:val="clear" w:color="auto" w:fill="auto"/>
                  <w:vAlign w:val="center"/>
                </w:tcPr>
                <w:p w14:paraId="6C4BD30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lang w:val="en-US" w:eastAsia="zh-CN" w:bidi="ar-SA"/>
                    </w:rPr>
                    <w:t>0.5</w:t>
                  </w:r>
                </w:p>
              </w:tc>
              <w:tc>
                <w:tcPr>
                  <w:tcW w:w="613" w:type="pct"/>
                  <w:tcBorders>
                    <w:tl2br w:val="nil"/>
                    <w:tr2bl w:val="nil"/>
                  </w:tcBorders>
                  <w:shd w:val="clear" w:color="auto" w:fill="auto"/>
                  <w:vAlign w:val="center"/>
                </w:tcPr>
                <w:p w14:paraId="417D372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设备检修</w:t>
                  </w:r>
                </w:p>
              </w:tc>
              <w:tc>
                <w:tcPr>
                  <w:tcW w:w="244" w:type="pct"/>
                  <w:tcBorders>
                    <w:tl2br w:val="nil"/>
                    <w:tr2bl w:val="nil"/>
                  </w:tcBorders>
                  <w:shd w:val="clear" w:color="auto" w:fill="auto"/>
                  <w:vAlign w:val="center"/>
                </w:tcPr>
                <w:p w14:paraId="3F99864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固态</w:t>
                  </w:r>
                </w:p>
              </w:tc>
              <w:tc>
                <w:tcPr>
                  <w:tcW w:w="344" w:type="pct"/>
                  <w:tcBorders>
                    <w:tl2br w:val="nil"/>
                    <w:tr2bl w:val="nil"/>
                  </w:tcBorders>
                  <w:shd w:val="clear" w:color="auto" w:fill="auto"/>
                  <w:vAlign w:val="center"/>
                </w:tcPr>
                <w:p w14:paraId="5026EE3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矿物油</w:t>
                  </w:r>
                </w:p>
              </w:tc>
              <w:tc>
                <w:tcPr>
                  <w:tcW w:w="409" w:type="pct"/>
                  <w:tcBorders>
                    <w:tl2br w:val="nil"/>
                    <w:tr2bl w:val="nil"/>
                  </w:tcBorders>
                  <w:shd w:val="clear" w:color="auto" w:fill="auto"/>
                  <w:vAlign w:val="center"/>
                </w:tcPr>
                <w:p w14:paraId="5BF7292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矿物油</w:t>
                  </w:r>
                </w:p>
              </w:tc>
              <w:tc>
                <w:tcPr>
                  <w:tcW w:w="355" w:type="pct"/>
                  <w:tcBorders>
                    <w:tl2br w:val="nil"/>
                    <w:tr2bl w:val="nil"/>
                  </w:tcBorders>
                  <w:shd w:val="clear" w:color="auto" w:fill="auto"/>
                  <w:vAlign w:val="center"/>
                </w:tcPr>
                <w:p w14:paraId="4002691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1年</w:t>
                  </w:r>
                </w:p>
              </w:tc>
              <w:tc>
                <w:tcPr>
                  <w:tcW w:w="441" w:type="pct"/>
                  <w:tcBorders>
                    <w:tl2br w:val="nil"/>
                    <w:tr2bl w:val="nil"/>
                  </w:tcBorders>
                  <w:shd w:val="clear" w:color="auto" w:fill="auto"/>
                  <w:vAlign w:val="center"/>
                </w:tcPr>
                <w:p w14:paraId="0C6D87B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T,I</w:t>
                  </w:r>
                </w:p>
              </w:tc>
              <w:tc>
                <w:tcPr>
                  <w:tcW w:w="534" w:type="pct"/>
                  <w:vMerge w:val="continue"/>
                  <w:tcBorders>
                    <w:tl2br w:val="nil"/>
                    <w:tr2bl w:val="nil"/>
                  </w:tcBorders>
                  <w:vAlign w:val="center"/>
                </w:tcPr>
                <w:p w14:paraId="2CAEC71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3F473E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shd w:val="clear" w:color="auto" w:fill="auto"/>
                  <w:vAlign w:val="center"/>
                </w:tcPr>
                <w:p w14:paraId="7BD3BB1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废桶</w:t>
                  </w:r>
                </w:p>
              </w:tc>
              <w:tc>
                <w:tcPr>
                  <w:tcW w:w="512" w:type="pct"/>
                  <w:tcBorders>
                    <w:tl2br w:val="nil"/>
                    <w:tr2bl w:val="nil"/>
                  </w:tcBorders>
                  <w:shd w:val="clear" w:color="auto" w:fill="auto"/>
                  <w:vAlign w:val="center"/>
                </w:tcPr>
                <w:p w14:paraId="4657C70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HW49</w:t>
                  </w:r>
                </w:p>
              </w:tc>
              <w:tc>
                <w:tcPr>
                  <w:tcW w:w="537" w:type="pct"/>
                  <w:tcBorders>
                    <w:tl2br w:val="nil"/>
                    <w:tr2bl w:val="nil"/>
                  </w:tcBorders>
                  <w:shd w:val="clear" w:color="auto" w:fill="auto"/>
                  <w:vAlign w:val="center"/>
                </w:tcPr>
                <w:p w14:paraId="6EB1174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900-047-49</w:t>
                  </w:r>
                </w:p>
              </w:tc>
              <w:tc>
                <w:tcPr>
                  <w:tcW w:w="436" w:type="pct"/>
                  <w:tcBorders>
                    <w:tl2br w:val="nil"/>
                    <w:tr2bl w:val="nil"/>
                  </w:tcBorders>
                  <w:shd w:val="clear" w:color="auto" w:fill="auto"/>
                  <w:vAlign w:val="center"/>
                </w:tcPr>
                <w:p w14:paraId="3E45793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3.5</w:t>
                  </w:r>
                </w:p>
              </w:tc>
              <w:tc>
                <w:tcPr>
                  <w:tcW w:w="613" w:type="pct"/>
                  <w:tcBorders>
                    <w:tl2br w:val="nil"/>
                    <w:tr2bl w:val="nil"/>
                  </w:tcBorders>
                  <w:shd w:val="clear" w:color="auto" w:fill="auto"/>
                  <w:vAlign w:val="center"/>
                </w:tcPr>
                <w:p w14:paraId="5FF81DA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eastAsia="zh-CN"/>
                    </w:rPr>
                    <w:t>原料包装</w:t>
                  </w:r>
                </w:p>
              </w:tc>
              <w:tc>
                <w:tcPr>
                  <w:tcW w:w="244" w:type="pct"/>
                  <w:tcBorders>
                    <w:tl2br w:val="nil"/>
                    <w:tr2bl w:val="nil"/>
                  </w:tcBorders>
                  <w:shd w:val="clear" w:color="auto" w:fill="auto"/>
                  <w:vAlign w:val="center"/>
                </w:tcPr>
                <w:p w14:paraId="766180E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固态</w:t>
                  </w:r>
                </w:p>
              </w:tc>
              <w:tc>
                <w:tcPr>
                  <w:tcW w:w="344" w:type="pct"/>
                  <w:tcBorders>
                    <w:tl2br w:val="nil"/>
                    <w:tr2bl w:val="nil"/>
                  </w:tcBorders>
                  <w:shd w:val="clear" w:color="auto" w:fill="auto"/>
                  <w:vAlign w:val="center"/>
                </w:tcPr>
                <w:p w14:paraId="733E9CB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有机试剂</w:t>
                  </w:r>
                </w:p>
              </w:tc>
              <w:tc>
                <w:tcPr>
                  <w:tcW w:w="409" w:type="pct"/>
                  <w:tcBorders>
                    <w:tl2br w:val="nil"/>
                    <w:tr2bl w:val="nil"/>
                  </w:tcBorders>
                  <w:shd w:val="clear" w:color="auto" w:fill="auto"/>
                  <w:vAlign w:val="center"/>
                </w:tcPr>
                <w:p w14:paraId="52949B8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lang w:val="en-US" w:eastAsia="zh-CN"/>
                    </w:rPr>
                    <w:t>有机试剂</w:t>
                  </w:r>
                </w:p>
              </w:tc>
              <w:tc>
                <w:tcPr>
                  <w:tcW w:w="355" w:type="pct"/>
                  <w:tcBorders>
                    <w:tl2br w:val="nil"/>
                    <w:tr2bl w:val="nil"/>
                  </w:tcBorders>
                  <w:shd w:val="clear" w:color="auto" w:fill="auto"/>
                  <w:vAlign w:val="center"/>
                </w:tcPr>
                <w:p w14:paraId="7E1CB4C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1年</w:t>
                  </w:r>
                </w:p>
              </w:tc>
              <w:tc>
                <w:tcPr>
                  <w:tcW w:w="441" w:type="pct"/>
                  <w:tcBorders>
                    <w:tl2br w:val="nil"/>
                    <w:tr2bl w:val="nil"/>
                  </w:tcBorders>
                  <w:shd w:val="clear" w:color="auto" w:fill="auto"/>
                  <w:vAlign w:val="center"/>
                </w:tcPr>
                <w:p w14:paraId="1A0780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T/C/I/R</w:t>
                  </w:r>
                </w:p>
              </w:tc>
              <w:tc>
                <w:tcPr>
                  <w:tcW w:w="534" w:type="pct"/>
                  <w:vMerge w:val="continue"/>
                  <w:tcBorders>
                    <w:tl2br w:val="nil"/>
                    <w:tr2bl w:val="nil"/>
                  </w:tcBorders>
                  <w:vAlign w:val="center"/>
                </w:tcPr>
                <w:p w14:paraId="652732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49F5CB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69" w:type="pct"/>
                  <w:tcBorders>
                    <w:tl2br w:val="nil"/>
                    <w:tr2bl w:val="nil"/>
                  </w:tcBorders>
                  <w:vAlign w:val="center"/>
                </w:tcPr>
                <w:p w14:paraId="2021F36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废导热油</w:t>
                  </w:r>
                </w:p>
              </w:tc>
              <w:tc>
                <w:tcPr>
                  <w:tcW w:w="512" w:type="pct"/>
                  <w:tcBorders>
                    <w:tl2br w:val="nil"/>
                    <w:tr2bl w:val="nil"/>
                  </w:tcBorders>
                  <w:shd w:val="clear" w:color="auto" w:fill="auto"/>
                  <w:vAlign w:val="center"/>
                </w:tcPr>
                <w:p w14:paraId="6E0E88A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37" w:type="pct"/>
                  <w:tcBorders>
                    <w:tl2br w:val="nil"/>
                    <w:tr2bl w:val="nil"/>
                  </w:tcBorders>
                  <w:shd w:val="clear" w:color="auto" w:fill="auto"/>
                  <w:vAlign w:val="center"/>
                </w:tcPr>
                <w:p w14:paraId="51F625C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436" w:type="pct"/>
                  <w:tcBorders>
                    <w:tl2br w:val="nil"/>
                    <w:tr2bl w:val="nil"/>
                  </w:tcBorders>
                  <w:vAlign w:val="center"/>
                </w:tcPr>
                <w:p w14:paraId="69FAD73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0.34</w:t>
                  </w:r>
                </w:p>
              </w:tc>
              <w:tc>
                <w:tcPr>
                  <w:tcW w:w="613" w:type="pct"/>
                  <w:tcBorders>
                    <w:tl2br w:val="nil"/>
                    <w:tr2bl w:val="nil"/>
                  </w:tcBorders>
                  <w:vAlign w:val="center"/>
                </w:tcPr>
                <w:p w14:paraId="7813845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硫化罐加热</w:t>
                  </w:r>
                </w:p>
              </w:tc>
              <w:tc>
                <w:tcPr>
                  <w:tcW w:w="244" w:type="pct"/>
                  <w:tcBorders>
                    <w:tl2br w:val="nil"/>
                    <w:tr2bl w:val="nil"/>
                  </w:tcBorders>
                  <w:vAlign w:val="center"/>
                </w:tcPr>
                <w:p w14:paraId="1800136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液态</w:t>
                  </w:r>
                </w:p>
              </w:tc>
              <w:tc>
                <w:tcPr>
                  <w:tcW w:w="344" w:type="pct"/>
                  <w:tcBorders>
                    <w:tl2br w:val="nil"/>
                    <w:tr2bl w:val="nil"/>
                  </w:tcBorders>
                  <w:shd w:val="clear" w:color="auto" w:fill="auto"/>
                  <w:vAlign w:val="center"/>
                </w:tcPr>
                <w:p w14:paraId="537AE46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矿物油</w:t>
                  </w:r>
                </w:p>
              </w:tc>
              <w:tc>
                <w:tcPr>
                  <w:tcW w:w="409" w:type="pct"/>
                  <w:tcBorders>
                    <w:tl2br w:val="nil"/>
                    <w:tr2bl w:val="nil"/>
                  </w:tcBorders>
                  <w:shd w:val="clear" w:color="auto" w:fill="auto"/>
                  <w:vAlign w:val="center"/>
                </w:tcPr>
                <w:p w14:paraId="34A51C1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矿物油</w:t>
                  </w:r>
                </w:p>
              </w:tc>
              <w:tc>
                <w:tcPr>
                  <w:tcW w:w="355" w:type="pct"/>
                  <w:tcBorders>
                    <w:tl2br w:val="nil"/>
                    <w:tr2bl w:val="nil"/>
                  </w:tcBorders>
                  <w:shd w:val="clear" w:color="auto" w:fill="auto"/>
                  <w:vAlign w:val="center"/>
                </w:tcPr>
                <w:p w14:paraId="5CF3ED8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1年</w:t>
                  </w:r>
                </w:p>
              </w:tc>
              <w:tc>
                <w:tcPr>
                  <w:tcW w:w="441" w:type="pct"/>
                  <w:tcBorders>
                    <w:tl2br w:val="nil"/>
                    <w:tr2bl w:val="nil"/>
                  </w:tcBorders>
                  <w:vAlign w:val="center"/>
                </w:tcPr>
                <w:p w14:paraId="5F3D007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rPr>
                    <w:t>T,I</w:t>
                  </w:r>
                </w:p>
              </w:tc>
              <w:tc>
                <w:tcPr>
                  <w:tcW w:w="534" w:type="pct"/>
                  <w:vMerge w:val="continue"/>
                  <w:tcBorders>
                    <w:tl2br w:val="nil"/>
                    <w:tr2bl w:val="nil"/>
                  </w:tcBorders>
                  <w:vAlign w:val="center"/>
                </w:tcPr>
                <w:p w14:paraId="2F8B164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80"/>
                      <w:sz w:val="21"/>
                      <w:szCs w:val="21"/>
                      <w:lang w:val="en-US" w:eastAsia="zh-CN" w:bidi="ar-SA"/>
                    </w:rPr>
                  </w:pPr>
                </w:p>
              </w:tc>
            </w:tr>
          </w:tbl>
          <w:p w14:paraId="268573EE">
            <w:pPr>
              <w:widowControl w:val="0"/>
              <w:autoSpaceDE w:val="0"/>
              <w:autoSpaceDN w:val="0"/>
              <w:adjustRightInd w:val="0"/>
              <w:spacing w:line="500" w:lineRule="exact"/>
              <w:jc w:val="center"/>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表4.4-</w:t>
            </w:r>
            <w:r>
              <w:rPr>
                <w:rFonts w:hint="eastAsia" w:ascii="Times New Roman" w:hAnsi="Times New Roman" w:eastAsia="宋体" w:cs="Times New Roman"/>
                <w:b/>
                <w:bCs/>
                <w:color w:val="auto"/>
                <w:kern w:val="2"/>
                <w:sz w:val="22"/>
                <w:szCs w:val="22"/>
                <w:lang w:val="en-US" w:eastAsia="zh-CN" w:bidi="ar-SA"/>
              </w:rPr>
              <w:t>2</w:t>
            </w:r>
            <w:r>
              <w:rPr>
                <w:rFonts w:hint="default" w:ascii="Times New Roman" w:hAnsi="Times New Roman" w:eastAsia="宋体" w:cs="Times New Roman"/>
                <w:b/>
                <w:bCs/>
                <w:color w:val="auto"/>
                <w:kern w:val="2"/>
                <w:sz w:val="22"/>
                <w:szCs w:val="22"/>
                <w:lang w:val="en-US" w:eastAsia="zh-CN" w:bidi="ar-SA"/>
              </w:rPr>
              <w:t xml:space="preserve">  建设项目危险废物贮存场所（设施）基本情况表</w:t>
            </w:r>
          </w:p>
          <w:tbl>
            <w:tblPr>
              <w:tblStyle w:val="44"/>
              <w:tblW w:w="49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914"/>
              <w:gridCol w:w="1183"/>
              <w:gridCol w:w="826"/>
              <w:gridCol w:w="1425"/>
              <w:gridCol w:w="969"/>
              <w:gridCol w:w="1092"/>
              <w:gridCol w:w="1681"/>
              <w:gridCol w:w="1604"/>
              <w:gridCol w:w="1805"/>
              <w:gridCol w:w="1175"/>
              <w:gridCol w:w="1068"/>
            </w:tblGrid>
            <w:tr w14:paraId="319CF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332" w:type="pct"/>
                  <w:tcBorders>
                    <w:top w:val="single" w:color="auto" w:sz="12" w:space="0"/>
                    <w:right w:val="single" w:color="auto" w:sz="4" w:space="0"/>
                  </w:tcBorders>
                  <w:vAlign w:val="center"/>
                </w:tcPr>
                <w:p w14:paraId="64F07E59">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贮存场所名称</w:t>
                  </w:r>
                </w:p>
              </w:tc>
              <w:tc>
                <w:tcPr>
                  <w:tcW w:w="430" w:type="pct"/>
                  <w:tcBorders>
                    <w:top w:val="single" w:color="auto" w:sz="12" w:space="0"/>
                    <w:left w:val="single" w:color="auto" w:sz="4" w:space="0"/>
                    <w:right w:val="single" w:color="auto" w:sz="4" w:space="0"/>
                  </w:tcBorders>
                  <w:vAlign w:val="center"/>
                </w:tcPr>
                <w:p w14:paraId="6D2BA14D">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危险废物名称</w:t>
                  </w:r>
                </w:p>
              </w:tc>
              <w:tc>
                <w:tcPr>
                  <w:tcW w:w="300" w:type="pct"/>
                  <w:tcBorders>
                    <w:top w:val="single" w:color="auto" w:sz="12" w:space="0"/>
                    <w:left w:val="single" w:color="auto" w:sz="4" w:space="0"/>
                    <w:right w:val="single" w:color="auto" w:sz="4" w:space="0"/>
                  </w:tcBorders>
                  <w:vAlign w:val="center"/>
                </w:tcPr>
                <w:p w14:paraId="73DCB515">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危险废物类别</w:t>
                  </w:r>
                </w:p>
              </w:tc>
              <w:tc>
                <w:tcPr>
                  <w:tcW w:w="518" w:type="pct"/>
                  <w:tcBorders>
                    <w:top w:val="single" w:color="auto" w:sz="12" w:space="0"/>
                    <w:left w:val="single" w:color="auto" w:sz="4" w:space="0"/>
                    <w:right w:val="single" w:color="auto" w:sz="4" w:space="0"/>
                  </w:tcBorders>
                  <w:vAlign w:val="center"/>
                </w:tcPr>
                <w:p w14:paraId="58E7E1F8">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危险废物代码</w:t>
                  </w:r>
                </w:p>
              </w:tc>
              <w:tc>
                <w:tcPr>
                  <w:tcW w:w="352" w:type="pct"/>
                  <w:tcBorders>
                    <w:top w:val="single" w:color="auto" w:sz="12" w:space="0"/>
                    <w:left w:val="single" w:color="auto" w:sz="4" w:space="0"/>
                    <w:right w:val="single" w:color="auto" w:sz="4" w:space="0"/>
                  </w:tcBorders>
                  <w:vAlign w:val="center"/>
                </w:tcPr>
                <w:p w14:paraId="2EFF1D86">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位置</w:t>
                  </w:r>
                </w:p>
              </w:tc>
              <w:tc>
                <w:tcPr>
                  <w:tcW w:w="397" w:type="pct"/>
                  <w:tcBorders>
                    <w:top w:val="single" w:color="auto" w:sz="12" w:space="0"/>
                    <w:left w:val="single" w:color="auto" w:sz="4" w:space="0"/>
                    <w:right w:val="single" w:color="auto" w:sz="4" w:space="0"/>
                  </w:tcBorders>
                  <w:vAlign w:val="center"/>
                </w:tcPr>
                <w:p w14:paraId="4B373D48">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占地面积（m</w:t>
                  </w:r>
                  <w:r>
                    <w:rPr>
                      <w:rFonts w:hint="default" w:ascii="Times New Roman" w:hAnsi="Times New Roman" w:eastAsia="宋体" w:cs="Times New Roman"/>
                      <w:b/>
                      <w:bCs/>
                      <w:color w:val="auto"/>
                      <w:sz w:val="21"/>
                      <w:szCs w:val="21"/>
                      <w:vertAlign w:val="superscript"/>
                      <w:lang w:val="en-US" w:eastAsia="zh-CN" w:bidi="ar-SA"/>
                    </w:rPr>
                    <w:t>2</w:t>
                  </w:r>
                  <w:r>
                    <w:rPr>
                      <w:rFonts w:hint="default" w:ascii="Times New Roman" w:hAnsi="Times New Roman" w:eastAsia="宋体" w:cs="Times New Roman"/>
                      <w:b/>
                      <w:bCs/>
                      <w:color w:val="auto"/>
                      <w:sz w:val="21"/>
                      <w:szCs w:val="21"/>
                      <w:lang w:val="en-US" w:eastAsia="zh-CN" w:bidi="ar-SA"/>
                    </w:rPr>
                    <w:t>）</w:t>
                  </w:r>
                </w:p>
              </w:tc>
              <w:tc>
                <w:tcPr>
                  <w:tcW w:w="611" w:type="pct"/>
                  <w:tcBorders>
                    <w:top w:val="single" w:color="auto" w:sz="12" w:space="0"/>
                    <w:left w:val="single" w:color="auto" w:sz="4" w:space="0"/>
                    <w:right w:val="single" w:color="auto" w:sz="4" w:space="0"/>
                  </w:tcBorders>
                  <w:vAlign w:val="center"/>
                </w:tcPr>
                <w:p w14:paraId="4098E2EB">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贮存方式</w:t>
                  </w:r>
                </w:p>
              </w:tc>
              <w:tc>
                <w:tcPr>
                  <w:tcW w:w="583" w:type="pct"/>
                  <w:tcBorders>
                    <w:top w:val="single" w:color="auto" w:sz="12" w:space="0"/>
                    <w:left w:val="single" w:color="auto" w:sz="4" w:space="0"/>
                    <w:right w:val="single" w:color="auto" w:sz="4" w:space="0"/>
                  </w:tcBorders>
                  <w:vAlign w:val="center"/>
                </w:tcPr>
                <w:p w14:paraId="76FC703E">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产生量（t/a）</w:t>
                  </w:r>
                </w:p>
              </w:tc>
              <w:tc>
                <w:tcPr>
                  <w:tcW w:w="656" w:type="pct"/>
                  <w:tcBorders>
                    <w:top w:val="single" w:color="auto" w:sz="12" w:space="0"/>
                    <w:left w:val="single" w:color="auto" w:sz="4" w:space="0"/>
                    <w:right w:val="single" w:color="auto" w:sz="4" w:space="0"/>
                  </w:tcBorders>
                  <w:vAlign w:val="center"/>
                </w:tcPr>
                <w:p w14:paraId="233DAFF2">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最大暂存量t</w:t>
                  </w:r>
                </w:p>
              </w:tc>
              <w:tc>
                <w:tcPr>
                  <w:tcW w:w="427" w:type="pct"/>
                  <w:tcBorders>
                    <w:top w:val="single" w:color="auto" w:sz="12" w:space="0"/>
                    <w:left w:val="single" w:color="auto" w:sz="4" w:space="0"/>
                    <w:right w:val="single" w:color="auto" w:sz="4" w:space="0"/>
                  </w:tcBorders>
                  <w:vAlign w:val="center"/>
                </w:tcPr>
                <w:p w14:paraId="4DC9B8AC">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贮存能力（t/a）</w:t>
                  </w:r>
                </w:p>
              </w:tc>
              <w:tc>
                <w:tcPr>
                  <w:tcW w:w="388" w:type="pct"/>
                  <w:tcBorders>
                    <w:top w:val="single" w:color="auto" w:sz="12" w:space="0"/>
                    <w:left w:val="single" w:color="auto" w:sz="4" w:space="0"/>
                    <w:right w:val="nil"/>
                  </w:tcBorders>
                  <w:vAlign w:val="center"/>
                </w:tcPr>
                <w:p w14:paraId="2CB95F47">
                  <w:pPr>
                    <w:widowControl w:val="0"/>
                    <w:autoSpaceDE w:val="0"/>
                    <w:autoSpaceDN w:val="0"/>
                    <w:adjustRightInd w:val="0"/>
                    <w:spacing w:line="360" w:lineRule="exac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贮存周期</w:t>
                  </w:r>
                </w:p>
              </w:tc>
            </w:tr>
            <w:tr w14:paraId="22B4A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restart"/>
                  <w:tcBorders>
                    <w:left w:val="nil"/>
                    <w:right w:val="single" w:color="auto" w:sz="4" w:space="0"/>
                  </w:tcBorders>
                  <w:vAlign w:val="center"/>
                </w:tcPr>
                <w:p w14:paraId="03F4925A">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危废暂存间</w:t>
                  </w:r>
                </w:p>
              </w:tc>
              <w:tc>
                <w:tcPr>
                  <w:tcW w:w="430" w:type="pct"/>
                  <w:tcBorders>
                    <w:left w:val="single" w:color="auto" w:sz="4" w:space="0"/>
                    <w:right w:val="single" w:color="auto" w:sz="4" w:space="0"/>
                  </w:tcBorders>
                  <w:shd w:val="clear" w:color="auto" w:fill="auto"/>
                  <w:vAlign w:val="center"/>
                </w:tcPr>
                <w:p w14:paraId="325573C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废胶水</w:t>
                  </w:r>
                </w:p>
              </w:tc>
              <w:tc>
                <w:tcPr>
                  <w:tcW w:w="300" w:type="pct"/>
                  <w:tcBorders>
                    <w:left w:val="single" w:color="auto" w:sz="4" w:space="0"/>
                    <w:right w:val="single" w:color="auto" w:sz="4" w:space="0"/>
                  </w:tcBorders>
                  <w:shd w:val="clear" w:color="auto" w:fill="auto"/>
                  <w:vAlign w:val="center"/>
                </w:tcPr>
                <w:p w14:paraId="5BB5184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18" w:type="pct"/>
                  <w:tcBorders>
                    <w:left w:val="single" w:color="auto" w:sz="4" w:space="0"/>
                    <w:right w:val="single" w:color="auto" w:sz="4" w:space="0"/>
                  </w:tcBorders>
                  <w:shd w:val="clear" w:color="auto" w:fill="auto"/>
                  <w:vAlign w:val="center"/>
                </w:tcPr>
                <w:p w14:paraId="4F4932C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352" w:type="pct"/>
                  <w:vMerge w:val="restart"/>
                  <w:tcBorders>
                    <w:left w:val="single" w:color="auto" w:sz="4" w:space="0"/>
                    <w:right w:val="single" w:color="auto" w:sz="4" w:space="0"/>
                  </w:tcBorders>
                  <w:vAlign w:val="center"/>
                </w:tcPr>
                <w:p w14:paraId="4CCFD9C1">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厂区西</w:t>
                  </w:r>
                  <w:r>
                    <w:rPr>
                      <w:rFonts w:hint="default" w:ascii="Times New Roman" w:hAnsi="Times New Roman" w:eastAsia="宋体" w:cs="Times New Roman"/>
                      <w:color w:val="auto"/>
                      <w:sz w:val="21"/>
                      <w:szCs w:val="21"/>
                      <w:lang w:val="en-US" w:eastAsia="zh-CN" w:bidi="ar-SA"/>
                    </w:rPr>
                    <w:t>南角</w:t>
                  </w:r>
                </w:p>
              </w:tc>
              <w:tc>
                <w:tcPr>
                  <w:tcW w:w="397" w:type="pct"/>
                  <w:vMerge w:val="restart"/>
                  <w:tcBorders>
                    <w:left w:val="single" w:color="auto" w:sz="4" w:space="0"/>
                    <w:right w:val="single" w:color="auto" w:sz="4" w:space="0"/>
                  </w:tcBorders>
                  <w:vAlign w:val="center"/>
                </w:tcPr>
                <w:p w14:paraId="06320C8F">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17.5</w:t>
                  </w:r>
                </w:p>
              </w:tc>
              <w:tc>
                <w:tcPr>
                  <w:tcW w:w="611" w:type="pct"/>
                  <w:tcBorders>
                    <w:left w:val="single" w:color="auto" w:sz="4" w:space="0"/>
                    <w:right w:val="single" w:color="auto" w:sz="4" w:space="0"/>
                  </w:tcBorders>
                  <w:vAlign w:val="center"/>
                </w:tcPr>
                <w:p w14:paraId="2F4C8437">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650F077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1.0</w:t>
                  </w:r>
                </w:p>
              </w:tc>
              <w:tc>
                <w:tcPr>
                  <w:tcW w:w="656" w:type="pct"/>
                  <w:tcBorders>
                    <w:left w:val="single" w:color="auto" w:sz="4" w:space="0"/>
                    <w:right w:val="single" w:color="auto" w:sz="4" w:space="0"/>
                  </w:tcBorders>
                  <w:vAlign w:val="center"/>
                </w:tcPr>
                <w:p w14:paraId="471941B6">
                  <w:pPr>
                    <w:widowControl w:val="0"/>
                    <w:autoSpaceDE w:val="0"/>
                    <w:autoSpaceDN w:val="0"/>
                    <w:adjustRightInd w:val="0"/>
                    <w:spacing w:line="360" w:lineRule="exact"/>
                    <w:jc w:val="center"/>
                    <w:rPr>
                      <w:rFonts w:hint="default" w:cs="Times New Roman"/>
                      <w:color w:val="auto"/>
                      <w:sz w:val="21"/>
                      <w:szCs w:val="21"/>
                      <w:lang w:val="en-US" w:eastAsia="zh-CN" w:bidi="ar-SA"/>
                    </w:rPr>
                  </w:pPr>
                  <w:r>
                    <w:rPr>
                      <w:rFonts w:hint="eastAsia" w:cs="Times New Roman"/>
                      <w:color w:val="auto"/>
                      <w:sz w:val="21"/>
                      <w:szCs w:val="21"/>
                      <w:lang w:val="en-US" w:eastAsia="zh-CN" w:bidi="ar-SA"/>
                    </w:rPr>
                    <w:t>0.25</w:t>
                  </w:r>
                </w:p>
              </w:tc>
              <w:tc>
                <w:tcPr>
                  <w:tcW w:w="427" w:type="pct"/>
                  <w:vMerge w:val="restart"/>
                  <w:tcBorders>
                    <w:left w:val="single" w:color="auto" w:sz="4" w:space="0"/>
                    <w:right w:val="single" w:color="auto" w:sz="4" w:space="0"/>
                  </w:tcBorders>
                  <w:vAlign w:val="center"/>
                </w:tcPr>
                <w:p w14:paraId="1FDCA624">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26.25</w:t>
                  </w:r>
                </w:p>
              </w:tc>
              <w:tc>
                <w:tcPr>
                  <w:tcW w:w="388" w:type="pct"/>
                  <w:tcBorders>
                    <w:left w:val="single" w:color="auto" w:sz="4" w:space="0"/>
                    <w:right w:val="nil"/>
                  </w:tcBorders>
                  <w:vAlign w:val="center"/>
                </w:tcPr>
                <w:p w14:paraId="13961C74">
                  <w:pPr>
                    <w:widowControl w:val="0"/>
                    <w:autoSpaceDE w:val="0"/>
                    <w:autoSpaceDN w:val="0"/>
                    <w:adjustRightInd w:val="0"/>
                    <w:spacing w:line="360" w:lineRule="exact"/>
                    <w:jc w:val="center"/>
                    <w:rPr>
                      <w:rFonts w:hint="eastAsia" w:cs="Times New Roman"/>
                      <w:color w:val="auto"/>
                      <w:sz w:val="21"/>
                      <w:szCs w:val="21"/>
                      <w:lang w:val="en-US" w:eastAsia="zh-CN" w:bidi="ar-SA"/>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74116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480F2ACE">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3BEFD7E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废清洗液</w:t>
                  </w:r>
                </w:p>
              </w:tc>
              <w:tc>
                <w:tcPr>
                  <w:tcW w:w="300" w:type="pct"/>
                  <w:tcBorders>
                    <w:left w:val="single" w:color="auto" w:sz="4" w:space="0"/>
                    <w:right w:val="single" w:color="auto" w:sz="4" w:space="0"/>
                  </w:tcBorders>
                  <w:shd w:val="clear" w:color="auto" w:fill="auto"/>
                  <w:vAlign w:val="center"/>
                </w:tcPr>
                <w:p w14:paraId="45FD074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18" w:type="pct"/>
                  <w:tcBorders>
                    <w:left w:val="single" w:color="auto" w:sz="4" w:space="0"/>
                    <w:right w:val="single" w:color="auto" w:sz="4" w:space="0"/>
                  </w:tcBorders>
                  <w:shd w:val="clear" w:color="auto" w:fill="auto"/>
                  <w:vAlign w:val="center"/>
                </w:tcPr>
                <w:p w14:paraId="23D03F3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352" w:type="pct"/>
                  <w:vMerge w:val="continue"/>
                  <w:tcBorders>
                    <w:left w:val="single" w:color="auto" w:sz="4" w:space="0"/>
                    <w:right w:val="single" w:color="auto" w:sz="4" w:space="0"/>
                  </w:tcBorders>
                  <w:vAlign w:val="center"/>
                </w:tcPr>
                <w:p w14:paraId="4C66E18E">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4A91615A">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611" w:type="pct"/>
                  <w:tcBorders>
                    <w:left w:val="single" w:color="auto" w:sz="4" w:space="0"/>
                    <w:right w:val="single" w:color="auto" w:sz="4" w:space="0"/>
                  </w:tcBorders>
                  <w:vAlign w:val="center"/>
                </w:tcPr>
                <w:p w14:paraId="171E222A">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7921500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3.8</w:t>
                  </w:r>
                </w:p>
              </w:tc>
              <w:tc>
                <w:tcPr>
                  <w:tcW w:w="656" w:type="pct"/>
                  <w:tcBorders>
                    <w:left w:val="single" w:color="auto" w:sz="4" w:space="0"/>
                    <w:right w:val="single" w:color="auto" w:sz="4" w:space="0"/>
                  </w:tcBorders>
                  <w:vAlign w:val="center"/>
                </w:tcPr>
                <w:p w14:paraId="703EB818">
                  <w:pPr>
                    <w:widowControl w:val="0"/>
                    <w:autoSpaceDE w:val="0"/>
                    <w:autoSpaceDN w:val="0"/>
                    <w:adjustRightInd w:val="0"/>
                    <w:spacing w:line="360" w:lineRule="exact"/>
                    <w:jc w:val="center"/>
                    <w:rPr>
                      <w:rFonts w:hint="default" w:cs="Times New Roman"/>
                      <w:color w:val="auto"/>
                      <w:sz w:val="21"/>
                      <w:szCs w:val="21"/>
                      <w:lang w:val="en-US" w:eastAsia="zh-CN" w:bidi="ar-SA"/>
                    </w:rPr>
                  </w:pPr>
                  <w:r>
                    <w:rPr>
                      <w:rFonts w:hint="eastAsia" w:cs="Times New Roman"/>
                      <w:color w:val="auto"/>
                      <w:sz w:val="21"/>
                      <w:szCs w:val="21"/>
                      <w:lang w:val="en-US" w:eastAsia="zh-CN" w:bidi="ar-SA"/>
                    </w:rPr>
                    <w:t>1.0</w:t>
                  </w:r>
                </w:p>
              </w:tc>
              <w:tc>
                <w:tcPr>
                  <w:tcW w:w="427" w:type="pct"/>
                  <w:vMerge w:val="continue"/>
                  <w:tcBorders>
                    <w:left w:val="single" w:color="auto" w:sz="4" w:space="0"/>
                    <w:right w:val="single" w:color="auto" w:sz="4" w:space="0"/>
                  </w:tcBorders>
                  <w:vAlign w:val="center"/>
                </w:tcPr>
                <w:p w14:paraId="2B028CFB">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0A7747A6">
                  <w:pPr>
                    <w:widowControl w:val="0"/>
                    <w:autoSpaceDE w:val="0"/>
                    <w:autoSpaceDN w:val="0"/>
                    <w:adjustRightInd w:val="0"/>
                    <w:spacing w:line="360" w:lineRule="exact"/>
                    <w:jc w:val="center"/>
                    <w:rPr>
                      <w:rFonts w:hint="eastAsia" w:cs="Times New Roman"/>
                      <w:color w:val="auto"/>
                      <w:sz w:val="21"/>
                      <w:szCs w:val="21"/>
                      <w:lang w:val="en-US" w:eastAsia="zh-CN" w:bidi="ar-SA"/>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483AC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20347B6D">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3B71880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highlight w:val="none"/>
                      <w:lang w:val="en-US" w:eastAsia="zh-CN"/>
                    </w:rPr>
                    <w:t>废涂液</w:t>
                  </w:r>
                </w:p>
              </w:tc>
              <w:tc>
                <w:tcPr>
                  <w:tcW w:w="300" w:type="pct"/>
                  <w:tcBorders>
                    <w:left w:val="single" w:color="auto" w:sz="4" w:space="0"/>
                    <w:right w:val="single" w:color="auto" w:sz="4" w:space="0"/>
                  </w:tcBorders>
                  <w:shd w:val="clear" w:color="auto" w:fill="auto"/>
                  <w:vAlign w:val="center"/>
                </w:tcPr>
                <w:p w14:paraId="0EDB07C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18" w:type="pct"/>
                  <w:tcBorders>
                    <w:left w:val="single" w:color="auto" w:sz="4" w:space="0"/>
                    <w:right w:val="single" w:color="auto" w:sz="4" w:space="0"/>
                  </w:tcBorders>
                  <w:shd w:val="clear" w:color="auto" w:fill="auto"/>
                  <w:vAlign w:val="center"/>
                </w:tcPr>
                <w:p w14:paraId="5AB2780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352" w:type="pct"/>
                  <w:vMerge w:val="continue"/>
                  <w:tcBorders>
                    <w:left w:val="single" w:color="auto" w:sz="4" w:space="0"/>
                    <w:right w:val="single" w:color="auto" w:sz="4" w:space="0"/>
                  </w:tcBorders>
                  <w:vAlign w:val="center"/>
                </w:tcPr>
                <w:p w14:paraId="2D612448">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62A0D550">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611" w:type="pct"/>
                  <w:tcBorders>
                    <w:left w:val="single" w:color="auto" w:sz="4" w:space="0"/>
                    <w:right w:val="single" w:color="auto" w:sz="4" w:space="0"/>
                  </w:tcBorders>
                  <w:vAlign w:val="center"/>
                </w:tcPr>
                <w:p w14:paraId="2CD4CB10">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35B55E7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10</w:t>
                  </w:r>
                </w:p>
              </w:tc>
              <w:tc>
                <w:tcPr>
                  <w:tcW w:w="656" w:type="pct"/>
                  <w:tcBorders>
                    <w:left w:val="single" w:color="auto" w:sz="4" w:space="0"/>
                    <w:right w:val="single" w:color="auto" w:sz="4" w:space="0"/>
                  </w:tcBorders>
                  <w:vAlign w:val="center"/>
                </w:tcPr>
                <w:p w14:paraId="305D7B37">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2.5</w:t>
                  </w:r>
                </w:p>
              </w:tc>
              <w:tc>
                <w:tcPr>
                  <w:tcW w:w="427" w:type="pct"/>
                  <w:vMerge w:val="continue"/>
                  <w:tcBorders>
                    <w:left w:val="single" w:color="auto" w:sz="4" w:space="0"/>
                    <w:right w:val="single" w:color="auto" w:sz="4" w:space="0"/>
                  </w:tcBorders>
                  <w:vAlign w:val="center"/>
                </w:tcPr>
                <w:p w14:paraId="111864BB">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52C2E374">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6C62D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698F6FBB">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0BE0DEE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废渣</w:t>
                  </w:r>
                </w:p>
              </w:tc>
              <w:tc>
                <w:tcPr>
                  <w:tcW w:w="300" w:type="pct"/>
                  <w:tcBorders>
                    <w:left w:val="single" w:color="auto" w:sz="4" w:space="0"/>
                    <w:right w:val="single" w:color="auto" w:sz="4" w:space="0"/>
                  </w:tcBorders>
                  <w:shd w:val="clear" w:color="auto" w:fill="auto"/>
                  <w:vAlign w:val="center"/>
                </w:tcPr>
                <w:p w14:paraId="20240CC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18" w:type="pct"/>
                  <w:tcBorders>
                    <w:left w:val="single" w:color="auto" w:sz="4" w:space="0"/>
                    <w:right w:val="single" w:color="auto" w:sz="4" w:space="0"/>
                  </w:tcBorders>
                  <w:shd w:val="clear" w:color="auto" w:fill="auto"/>
                  <w:vAlign w:val="center"/>
                </w:tcPr>
                <w:p w14:paraId="2DA43E0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352" w:type="pct"/>
                  <w:vMerge w:val="continue"/>
                  <w:tcBorders>
                    <w:left w:val="single" w:color="auto" w:sz="4" w:space="0"/>
                    <w:right w:val="single" w:color="auto" w:sz="4" w:space="0"/>
                  </w:tcBorders>
                  <w:vAlign w:val="center"/>
                </w:tcPr>
                <w:p w14:paraId="067FAA62">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172D0F5F">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3B3668B2">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2FBCD97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656" w:type="pct"/>
                  <w:tcBorders>
                    <w:left w:val="single" w:color="auto" w:sz="4" w:space="0"/>
                    <w:right w:val="single" w:color="auto" w:sz="4" w:space="0"/>
                  </w:tcBorders>
                  <w:vAlign w:val="center"/>
                </w:tcPr>
                <w:p w14:paraId="5B6E458D">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5</w:t>
                  </w:r>
                </w:p>
              </w:tc>
              <w:tc>
                <w:tcPr>
                  <w:tcW w:w="427" w:type="pct"/>
                  <w:vMerge w:val="continue"/>
                  <w:tcBorders>
                    <w:left w:val="single" w:color="auto" w:sz="4" w:space="0"/>
                    <w:right w:val="single" w:color="auto" w:sz="4" w:space="0"/>
                  </w:tcBorders>
                  <w:vAlign w:val="center"/>
                </w:tcPr>
                <w:p w14:paraId="40040C76">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11000D2A">
                  <w:pPr>
                    <w:autoSpaceDE w:val="0"/>
                    <w:autoSpaceDN w:val="0"/>
                    <w:adjustRightInd w:val="0"/>
                    <w:spacing w:line="360" w:lineRule="exact"/>
                    <w:jc w:val="center"/>
                    <w:rPr>
                      <w:rFonts w:hint="default" w:ascii="Times New Roman" w:hAnsi="Times New Roman" w:eastAsia="宋体" w:cs="Times New Roman"/>
                      <w:color w:val="auto"/>
                      <w:szCs w:val="21"/>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636D6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52BDD647">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672F618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废活性炭</w:t>
                  </w:r>
                </w:p>
              </w:tc>
              <w:tc>
                <w:tcPr>
                  <w:tcW w:w="300" w:type="pct"/>
                  <w:tcBorders>
                    <w:left w:val="single" w:color="auto" w:sz="4" w:space="0"/>
                    <w:right w:val="single" w:color="auto" w:sz="4" w:space="0"/>
                  </w:tcBorders>
                  <w:shd w:val="clear" w:color="auto" w:fill="auto"/>
                  <w:vAlign w:val="center"/>
                </w:tcPr>
                <w:p w14:paraId="5B2EA30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HW49</w:t>
                  </w:r>
                </w:p>
              </w:tc>
              <w:tc>
                <w:tcPr>
                  <w:tcW w:w="518" w:type="pct"/>
                  <w:tcBorders>
                    <w:left w:val="single" w:color="auto" w:sz="4" w:space="0"/>
                    <w:right w:val="single" w:color="auto" w:sz="4" w:space="0"/>
                  </w:tcBorders>
                  <w:shd w:val="clear" w:color="auto" w:fill="auto"/>
                  <w:vAlign w:val="center"/>
                </w:tcPr>
                <w:p w14:paraId="32B3059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900-039-49</w:t>
                  </w:r>
                </w:p>
              </w:tc>
              <w:tc>
                <w:tcPr>
                  <w:tcW w:w="352" w:type="pct"/>
                  <w:vMerge w:val="continue"/>
                  <w:tcBorders>
                    <w:left w:val="single" w:color="auto" w:sz="4" w:space="0"/>
                    <w:right w:val="single" w:color="auto" w:sz="4" w:space="0"/>
                  </w:tcBorders>
                  <w:vAlign w:val="center"/>
                </w:tcPr>
                <w:p w14:paraId="6600E80D">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67D88763">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6B5704ED">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w:t>
                  </w:r>
                  <w:r>
                    <w:rPr>
                      <w:rFonts w:hint="eastAsia" w:cs="Times New Roman"/>
                      <w:color w:val="auto"/>
                      <w:sz w:val="21"/>
                      <w:szCs w:val="21"/>
                      <w:lang w:val="en-US" w:eastAsia="zh-CN" w:bidi="ar-SA"/>
                    </w:rPr>
                    <w:t>袋装</w:t>
                  </w:r>
                </w:p>
              </w:tc>
              <w:tc>
                <w:tcPr>
                  <w:tcW w:w="583" w:type="pct"/>
                  <w:tcBorders>
                    <w:left w:val="single" w:color="auto" w:sz="4" w:space="0"/>
                    <w:right w:val="single" w:color="auto" w:sz="4" w:space="0"/>
                  </w:tcBorders>
                  <w:shd w:val="clear" w:color="auto" w:fill="auto"/>
                  <w:vAlign w:val="center"/>
                </w:tcPr>
                <w:p w14:paraId="23F9109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59.77</w:t>
                  </w:r>
                </w:p>
              </w:tc>
              <w:tc>
                <w:tcPr>
                  <w:tcW w:w="656" w:type="pct"/>
                  <w:tcBorders>
                    <w:left w:val="single" w:color="auto" w:sz="4" w:space="0"/>
                    <w:right w:val="single" w:color="auto" w:sz="4" w:space="0"/>
                  </w:tcBorders>
                  <w:vAlign w:val="center"/>
                </w:tcPr>
                <w:p w14:paraId="0AA5B7D2">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15</w:t>
                  </w:r>
                </w:p>
              </w:tc>
              <w:tc>
                <w:tcPr>
                  <w:tcW w:w="427" w:type="pct"/>
                  <w:vMerge w:val="continue"/>
                  <w:tcBorders>
                    <w:left w:val="single" w:color="auto" w:sz="4" w:space="0"/>
                    <w:right w:val="single" w:color="auto" w:sz="4" w:space="0"/>
                  </w:tcBorders>
                  <w:vAlign w:val="center"/>
                </w:tcPr>
                <w:p w14:paraId="34106BA8">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69D27B76">
                  <w:pPr>
                    <w:autoSpaceDE w:val="0"/>
                    <w:autoSpaceDN w:val="0"/>
                    <w:adjustRightInd w:val="0"/>
                    <w:spacing w:line="360" w:lineRule="exac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3个月</w:t>
                  </w:r>
                </w:p>
              </w:tc>
            </w:tr>
            <w:tr w14:paraId="076CF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51C9F0A1">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0EB260B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水喷淋废水</w:t>
                  </w:r>
                </w:p>
              </w:tc>
              <w:tc>
                <w:tcPr>
                  <w:tcW w:w="300" w:type="pct"/>
                  <w:tcBorders>
                    <w:left w:val="single" w:color="auto" w:sz="4" w:space="0"/>
                    <w:right w:val="single" w:color="auto" w:sz="4" w:space="0"/>
                  </w:tcBorders>
                  <w:shd w:val="clear" w:color="auto" w:fill="auto"/>
                  <w:vAlign w:val="center"/>
                </w:tcPr>
                <w:p w14:paraId="4C7482A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HW06</w:t>
                  </w:r>
                </w:p>
              </w:tc>
              <w:tc>
                <w:tcPr>
                  <w:tcW w:w="518" w:type="pct"/>
                  <w:tcBorders>
                    <w:left w:val="single" w:color="auto" w:sz="4" w:space="0"/>
                    <w:right w:val="single" w:color="auto" w:sz="4" w:space="0"/>
                  </w:tcBorders>
                  <w:shd w:val="clear" w:color="auto" w:fill="auto"/>
                  <w:vAlign w:val="center"/>
                </w:tcPr>
                <w:p w14:paraId="770D483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352" w:type="pct"/>
                  <w:vMerge w:val="continue"/>
                  <w:tcBorders>
                    <w:left w:val="single" w:color="auto" w:sz="4" w:space="0"/>
                    <w:right w:val="single" w:color="auto" w:sz="4" w:space="0"/>
                  </w:tcBorders>
                  <w:vAlign w:val="center"/>
                </w:tcPr>
                <w:p w14:paraId="6815F31A">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1FA09938">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45FB7728">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12B8410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p>
              </w:tc>
              <w:tc>
                <w:tcPr>
                  <w:tcW w:w="656" w:type="pct"/>
                  <w:tcBorders>
                    <w:left w:val="single" w:color="auto" w:sz="4" w:space="0"/>
                    <w:right w:val="single" w:color="auto" w:sz="4" w:space="0"/>
                  </w:tcBorders>
                  <w:shd w:val="clear" w:color="auto" w:fill="auto"/>
                  <w:vAlign w:val="center"/>
                </w:tcPr>
                <w:p w14:paraId="5B29323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p>
              </w:tc>
              <w:tc>
                <w:tcPr>
                  <w:tcW w:w="427" w:type="pct"/>
                  <w:vMerge w:val="continue"/>
                  <w:tcBorders>
                    <w:left w:val="single" w:color="auto" w:sz="4" w:space="0"/>
                    <w:right w:val="single" w:color="auto" w:sz="4" w:space="0"/>
                  </w:tcBorders>
                  <w:vAlign w:val="center"/>
                </w:tcPr>
                <w:p w14:paraId="7E63BC6D">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4DBB2900">
                  <w:pPr>
                    <w:widowControl w:val="0"/>
                    <w:autoSpaceDE w:val="0"/>
                    <w:autoSpaceDN w:val="0"/>
                    <w:adjustRightInd w:val="0"/>
                    <w:spacing w:line="360" w:lineRule="exact"/>
                    <w:jc w:val="center"/>
                    <w:rPr>
                      <w:rFonts w:hint="default" w:ascii="Times New Roman" w:hAnsi="Times New Roman" w:eastAsia="宋体" w:cs="Times New Roman"/>
                      <w:color w:val="auto"/>
                      <w:szCs w:val="21"/>
                      <w:lang w:val="en-US"/>
                    </w:rPr>
                  </w:pPr>
                  <w:r>
                    <w:rPr>
                      <w:rFonts w:hint="eastAsia" w:cs="Times New Roman"/>
                      <w:color w:val="auto"/>
                      <w:szCs w:val="21"/>
                      <w:lang w:val="en-US" w:eastAsia="zh-CN"/>
                    </w:rPr>
                    <w:t>3个月</w:t>
                  </w:r>
                </w:p>
              </w:tc>
            </w:tr>
            <w:tr w14:paraId="2691D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532977A4">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4AAD7A8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废机油</w:t>
                  </w:r>
                </w:p>
              </w:tc>
              <w:tc>
                <w:tcPr>
                  <w:tcW w:w="300" w:type="pct"/>
                  <w:tcBorders>
                    <w:left w:val="single" w:color="auto" w:sz="4" w:space="0"/>
                    <w:right w:val="single" w:color="auto" w:sz="4" w:space="0"/>
                  </w:tcBorders>
                  <w:shd w:val="clear" w:color="auto" w:fill="auto"/>
                  <w:vAlign w:val="center"/>
                </w:tcPr>
                <w:p w14:paraId="1A30C7D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18" w:type="pct"/>
                  <w:tcBorders>
                    <w:left w:val="single" w:color="auto" w:sz="4" w:space="0"/>
                    <w:right w:val="single" w:color="auto" w:sz="4" w:space="0"/>
                  </w:tcBorders>
                  <w:shd w:val="clear" w:color="auto" w:fill="auto"/>
                  <w:vAlign w:val="center"/>
                </w:tcPr>
                <w:p w14:paraId="7A98C2C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352" w:type="pct"/>
                  <w:vMerge w:val="continue"/>
                  <w:tcBorders>
                    <w:left w:val="single" w:color="auto" w:sz="4" w:space="0"/>
                    <w:right w:val="single" w:color="auto" w:sz="4" w:space="0"/>
                  </w:tcBorders>
                  <w:vAlign w:val="center"/>
                </w:tcPr>
                <w:p w14:paraId="3C392595">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0FFF6DD8">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41E2DDCE">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right w:val="single" w:color="auto" w:sz="4" w:space="0"/>
                  </w:tcBorders>
                  <w:shd w:val="clear" w:color="auto" w:fill="auto"/>
                  <w:vAlign w:val="center"/>
                </w:tcPr>
                <w:p w14:paraId="1FADE10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0.5</w:t>
                  </w:r>
                </w:p>
              </w:tc>
              <w:tc>
                <w:tcPr>
                  <w:tcW w:w="656" w:type="pct"/>
                  <w:tcBorders>
                    <w:left w:val="single" w:color="auto" w:sz="4" w:space="0"/>
                    <w:right w:val="single" w:color="auto" w:sz="4" w:space="0"/>
                  </w:tcBorders>
                  <w:shd w:val="clear" w:color="auto" w:fill="auto"/>
                  <w:vAlign w:val="center"/>
                </w:tcPr>
                <w:p w14:paraId="5FBA397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0.125</w:t>
                  </w:r>
                </w:p>
              </w:tc>
              <w:tc>
                <w:tcPr>
                  <w:tcW w:w="427" w:type="pct"/>
                  <w:vMerge w:val="continue"/>
                  <w:tcBorders>
                    <w:left w:val="single" w:color="auto" w:sz="4" w:space="0"/>
                    <w:right w:val="single" w:color="auto" w:sz="4" w:space="0"/>
                  </w:tcBorders>
                  <w:vAlign w:val="center"/>
                </w:tcPr>
                <w:p w14:paraId="15DA8681">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5CA7AE94">
                  <w:pPr>
                    <w:autoSpaceDE w:val="0"/>
                    <w:autoSpaceDN w:val="0"/>
                    <w:adjustRightInd w:val="0"/>
                    <w:spacing w:line="360" w:lineRule="exact"/>
                    <w:jc w:val="center"/>
                    <w:rPr>
                      <w:rFonts w:hint="default" w:ascii="Times New Roman" w:hAnsi="Times New Roman" w:eastAsia="宋体" w:cs="Times New Roman"/>
                      <w:color w:val="auto"/>
                      <w:szCs w:val="21"/>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2461C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0DBE3215">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65C1F9F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w:t>
                  </w:r>
                  <w:r>
                    <w:rPr>
                      <w:rFonts w:hint="eastAsia" w:cs="Times New Roman"/>
                      <w:b w:val="0"/>
                      <w:bCs w:val="0"/>
                      <w:color w:val="auto"/>
                      <w:sz w:val="21"/>
                      <w:szCs w:val="21"/>
                      <w:lang w:val="en-US" w:eastAsia="zh-CN" w:bidi="ar-SA"/>
                    </w:rPr>
                    <w:t>油</w:t>
                  </w:r>
                  <w:r>
                    <w:rPr>
                      <w:rFonts w:hint="default" w:ascii="Times New Roman" w:hAnsi="Times New Roman" w:eastAsia="宋体" w:cs="Times New Roman"/>
                      <w:b w:val="0"/>
                      <w:bCs w:val="0"/>
                      <w:color w:val="auto"/>
                      <w:sz w:val="21"/>
                      <w:szCs w:val="21"/>
                      <w:lang w:val="en-US" w:eastAsia="zh-CN" w:bidi="ar-SA"/>
                    </w:rPr>
                    <w:t>桶</w:t>
                  </w:r>
                </w:p>
              </w:tc>
              <w:tc>
                <w:tcPr>
                  <w:tcW w:w="300" w:type="pct"/>
                  <w:tcBorders>
                    <w:left w:val="single" w:color="auto" w:sz="4" w:space="0"/>
                    <w:right w:val="single" w:color="auto" w:sz="4" w:space="0"/>
                  </w:tcBorders>
                  <w:shd w:val="clear" w:color="auto" w:fill="auto"/>
                  <w:vAlign w:val="center"/>
                </w:tcPr>
                <w:p w14:paraId="685E6E6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18" w:type="pct"/>
                  <w:tcBorders>
                    <w:left w:val="single" w:color="auto" w:sz="4" w:space="0"/>
                    <w:right w:val="single" w:color="auto" w:sz="4" w:space="0"/>
                  </w:tcBorders>
                  <w:shd w:val="clear" w:color="auto" w:fill="auto"/>
                  <w:vAlign w:val="center"/>
                </w:tcPr>
                <w:p w14:paraId="608A626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352" w:type="pct"/>
                  <w:vMerge w:val="continue"/>
                  <w:tcBorders>
                    <w:left w:val="single" w:color="auto" w:sz="4" w:space="0"/>
                    <w:right w:val="single" w:color="auto" w:sz="4" w:space="0"/>
                  </w:tcBorders>
                  <w:vAlign w:val="center"/>
                </w:tcPr>
                <w:p w14:paraId="0E7F9482">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41559D61">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2AC9CE4B">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w:t>
                  </w:r>
                </w:p>
              </w:tc>
              <w:tc>
                <w:tcPr>
                  <w:tcW w:w="583" w:type="pct"/>
                  <w:tcBorders>
                    <w:left w:val="single" w:color="auto" w:sz="4" w:space="0"/>
                    <w:right w:val="single" w:color="auto" w:sz="4" w:space="0"/>
                  </w:tcBorders>
                  <w:shd w:val="clear" w:color="auto" w:fill="auto"/>
                  <w:vAlign w:val="center"/>
                </w:tcPr>
                <w:p w14:paraId="6235AD8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0.5</w:t>
                  </w:r>
                </w:p>
              </w:tc>
              <w:tc>
                <w:tcPr>
                  <w:tcW w:w="656" w:type="pct"/>
                  <w:tcBorders>
                    <w:left w:val="single" w:color="auto" w:sz="4" w:space="0"/>
                    <w:right w:val="single" w:color="auto" w:sz="4" w:space="0"/>
                  </w:tcBorders>
                  <w:shd w:val="clear" w:color="auto" w:fill="auto"/>
                  <w:vAlign w:val="center"/>
                </w:tcPr>
                <w:p w14:paraId="6CC0D14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0.125</w:t>
                  </w:r>
                </w:p>
              </w:tc>
              <w:tc>
                <w:tcPr>
                  <w:tcW w:w="427" w:type="pct"/>
                  <w:vMerge w:val="continue"/>
                  <w:tcBorders>
                    <w:left w:val="single" w:color="auto" w:sz="4" w:space="0"/>
                    <w:right w:val="single" w:color="auto" w:sz="4" w:space="0"/>
                  </w:tcBorders>
                  <w:vAlign w:val="center"/>
                </w:tcPr>
                <w:p w14:paraId="05C64536">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075B960D">
                  <w:pPr>
                    <w:autoSpaceDE w:val="0"/>
                    <w:autoSpaceDN w:val="0"/>
                    <w:adjustRightInd w:val="0"/>
                    <w:spacing w:line="360" w:lineRule="exact"/>
                    <w:jc w:val="center"/>
                    <w:rPr>
                      <w:rFonts w:hint="default" w:ascii="Times New Roman" w:hAnsi="Times New Roman" w:eastAsia="宋体" w:cs="Times New Roman"/>
                      <w:color w:val="auto"/>
                      <w:szCs w:val="21"/>
                    </w:rPr>
                  </w:pPr>
                  <w:r>
                    <w:rPr>
                      <w:rFonts w:hint="eastAsia" w:cs="Times New Roman"/>
                      <w:color w:val="auto"/>
                      <w:sz w:val="21"/>
                      <w:szCs w:val="21"/>
                      <w:lang w:val="en-US" w:eastAsia="zh-CN" w:bidi="ar-SA"/>
                    </w:rPr>
                    <w:t>3</w:t>
                  </w:r>
                  <w:r>
                    <w:rPr>
                      <w:rFonts w:hint="default" w:ascii="Times New Roman" w:hAnsi="Times New Roman" w:eastAsia="宋体" w:cs="Times New Roman"/>
                      <w:color w:val="auto"/>
                      <w:sz w:val="21"/>
                      <w:szCs w:val="21"/>
                      <w:lang w:val="en-US" w:eastAsia="zh-CN" w:bidi="ar-SA"/>
                    </w:rPr>
                    <w:t>个月</w:t>
                  </w:r>
                </w:p>
              </w:tc>
            </w:tr>
            <w:tr w14:paraId="1E4C6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right w:val="single" w:color="auto" w:sz="4" w:space="0"/>
                  </w:tcBorders>
                  <w:vAlign w:val="center"/>
                </w:tcPr>
                <w:p w14:paraId="423C38CB">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right w:val="single" w:color="auto" w:sz="4" w:space="0"/>
                  </w:tcBorders>
                  <w:shd w:val="clear" w:color="auto" w:fill="auto"/>
                  <w:vAlign w:val="center"/>
                </w:tcPr>
                <w:p w14:paraId="273ADDF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废桶</w:t>
                  </w:r>
                </w:p>
              </w:tc>
              <w:tc>
                <w:tcPr>
                  <w:tcW w:w="300" w:type="pct"/>
                  <w:tcBorders>
                    <w:left w:val="single" w:color="auto" w:sz="4" w:space="0"/>
                    <w:right w:val="single" w:color="auto" w:sz="4" w:space="0"/>
                  </w:tcBorders>
                  <w:shd w:val="clear" w:color="auto" w:fill="auto"/>
                  <w:vAlign w:val="center"/>
                </w:tcPr>
                <w:p w14:paraId="274BDF3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HW49</w:t>
                  </w:r>
                </w:p>
              </w:tc>
              <w:tc>
                <w:tcPr>
                  <w:tcW w:w="518" w:type="pct"/>
                  <w:tcBorders>
                    <w:left w:val="single" w:color="auto" w:sz="4" w:space="0"/>
                    <w:right w:val="single" w:color="auto" w:sz="4" w:space="0"/>
                  </w:tcBorders>
                  <w:shd w:val="clear" w:color="auto" w:fill="auto"/>
                  <w:vAlign w:val="center"/>
                </w:tcPr>
                <w:p w14:paraId="11AC11A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900-047-49</w:t>
                  </w:r>
                </w:p>
              </w:tc>
              <w:tc>
                <w:tcPr>
                  <w:tcW w:w="352" w:type="pct"/>
                  <w:vMerge w:val="continue"/>
                  <w:tcBorders>
                    <w:left w:val="single" w:color="auto" w:sz="4" w:space="0"/>
                    <w:right w:val="single" w:color="auto" w:sz="4" w:space="0"/>
                  </w:tcBorders>
                  <w:vAlign w:val="center"/>
                </w:tcPr>
                <w:p w14:paraId="1FC88010">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right w:val="single" w:color="auto" w:sz="4" w:space="0"/>
                  </w:tcBorders>
                  <w:vAlign w:val="center"/>
                </w:tcPr>
                <w:p w14:paraId="0C832F07">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right w:val="single" w:color="auto" w:sz="4" w:space="0"/>
                  </w:tcBorders>
                  <w:vAlign w:val="center"/>
                </w:tcPr>
                <w:p w14:paraId="2FDC6B5C">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w:t>
                  </w:r>
                </w:p>
              </w:tc>
              <w:tc>
                <w:tcPr>
                  <w:tcW w:w="583" w:type="pct"/>
                  <w:tcBorders>
                    <w:left w:val="single" w:color="auto" w:sz="4" w:space="0"/>
                    <w:right w:val="single" w:color="auto" w:sz="4" w:space="0"/>
                  </w:tcBorders>
                  <w:shd w:val="clear" w:color="auto" w:fill="auto"/>
                  <w:vAlign w:val="center"/>
                </w:tcPr>
                <w:p w14:paraId="063C054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3.5</w:t>
                  </w:r>
                </w:p>
              </w:tc>
              <w:tc>
                <w:tcPr>
                  <w:tcW w:w="656" w:type="pct"/>
                  <w:tcBorders>
                    <w:left w:val="single" w:color="auto" w:sz="4" w:space="0"/>
                    <w:right w:val="single" w:color="auto" w:sz="4" w:space="0"/>
                  </w:tcBorders>
                  <w:shd w:val="clear" w:color="auto" w:fill="auto"/>
                  <w:vAlign w:val="center"/>
                </w:tcPr>
                <w:p w14:paraId="1AC77A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0.875</w:t>
                  </w:r>
                </w:p>
              </w:tc>
              <w:tc>
                <w:tcPr>
                  <w:tcW w:w="427" w:type="pct"/>
                  <w:vMerge w:val="continue"/>
                  <w:tcBorders>
                    <w:left w:val="single" w:color="auto" w:sz="4" w:space="0"/>
                    <w:right w:val="single" w:color="auto" w:sz="4" w:space="0"/>
                  </w:tcBorders>
                  <w:vAlign w:val="center"/>
                </w:tcPr>
                <w:p w14:paraId="6FF82271">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right w:val="nil"/>
                  </w:tcBorders>
                  <w:vAlign w:val="center"/>
                </w:tcPr>
                <w:p w14:paraId="2C1491A7">
                  <w:pPr>
                    <w:autoSpaceDE w:val="0"/>
                    <w:autoSpaceDN w:val="0"/>
                    <w:adjustRightInd w:val="0"/>
                    <w:spacing w:line="360" w:lineRule="exact"/>
                    <w:jc w:val="center"/>
                    <w:rPr>
                      <w:rFonts w:hint="eastAsia" w:cs="Times New Roman"/>
                      <w:color w:val="auto"/>
                      <w:sz w:val="21"/>
                      <w:szCs w:val="21"/>
                      <w:lang w:val="en-US" w:eastAsia="zh-CN" w:bidi="ar-SA"/>
                    </w:rPr>
                  </w:pPr>
                  <w:r>
                    <w:rPr>
                      <w:rFonts w:hint="eastAsia" w:cs="Times New Roman"/>
                      <w:color w:val="auto"/>
                      <w:sz w:val="21"/>
                      <w:szCs w:val="21"/>
                      <w:lang w:val="en-US" w:eastAsia="zh-CN" w:bidi="ar-SA"/>
                    </w:rPr>
                    <w:t>3个月</w:t>
                  </w:r>
                </w:p>
              </w:tc>
            </w:tr>
            <w:tr w14:paraId="289A8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332" w:type="pct"/>
                  <w:vMerge w:val="continue"/>
                  <w:tcBorders>
                    <w:left w:val="nil"/>
                    <w:bottom w:val="single" w:color="auto" w:sz="12" w:space="0"/>
                    <w:right w:val="single" w:color="auto" w:sz="4" w:space="0"/>
                  </w:tcBorders>
                  <w:vAlign w:val="center"/>
                </w:tcPr>
                <w:p w14:paraId="46D5E465">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430" w:type="pct"/>
                  <w:tcBorders>
                    <w:left w:val="single" w:color="auto" w:sz="4" w:space="0"/>
                    <w:bottom w:val="single" w:color="auto" w:sz="12" w:space="0"/>
                    <w:right w:val="single" w:color="auto" w:sz="4" w:space="0"/>
                  </w:tcBorders>
                  <w:shd w:val="clear" w:color="auto" w:fill="auto"/>
                  <w:vAlign w:val="center"/>
                </w:tcPr>
                <w:p w14:paraId="24F787C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废导热油</w:t>
                  </w:r>
                </w:p>
              </w:tc>
              <w:tc>
                <w:tcPr>
                  <w:tcW w:w="300" w:type="pct"/>
                  <w:tcBorders>
                    <w:left w:val="single" w:color="auto" w:sz="4" w:space="0"/>
                    <w:bottom w:val="single" w:color="auto" w:sz="12" w:space="0"/>
                    <w:right w:val="single" w:color="auto" w:sz="4" w:space="0"/>
                  </w:tcBorders>
                  <w:shd w:val="clear" w:color="auto" w:fill="auto"/>
                  <w:vAlign w:val="center"/>
                </w:tcPr>
                <w:p w14:paraId="421368E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HW08</w:t>
                  </w:r>
                </w:p>
              </w:tc>
              <w:tc>
                <w:tcPr>
                  <w:tcW w:w="518" w:type="pct"/>
                  <w:tcBorders>
                    <w:left w:val="single" w:color="auto" w:sz="4" w:space="0"/>
                    <w:bottom w:val="single" w:color="auto" w:sz="12" w:space="0"/>
                    <w:right w:val="single" w:color="auto" w:sz="4" w:space="0"/>
                  </w:tcBorders>
                  <w:shd w:val="clear" w:color="auto" w:fill="auto"/>
                  <w:vAlign w:val="center"/>
                </w:tcPr>
                <w:p w14:paraId="46673C0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352" w:type="pct"/>
                  <w:vMerge w:val="continue"/>
                  <w:tcBorders>
                    <w:left w:val="single" w:color="auto" w:sz="4" w:space="0"/>
                    <w:bottom w:val="single" w:color="auto" w:sz="12" w:space="0"/>
                    <w:right w:val="single" w:color="auto" w:sz="4" w:space="0"/>
                  </w:tcBorders>
                  <w:vAlign w:val="center"/>
                </w:tcPr>
                <w:p w14:paraId="1BBDFEB7">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97" w:type="pct"/>
                  <w:vMerge w:val="continue"/>
                  <w:tcBorders>
                    <w:left w:val="single" w:color="auto" w:sz="4" w:space="0"/>
                    <w:bottom w:val="single" w:color="auto" w:sz="12" w:space="0"/>
                    <w:right w:val="single" w:color="auto" w:sz="4" w:space="0"/>
                  </w:tcBorders>
                  <w:vAlign w:val="center"/>
                </w:tcPr>
                <w:p w14:paraId="1534F4F7">
                  <w:pPr>
                    <w:autoSpaceDE w:val="0"/>
                    <w:autoSpaceDN w:val="0"/>
                    <w:adjustRightInd w:val="0"/>
                    <w:spacing w:line="360" w:lineRule="exact"/>
                    <w:jc w:val="center"/>
                    <w:rPr>
                      <w:rFonts w:hint="default" w:ascii="Times New Roman" w:hAnsi="Times New Roman" w:eastAsia="宋体" w:cs="Times New Roman"/>
                      <w:color w:val="auto"/>
                      <w:szCs w:val="21"/>
                    </w:rPr>
                  </w:pPr>
                </w:p>
              </w:tc>
              <w:tc>
                <w:tcPr>
                  <w:tcW w:w="611" w:type="pct"/>
                  <w:tcBorders>
                    <w:left w:val="single" w:color="auto" w:sz="4" w:space="0"/>
                    <w:bottom w:val="single" w:color="auto" w:sz="12" w:space="0"/>
                    <w:right w:val="single" w:color="auto" w:sz="4" w:space="0"/>
                  </w:tcBorders>
                  <w:vAlign w:val="center"/>
                </w:tcPr>
                <w:p w14:paraId="16F97E60">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583" w:type="pct"/>
                  <w:tcBorders>
                    <w:left w:val="single" w:color="auto" w:sz="4" w:space="0"/>
                    <w:bottom w:val="single" w:color="auto" w:sz="12" w:space="0"/>
                    <w:right w:val="single" w:color="auto" w:sz="4" w:space="0"/>
                  </w:tcBorders>
                  <w:shd w:val="clear" w:color="auto" w:fill="auto"/>
                  <w:vAlign w:val="center"/>
                </w:tcPr>
                <w:p w14:paraId="2ABDE8F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0.34</w:t>
                  </w:r>
                </w:p>
              </w:tc>
              <w:tc>
                <w:tcPr>
                  <w:tcW w:w="656" w:type="pct"/>
                  <w:tcBorders>
                    <w:left w:val="single" w:color="auto" w:sz="4" w:space="0"/>
                    <w:bottom w:val="single" w:color="auto" w:sz="12" w:space="0"/>
                    <w:right w:val="single" w:color="auto" w:sz="4" w:space="0"/>
                  </w:tcBorders>
                  <w:shd w:val="clear" w:color="auto" w:fill="auto"/>
                  <w:vAlign w:val="center"/>
                </w:tcPr>
                <w:p w14:paraId="35168EB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w:t>
                  </w:r>
                  <w:r>
                    <w:rPr>
                      <w:rFonts w:hint="eastAsia" w:cs="Times New Roman"/>
                      <w:b w:val="0"/>
                      <w:bCs w:val="0"/>
                      <w:color w:val="auto"/>
                      <w:sz w:val="21"/>
                      <w:szCs w:val="21"/>
                      <w:lang w:val="en-US" w:eastAsia="zh-CN" w:bidi="ar-SA"/>
                    </w:rPr>
                    <w:t>17</w:t>
                  </w:r>
                </w:p>
              </w:tc>
              <w:tc>
                <w:tcPr>
                  <w:tcW w:w="427" w:type="pct"/>
                  <w:vMerge w:val="continue"/>
                  <w:tcBorders>
                    <w:left w:val="single" w:color="auto" w:sz="4" w:space="0"/>
                    <w:bottom w:val="single" w:color="auto" w:sz="12" w:space="0"/>
                    <w:right w:val="single" w:color="auto" w:sz="4" w:space="0"/>
                  </w:tcBorders>
                  <w:vAlign w:val="center"/>
                </w:tcPr>
                <w:p w14:paraId="05F786B3">
                  <w:pPr>
                    <w:widowControl w:val="0"/>
                    <w:autoSpaceDE w:val="0"/>
                    <w:autoSpaceDN w:val="0"/>
                    <w:adjustRightInd w:val="0"/>
                    <w:spacing w:line="360" w:lineRule="exact"/>
                    <w:jc w:val="center"/>
                    <w:rPr>
                      <w:rFonts w:hint="default" w:ascii="Times New Roman" w:hAnsi="Times New Roman" w:eastAsia="宋体" w:cs="Times New Roman"/>
                      <w:color w:val="auto"/>
                      <w:sz w:val="21"/>
                      <w:szCs w:val="21"/>
                      <w:lang w:val="en-US" w:eastAsia="zh-CN" w:bidi="ar-SA"/>
                    </w:rPr>
                  </w:pPr>
                </w:p>
              </w:tc>
              <w:tc>
                <w:tcPr>
                  <w:tcW w:w="388" w:type="pct"/>
                  <w:tcBorders>
                    <w:left w:val="single" w:color="auto" w:sz="4" w:space="0"/>
                    <w:bottom w:val="single" w:color="auto" w:sz="12" w:space="0"/>
                    <w:right w:val="nil"/>
                  </w:tcBorders>
                  <w:vAlign w:val="center"/>
                </w:tcPr>
                <w:p w14:paraId="4EF595EB">
                  <w:pPr>
                    <w:autoSpaceDE w:val="0"/>
                    <w:autoSpaceDN w:val="0"/>
                    <w:adjustRightInd w:val="0"/>
                    <w:spacing w:line="360" w:lineRule="exact"/>
                    <w:jc w:val="center"/>
                    <w:rPr>
                      <w:rFonts w:hint="default" w:ascii="Times New Roman" w:hAnsi="Times New Roman" w:eastAsia="宋体" w:cs="Times New Roman"/>
                      <w:color w:val="auto"/>
                      <w:szCs w:val="21"/>
                    </w:rPr>
                  </w:pPr>
                  <w:r>
                    <w:rPr>
                      <w:rFonts w:hint="eastAsia" w:cs="Times New Roman"/>
                      <w:color w:val="auto"/>
                      <w:szCs w:val="21"/>
                      <w:lang w:val="en-US" w:eastAsia="zh-CN"/>
                    </w:rPr>
                    <w:t>3个月</w:t>
                  </w:r>
                </w:p>
              </w:tc>
            </w:tr>
          </w:tbl>
          <w:p w14:paraId="6B899369">
            <w:pPr>
              <w:widowControl w:val="0"/>
              <w:autoSpaceDE w:val="0"/>
              <w:autoSpaceDN w:val="0"/>
              <w:adjustRightInd w:val="0"/>
              <w:spacing w:line="500" w:lineRule="exact"/>
              <w:jc w:val="center"/>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表4.4-3  项目固体废物产生排放情况一览表</w:t>
            </w:r>
          </w:p>
          <w:tbl>
            <w:tblPr>
              <w:tblStyle w:val="44"/>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706"/>
              <w:gridCol w:w="1493"/>
              <w:gridCol w:w="1905"/>
              <w:gridCol w:w="2294"/>
              <w:gridCol w:w="1969"/>
              <w:gridCol w:w="2227"/>
              <w:gridCol w:w="3300"/>
            </w:tblGrid>
            <w:tr w14:paraId="273D4D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vAlign w:val="center"/>
                </w:tcPr>
                <w:p w14:paraId="3062BF7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序号</w:t>
                  </w:r>
                </w:p>
              </w:tc>
              <w:tc>
                <w:tcPr>
                  <w:tcW w:w="537" w:type="pct"/>
                  <w:tcBorders>
                    <w:tl2br w:val="nil"/>
                    <w:tr2bl w:val="nil"/>
                  </w:tcBorders>
                  <w:vAlign w:val="center"/>
                </w:tcPr>
                <w:p w14:paraId="26CC19C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名称</w:t>
                  </w:r>
                </w:p>
              </w:tc>
              <w:tc>
                <w:tcPr>
                  <w:tcW w:w="685" w:type="pct"/>
                  <w:tcBorders>
                    <w:tl2br w:val="nil"/>
                    <w:tr2bl w:val="nil"/>
                  </w:tcBorders>
                  <w:vAlign w:val="center"/>
                </w:tcPr>
                <w:p w14:paraId="1FBD667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产生工序</w:t>
                  </w:r>
                </w:p>
              </w:tc>
              <w:tc>
                <w:tcPr>
                  <w:tcW w:w="825" w:type="pct"/>
                  <w:tcBorders>
                    <w:tl2br w:val="nil"/>
                    <w:tr2bl w:val="nil"/>
                  </w:tcBorders>
                  <w:vAlign w:val="center"/>
                </w:tcPr>
                <w:p w14:paraId="689E1D2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固体废物类别</w:t>
                  </w:r>
                </w:p>
              </w:tc>
              <w:tc>
                <w:tcPr>
                  <w:tcW w:w="708" w:type="pct"/>
                  <w:tcBorders>
                    <w:tl2br w:val="nil"/>
                    <w:tr2bl w:val="nil"/>
                  </w:tcBorders>
                  <w:vAlign w:val="center"/>
                </w:tcPr>
                <w:p w14:paraId="1590A97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eastAsia" w:cs="Times New Roman"/>
                      <w:b/>
                      <w:bCs/>
                      <w:color w:val="auto"/>
                      <w:sz w:val="21"/>
                      <w:szCs w:val="21"/>
                      <w:lang w:val="en-US" w:eastAsia="zh-CN" w:bidi="ar-SA"/>
                    </w:rPr>
                    <w:t>废物</w:t>
                  </w:r>
                  <w:r>
                    <w:rPr>
                      <w:rFonts w:hint="default" w:ascii="Times New Roman" w:hAnsi="Times New Roman" w:eastAsia="宋体" w:cs="Times New Roman"/>
                      <w:b/>
                      <w:bCs/>
                      <w:color w:val="auto"/>
                      <w:sz w:val="21"/>
                      <w:szCs w:val="21"/>
                      <w:lang w:val="en-US" w:eastAsia="zh-CN" w:bidi="ar-SA"/>
                    </w:rPr>
                    <w:t>代码</w:t>
                  </w:r>
                </w:p>
              </w:tc>
              <w:tc>
                <w:tcPr>
                  <w:tcW w:w="801" w:type="pct"/>
                  <w:tcBorders>
                    <w:tl2br w:val="nil"/>
                    <w:tr2bl w:val="nil"/>
                  </w:tcBorders>
                  <w:vAlign w:val="center"/>
                </w:tcPr>
                <w:p w14:paraId="3CFEA05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产生量（t/a）</w:t>
                  </w:r>
                </w:p>
              </w:tc>
              <w:tc>
                <w:tcPr>
                  <w:tcW w:w="1187" w:type="pct"/>
                  <w:tcBorders>
                    <w:tl2br w:val="nil"/>
                    <w:tr2bl w:val="nil"/>
                  </w:tcBorders>
                  <w:vAlign w:val="center"/>
                </w:tcPr>
                <w:p w14:paraId="4FD0B8C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排放去向</w:t>
                  </w:r>
                </w:p>
              </w:tc>
            </w:tr>
            <w:tr w14:paraId="36FF01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34891DF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w:t>
                  </w:r>
                </w:p>
              </w:tc>
              <w:tc>
                <w:tcPr>
                  <w:tcW w:w="537" w:type="pct"/>
                  <w:tcBorders>
                    <w:tl2br w:val="nil"/>
                    <w:tr2bl w:val="nil"/>
                  </w:tcBorders>
                  <w:shd w:val="clear" w:color="auto" w:fill="auto"/>
                  <w:vAlign w:val="center"/>
                </w:tcPr>
                <w:p w14:paraId="7968093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废胶水</w:t>
                  </w:r>
                </w:p>
              </w:tc>
              <w:tc>
                <w:tcPr>
                  <w:tcW w:w="685" w:type="pct"/>
                  <w:tcBorders>
                    <w:tl2br w:val="nil"/>
                    <w:tr2bl w:val="nil"/>
                  </w:tcBorders>
                  <w:shd w:val="clear" w:color="auto" w:fill="auto"/>
                  <w:vAlign w:val="center"/>
                </w:tcPr>
                <w:p w14:paraId="40B3A1D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涂胶</w:t>
                  </w:r>
                </w:p>
              </w:tc>
              <w:tc>
                <w:tcPr>
                  <w:tcW w:w="825" w:type="pct"/>
                  <w:tcBorders>
                    <w:tl2br w:val="nil"/>
                    <w:tr2bl w:val="nil"/>
                  </w:tcBorders>
                  <w:shd w:val="clear" w:color="auto" w:fill="auto"/>
                  <w:vAlign w:val="center"/>
                </w:tcPr>
                <w:p w14:paraId="2F64B31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4121A0C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kern w:val="2"/>
                      <w:sz w:val="21"/>
                      <w:szCs w:val="21"/>
                      <w:highlight w:val="none"/>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801" w:type="pct"/>
                  <w:tcBorders>
                    <w:tl2br w:val="nil"/>
                    <w:tr2bl w:val="nil"/>
                  </w:tcBorders>
                  <w:shd w:val="clear" w:color="auto" w:fill="auto"/>
                  <w:vAlign w:val="center"/>
                </w:tcPr>
                <w:p w14:paraId="313AAD9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1.0</w:t>
                  </w:r>
                </w:p>
              </w:tc>
              <w:tc>
                <w:tcPr>
                  <w:tcW w:w="1187" w:type="pct"/>
                  <w:vMerge w:val="restart"/>
                  <w:tcBorders>
                    <w:tl2br w:val="nil"/>
                    <w:tr2bl w:val="nil"/>
                  </w:tcBorders>
                  <w:vAlign w:val="center"/>
                </w:tcPr>
                <w:p w14:paraId="2183C7B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定期委托有资质单位处置</w:t>
                  </w:r>
                </w:p>
              </w:tc>
            </w:tr>
            <w:tr w14:paraId="2C52D4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42CC0B8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2</w:t>
                  </w:r>
                </w:p>
              </w:tc>
              <w:tc>
                <w:tcPr>
                  <w:tcW w:w="537" w:type="pct"/>
                  <w:tcBorders>
                    <w:tl2br w:val="nil"/>
                    <w:tr2bl w:val="nil"/>
                  </w:tcBorders>
                  <w:shd w:val="clear" w:color="auto" w:fill="auto"/>
                  <w:vAlign w:val="center"/>
                </w:tcPr>
                <w:p w14:paraId="2917D66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废清洗液</w:t>
                  </w:r>
                </w:p>
              </w:tc>
              <w:tc>
                <w:tcPr>
                  <w:tcW w:w="685" w:type="pct"/>
                  <w:tcBorders>
                    <w:tl2br w:val="nil"/>
                    <w:tr2bl w:val="nil"/>
                  </w:tcBorders>
                  <w:shd w:val="clear" w:color="auto" w:fill="auto"/>
                  <w:vAlign w:val="center"/>
                </w:tcPr>
                <w:p w14:paraId="09671B9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default" w:ascii="Times New Roman" w:hAnsi="Times New Roman" w:eastAsia="宋体" w:cs="Times New Roman"/>
                      <w:b w:val="0"/>
                      <w:bCs w:val="0"/>
                      <w:color w:val="auto"/>
                      <w:w w:val="100"/>
                      <w:sz w:val="21"/>
                      <w:szCs w:val="21"/>
                      <w:highlight w:val="none"/>
                      <w:lang w:val="en-US" w:eastAsia="zh-CN"/>
                    </w:rPr>
                    <w:t>轴芯</w:t>
                  </w:r>
                  <w:r>
                    <w:rPr>
                      <w:rFonts w:hint="eastAsia" w:cs="Times New Roman"/>
                      <w:b w:val="0"/>
                      <w:bCs w:val="0"/>
                      <w:color w:val="auto"/>
                      <w:w w:val="100"/>
                      <w:sz w:val="21"/>
                      <w:szCs w:val="21"/>
                      <w:highlight w:val="none"/>
                      <w:lang w:val="en-US" w:eastAsia="zh-CN"/>
                    </w:rPr>
                    <w:t>清洗</w:t>
                  </w:r>
                </w:p>
              </w:tc>
              <w:tc>
                <w:tcPr>
                  <w:tcW w:w="825" w:type="pct"/>
                  <w:tcBorders>
                    <w:tl2br w:val="nil"/>
                    <w:tr2bl w:val="nil"/>
                  </w:tcBorders>
                  <w:shd w:val="clear" w:color="auto" w:fill="auto"/>
                  <w:vAlign w:val="center"/>
                </w:tcPr>
                <w:p w14:paraId="24FAB75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7D4939E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801" w:type="pct"/>
                  <w:tcBorders>
                    <w:tl2br w:val="nil"/>
                    <w:tr2bl w:val="nil"/>
                  </w:tcBorders>
                  <w:shd w:val="clear" w:color="auto" w:fill="auto"/>
                  <w:vAlign w:val="center"/>
                </w:tcPr>
                <w:p w14:paraId="6B702C5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3.8</w:t>
                  </w:r>
                </w:p>
              </w:tc>
              <w:tc>
                <w:tcPr>
                  <w:tcW w:w="1187" w:type="pct"/>
                  <w:vMerge w:val="continue"/>
                  <w:tcBorders>
                    <w:tl2br w:val="nil"/>
                    <w:tr2bl w:val="nil"/>
                  </w:tcBorders>
                  <w:vAlign w:val="center"/>
                </w:tcPr>
                <w:p w14:paraId="43A78D8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60CE74A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478035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3</w:t>
                  </w:r>
                </w:p>
              </w:tc>
              <w:tc>
                <w:tcPr>
                  <w:tcW w:w="537" w:type="pct"/>
                  <w:tcBorders>
                    <w:tl2br w:val="nil"/>
                    <w:tr2bl w:val="nil"/>
                  </w:tcBorders>
                  <w:shd w:val="clear" w:color="auto" w:fill="auto"/>
                  <w:vAlign w:val="center"/>
                </w:tcPr>
                <w:p w14:paraId="5722DFB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highlight w:val="none"/>
                      <w:lang w:val="en-US" w:eastAsia="zh-CN"/>
                    </w:rPr>
                    <w:t>废涂液</w:t>
                  </w:r>
                </w:p>
              </w:tc>
              <w:tc>
                <w:tcPr>
                  <w:tcW w:w="685" w:type="pct"/>
                  <w:tcBorders>
                    <w:tl2br w:val="nil"/>
                    <w:tr2bl w:val="nil"/>
                  </w:tcBorders>
                  <w:shd w:val="clear" w:color="auto" w:fill="auto"/>
                  <w:vAlign w:val="center"/>
                </w:tcPr>
                <w:p w14:paraId="57823E0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轴芯涂胶</w:t>
                  </w:r>
                </w:p>
              </w:tc>
              <w:tc>
                <w:tcPr>
                  <w:tcW w:w="825" w:type="pct"/>
                  <w:tcBorders>
                    <w:tl2br w:val="nil"/>
                    <w:tr2bl w:val="nil"/>
                  </w:tcBorders>
                  <w:shd w:val="clear" w:color="auto" w:fill="auto"/>
                  <w:vAlign w:val="center"/>
                </w:tcPr>
                <w:p w14:paraId="1A9D6AA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02CF24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801" w:type="pct"/>
                  <w:tcBorders>
                    <w:tl2br w:val="nil"/>
                    <w:tr2bl w:val="nil"/>
                  </w:tcBorders>
                  <w:shd w:val="clear" w:color="auto" w:fill="auto"/>
                  <w:vAlign w:val="center"/>
                </w:tcPr>
                <w:p w14:paraId="1B7222A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10</w:t>
                  </w:r>
                </w:p>
              </w:tc>
              <w:tc>
                <w:tcPr>
                  <w:tcW w:w="1187" w:type="pct"/>
                  <w:vMerge w:val="continue"/>
                  <w:tcBorders>
                    <w:tl2br w:val="nil"/>
                    <w:tr2bl w:val="nil"/>
                  </w:tcBorders>
                  <w:vAlign w:val="center"/>
                </w:tcPr>
                <w:p w14:paraId="7292392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5B71C1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6945B5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4</w:t>
                  </w:r>
                </w:p>
              </w:tc>
              <w:tc>
                <w:tcPr>
                  <w:tcW w:w="537" w:type="pct"/>
                  <w:tcBorders>
                    <w:tl2br w:val="nil"/>
                    <w:tr2bl w:val="nil"/>
                  </w:tcBorders>
                  <w:shd w:val="clear" w:color="auto" w:fill="auto"/>
                  <w:vAlign w:val="center"/>
                </w:tcPr>
                <w:p w14:paraId="0AF6F80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废渣</w:t>
                  </w:r>
                </w:p>
              </w:tc>
              <w:tc>
                <w:tcPr>
                  <w:tcW w:w="685" w:type="pct"/>
                  <w:tcBorders>
                    <w:tl2br w:val="nil"/>
                    <w:tr2bl w:val="nil"/>
                  </w:tcBorders>
                  <w:shd w:val="clear" w:color="auto" w:fill="auto"/>
                  <w:vAlign w:val="center"/>
                </w:tcPr>
                <w:p w14:paraId="1DF9FD6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喷涂</w:t>
                  </w:r>
                </w:p>
              </w:tc>
              <w:tc>
                <w:tcPr>
                  <w:tcW w:w="825" w:type="pct"/>
                  <w:tcBorders>
                    <w:tl2br w:val="nil"/>
                    <w:tr2bl w:val="nil"/>
                  </w:tcBorders>
                  <w:vAlign w:val="center"/>
                </w:tcPr>
                <w:p w14:paraId="3597375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6E18B7F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801" w:type="pct"/>
                  <w:tcBorders>
                    <w:tl2br w:val="nil"/>
                    <w:tr2bl w:val="nil"/>
                  </w:tcBorders>
                  <w:shd w:val="clear" w:color="auto" w:fill="auto"/>
                  <w:vAlign w:val="center"/>
                </w:tcPr>
                <w:p w14:paraId="18D32E8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1187" w:type="pct"/>
                  <w:vMerge w:val="continue"/>
                  <w:tcBorders>
                    <w:tl2br w:val="nil"/>
                    <w:tr2bl w:val="nil"/>
                  </w:tcBorders>
                  <w:vAlign w:val="center"/>
                </w:tcPr>
                <w:p w14:paraId="25CE928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095D07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6B510F1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5</w:t>
                  </w:r>
                </w:p>
              </w:tc>
              <w:tc>
                <w:tcPr>
                  <w:tcW w:w="537" w:type="pct"/>
                  <w:tcBorders>
                    <w:tl2br w:val="nil"/>
                    <w:tr2bl w:val="nil"/>
                  </w:tcBorders>
                  <w:shd w:val="clear" w:color="auto" w:fill="auto"/>
                  <w:vAlign w:val="center"/>
                </w:tcPr>
                <w:p w14:paraId="039B1CC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废活性炭</w:t>
                  </w:r>
                </w:p>
              </w:tc>
              <w:tc>
                <w:tcPr>
                  <w:tcW w:w="685" w:type="pct"/>
                  <w:tcBorders>
                    <w:tl2br w:val="nil"/>
                    <w:tr2bl w:val="nil"/>
                  </w:tcBorders>
                  <w:shd w:val="clear" w:color="auto" w:fill="auto"/>
                  <w:vAlign w:val="center"/>
                </w:tcPr>
                <w:p w14:paraId="76A7976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废气处理</w:t>
                  </w:r>
                </w:p>
              </w:tc>
              <w:tc>
                <w:tcPr>
                  <w:tcW w:w="825" w:type="pct"/>
                  <w:tcBorders>
                    <w:tl2br w:val="nil"/>
                    <w:tr2bl w:val="nil"/>
                  </w:tcBorders>
                  <w:vAlign w:val="center"/>
                </w:tcPr>
                <w:p w14:paraId="0817B7E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16C02F3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900-039-49</w:t>
                  </w:r>
                </w:p>
              </w:tc>
              <w:tc>
                <w:tcPr>
                  <w:tcW w:w="801" w:type="pct"/>
                  <w:tcBorders>
                    <w:tl2br w:val="nil"/>
                    <w:tr2bl w:val="nil"/>
                  </w:tcBorders>
                  <w:shd w:val="clear" w:color="auto" w:fill="auto"/>
                  <w:vAlign w:val="center"/>
                </w:tcPr>
                <w:p w14:paraId="06AEBE6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59.77</w:t>
                  </w:r>
                </w:p>
              </w:tc>
              <w:tc>
                <w:tcPr>
                  <w:tcW w:w="1187" w:type="pct"/>
                  <w:vMerge w:val="continue"/>
                  <w:tcBorders>
                    <w:tl2br w:val="nil"/>
                    <w:tr2bl w:val="nil"/>
                  </w:tcBorders>
                  <w:vAlign w:val="center"/>
                </w:tcPr>
                <w:p w14:paraId="04E0A5B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252EC8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2A3C349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6</w:t>
                  </w:r>
                </w:p>
              </w:tc>
              <w:tc>
                <w:tcPr>
                  <w:tcW w:w="537" w:type="pct"/>
                  <w:tcBorders>
                    <w:tl2br w:val="nil"/>
                    <w:tr2bl w:val="nil"/>
                  </w:tcBorders>
                  <w:shd w:val="clear" w:color="auto" w:fill="auto"/>
                  <w:vAlign w:val="center"/>
                </w:tcPr>
                <w:p w14:paraId="68CF6C0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水喷淋废水</w:t>
                  </w:r>
                </w:p>
              </w:tc>
              <w:tc>
                <w:tcPr>
                  <w:tcW w:w="685" w:type="pct"/>
                  <w:tcBorders>
                    <w:tl2br w:val="nil"/>
                    <w:tr2bl w:val="nil"/>
                  </w:tcBorders>
                  <w:shd w:val="clear" w:color="auto" w:fill="auto"/>
                  <w:vAlign w:val="center"/>
                </w:tcPr>
                <w:p w14:paraId="74B2FB0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轴芯清洗</w:t>
                  </w:r>
                </w:p>
              </w:tc>
              <w:tc>
                <w:tcPr>
                  <w:tcW w:w="825" w:type="pct"/>
                  <w:tcBorders>
                    <w:tl2br w:val="nil"/>
                    <w:tr2bl w:val="nil"/>
                  </w:tcBorders>
                  <w:vAlign w:val="center"/>
                </w:tcPr>
                <w:p w14:paraId="15124BC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6FB2E62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900-402-06</w:t>
                  </w:r>
                </w:p>
              </w:tc>
              <w:tc>
                <w:tcPr>
                  <w:tcW w:w="801" w:type="pct"/>
                  <w:tcBorders>
                    <w:tl2br w:val="nil"/>
                    <w:tr2bl w:val="nil"/>
                  </w:tcBorders>
                  <w:shd w:val="clear" w:color="auto" w:fill="auto"/>
                  <w:vAlign w:val="center"/>
                </w:tcPr>
                <w:p w14:paraId="09B7222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r>
                    <w:rPr>
                      <w:rFonts w:hint="eastAsia" w:cs="Times New Roman"/>
                      <w:b w:val="0"/>
                      <w:bCs w:val="0"/>
                      <w:color w:val="auto"/>
                      <w:sz w:val="21"/>
                      <w:szCs w:val="21"/>
                      <w:lang w:val="en-US" w:eastAsia="zh-CN" w:bidi="ar-SA"/>
                    </w:rPr>
                    <w:t>.0</w:t>
                  </w:r>
                </w:p>
              </w:tc>
              <w:tc>
                <w:tcPr>
                  <w:tcW w:w="1187" w:type="pct"/>
                  <w:vMerge w:val="continue"/>
                  <w:tcBorders>
                    <w:tl2br w:val="nil"/>
                    <w:tr2bl w:val="nil"/>
                  </w:tcBorders>
                  <w:vAlign w:val="center"/>
                </w:tcPr>
                <w:p w14:paraId="72C5368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22D3240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195068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7</w:t>
                  </w:r>
                </w:p>
              </w:tc>
              <w:tc>
                <w:tcPr>
                  <w:tcW w:w="537" w:type="pct"/>
                  <w:tcBorders>
                    <w:tl2br w:val="nil"/>
                    <w:tr2bl w:val="nil"/>
                  </w:tcBorders>
                  <w:shd w:val="clear" w:color="auto" w:fill="auto"/>
                  <w:vAlign w:val="center"/>
                </w:tcPr>
                <w:p w14:paraId="619726A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废机油</w:t>
                  </w:r>
                </w:p>
              </w:tc>
              <w:tc>
                <w:tcPr>
                  <w:tcW w:w="685" w:type="pct"/>
                  <w:tcBorders>
                    <w:tl2br w:val="nil"/>
                    <w:tr2bl w:val="nil"/>
                  </w:tcBorders>
                  <w:shd w:val="clear" w:color="auto" w:fill="auto"/>
                  <w:vAlign w:val="center"/>
                </w:tcPr>
                <w:p w14:paraId="41C5A60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设备检修</w:t>
                  </w:r>
                </w:p>
              </w:tc>
              <w:tc>
                <w:tcPr>
                  <w:tcW w:w="825" w:type="pct"/>
                  <w:tcBorders>
                    <w:tl2br w:val="nil"/>
                    <w:tr2bl w:val="nil"/>
                  </w:tcBorders>
                  <w:vAlign w:val="center"/>
                </w:tcPr>
                <w:p w14:paraId="5F7E5B8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7194835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801" w:type="pct"/>
                  <w:tcBorders>
                    <w:tl2br w:val="nil"/>
                    <w:tr2bl w:val="nil"/>
                  </w:tcBorders>
                  <w:shd w:val="clear" w:color="auto" w:fill="auto"/>
                  <w:vAlign w:val="center"/>
                </w:tcPr>
                <w:p w14:paraId="4E10C55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0.5</w:t>
                  </w:r>
                </w:p>
              </w:tc>
              <w:tc>
                <w:tcPr>
                  <w:tcW w:w="1187" w:type="pct"/>
                  <w:vMerge w:val="continue"/>
                  <w:tcBorders>
                    <w:tl2br w:val="nil"/>
                    <w:tr2bl w:val="nil"/>
                  </w:tcBorders>
                  <w:vAlign w:val="center"/>
                </w:tcPr>
                <w:p w14:paraId="66496A8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4C87238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0BA48A8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8</w:t>
                  </w:r>
                </w:p>
              </w:tc>
              <w:tc>
                <w:tcPr>
                  <w:tcW w:w="537" w:type="pct"/>
                  <w:tcBorders>
                    <w:tl2br w:val="nil"/>
                    <w:tr2bl w:val="nil"/>
                  </w:tcBorders>
                  <w:shd w:val="clear" w:color="auto" w:fill="auto"/>
                  <w:vAlign w:val="center"/>
                </w:tcPr>
                <w:p w14:paraId="2FC7DDF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w:t>
                  </w:r>
                  <w:r>
                    <w:rPr>
                      <w:rFonts w:hint="eastAsia" w:ascii="Times New Roman" w:hAnsi="Times New Roman" w:eastAsia="宋体" w:cs="Times New Roman"/>
                      <w:b w:val="0"/>
                      <w:bCs w:val="0"/>
                      <w:color w:val="auto"/>
                      <w:sz w:val="21"/>
                      <w:szCs w:val="21"/>
                      <w:lang w:val="en-US" w:eastAsia="zh-CN" w:bidi="ar-SA"/>
                    </w:rPr>
                    <w:t>油</w:t>
                  </w:r>
                  <w:r>
                    <w:rPr>
                      <w:rFonts w:hint="default" w:ascii="Times New Roman" w:hAnsi="Times New Roman" w:eastAsia="宋体" w:cs="Times New Roman"/>
                      <w:b w:val="0"/>
                      <w:bCs w:val="0"/>
                      <w:color w:val="auto"/>
                      <w:sz w:val="21"/>
                      <w:szCs w:val="21"/>
                      <w:lang w:val="en-US" w:eastAsia="zh-CN" w:bidi="ar-SA"/>
                    </w:rPr>
                    <w:t>桶</w:t>
                  </w:r>
                </w:p>
              </w:tc>
              <w:tc>
                <w:tcPr>
                  <w:tcW w:w="685" w:type="pct"/>
                  <w:tcBorders>
                    <w:tl2br w:val="nil"/>
                    <w:tr2bl w:val="nil"/>
                  </w:tcBorders>
                  <w:shd w:val="clear" w:color="auto" w:fill="auto"/>
                  <w:vAlign w:val="center"/>
                </w:tcPr>
                <w:p w14:paraId="00EB00E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设备检修</w:t>
                  </w:r>
                </w:p>
              </w:tc>
              <w:tc>
                <w:tcPr>
                  <w:tcW w:w="825" w:type="pct"/>
                  <w:tcBorders>
                    <w:tl2br w:val="nil"/>
                    <w:tr2bl w:val="nil"/>
                  </w:tcBorders>
                  <w:vAlign w:val="center"/>
                </w:tcPr>
                <w:p w14:paraId="66C328F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59FD0F8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801" w:type="pct"/>
                  <w:tcBorders>
                    <w:tl2br w:val="nil"/>
                    <w:tr2bl w:val="nil"/>
                  </w:tcBorders>
                  <w:shd w:val="clear" w:color="auto" w:fill="auto"/>
                  <w:vAlign w:val="center"/>
                </w:tcPr>
                <w:p w14:paraId="10CD6EA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lang w:val="en-US" w:eastAsia="zh-CN" w:bidi="ar-SA"/>
                    </w:rPr>
                    <w:t>0.5</w:t>
                  </w:r>
                </w:p>
              </w:tc>
              <w:tc>
                <w:tcPr>
                  <w:tcW w:w="1187" w:type="pct"/>
                  <w:vMerge w:val="continue"/>
                  <w:tcBorders>
                    <w:tl2br w:val="nil"/>
                    <w:tr2bl w:val="nil"/>
                  </w:tcBorders>
                  <w:vAlign w:val="center"/>
                </w:tcPr>
                <w:p w14:paraId="39F3BD2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5BBE49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588DCFE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9</w:t>
                  </w:r>
                </w:p>
              </w:tc>
              <w:tc>
                <w:tcPr>
                  <w:tcW w:w="537" w:type="pct"/>
                  <w:tcBorders>
                    <w:tl2br w:val="nil"/>
                    <w:tr2bl w:val="nil"/>
                  </w:tcBorders>
                  <w:shd w:val="clear" w:color="auto" w:fill="auto"/>
                  <w:vAlign w:val="center"/>
                </w:tcPr>
                <w:p w14:paraId="154C610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废桶</w:t>
                  </w:r>
                </w:p>
              </w:tc>
              <w:tc>
                <w:tcPr>
                  <w:tcW w:w="685" w:type="pct"/>
                  <w:tcBorders>
                    <w:tl2br w:val="nil"/>
                    <w:tr2bl w:val="nil"/>
                  </w:tcBorders>
                  <w:shd w:val="clear" w:color="auto" w:fill="auto"/>
                  <w:vAlign w:val="center"/>
                </w:tcPr>
                <w:p w14:paraId="683A670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lang w:eastAsia="zh-CN"/>
                    </w:rPr>
                    <w:t>原料包装</w:t>
                  </w:r>
                </w:p>
              </w:tc>
              <w:tc>
                <w:tcPr>
                  <w:tcW w:w="825" w:type="pct"/>
                  <w:tcBorders>
                    <w:tl2br w:val="nil"/>
                    <w:tr2bl w:val="nil"/>
                  </w:tcBorders>
                  <w:vAlign w:val="center"/>
                </w:tcPr>
                <w:p w14:paraId="1FFD2B5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287E3B2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900-047-49</w:t>
                  </w:r>
                </w:p>
              </w:tc>
              <w:tc>
                <w:tcPr>
                  <w:tcW w:w="801" w:type="pct"/>
                  <w:tcBorders>
                    <w:tl2br w:val="nil"/>
                    <w:tr2bl w:val="nil"/>
                  </w:tcBorders>
                  <w:shd w:val="clear" w:color="auto" w:fill="auto"/>
                  <w:vAlign w:val="center"/>
                </w:tcPr>
                <w:p w14:paraId="1D9C5AD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3.5</w:t>
                  </w:r>
                </w:p>
              </w:tc>
              <w:tc>
                <w:tcPr>
                  <w:tcW w:w="1187" w:type="pct"/>
                  <w:vMerge w:val="continue"/>
                  <w:tcBorders>
                    <w:tl2br w:val="nil"/>
                    <w:tr2bl w:val="nil"/>
                  </w:tcBorders>
                  <w:vAlign w:val="center"/>
                </w:tcPr>
                <w:p w14:paraId="1CCA695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4673CC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168AE6A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10</w:t>
                  </w:r>
                </w:p>
              </w:tc>
              <w:tc>
                <w:tcPr>
                  <w:tcW w:w="537" w:type="pct"/>
                  <w:tcBorders>
                    <w:tl2br w:val="nil"/>
                    <w:tr2bl w:val="nil"/>
                  </w:tcBorders>
                  <w:shd w:val="clear" w:color="auto" w:fill="auto"/>
                  <w:vAlign w:val="center"/>
                </w:tcPr>
                <w:p w14:paraId="374383E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废导热油</w:t>
                  </w:r>
                </w:p>
              </w:tc>
              <w:tc>
                <w:tcPr>
                  <w:tcW w:w="685" w:type="pct"/>
                  <w:tcBorders>
                    <w:tl2br w:val="nil"/>
                    <w:tr2bl w:val="nil"/>
                  </w:tcBorders>
                  <w:shd w:val="clear" w:color="auto" w:fill="auto"/>
                  <w:vAlign w:val="center"/>
                </w:tcPr>
                <w:p w14:paraId="6548490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硫化罐加热</w:t>
                  </w:r>
                </w:p>
              </w:tc>
              <w:tc>
                <w:tcPr>
                  <w:tcW w:w="825" w:type="pct"/>
                  <w:tcBorders>
                    <w:tl2br w:val="nil"/>
                    <w:tr2bl w:val="nil"/>
                  </w:tcBorders>
                  <w:vAlign w:val="center"/>
                </w:tcPr>
                <w:p w14:paraId="40730EC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危险废物</w:t>
                  </w:r>
                </w:p>
              </w:tc>
              <w:tc>
                <w:tcPr>
                  <w:tcW w:w="708" w:type="pct"/>
                  <w:tcBorders>
                    <w:tl2br w:val="nil"/>
                    <w:tr2bl w:val="nil"/>
                  </w:tcBorders>
                  <w:shd w:val="clear" w:color="auto" w:fill="auto"/>
                  <w:vAlign w:val="center"/>
                </w:tcPr>
                <w:p w14:paraId="3E9A9A3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900-249-08</w:t>
                  </w:r>
                </w:p>
              </w:tc>
              <w:tc>
                <w:tcPr>
                  <w:tcW w:w="801" w:type="pct"/>
                  <w:tcBorders>
                    <w:tl2br w:val="nil"/>
                    <w:tr2bl w:val="nil"/>
                  </w:tcBorders>
                  <w:shd w:val="clear" w:color="auto" w:fill="auto"/>
                  <w:vAlign w:val="center"/>
                </w:tcPr>
                <w:p w14:paraId="773EAA1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0.34</w:t>
                  </w:r>
                </w:p>
              </w:tc>
              <w:tc>
                <w:tcPr>
                  <w:tcW w:w="1187" w:type="pct"/>
                  <w:vMerge w:val="continue"/>
                  <w:tcBorders>
                    <w:tl2br w:val="nil"/>
                    <w:tr2bl w:val="nil"/>
                  </w:tcBorders>
                  <w:vAlign w:val="center"/>
                </w:tcPr>
                <w:p w14:paraId="04443D2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02CD1D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006DE02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11</w:t>
                  </w:r>
                </w:p>
              </w:tc>
              <w:tc>
                <w:tcPr>
                  <w:tcW w:w="537" w:type="pct"/>
                  <w:tcBorders>
                    <w:tl2br w:val="nil"/>
                    <w:tr2bl w:val="nil"/>
                  </w:tcBorders>
                  <w:shd w:val="clear" w:color="auto" w:fill="auto"/>
                  <w:vAlign w:val="center"/>
                </w:tcPr>
                <w:p w14:paraId="13013CB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杂质</w:t>
                  </w:r>
                </w:p>
              </w:tc>
              <w:tc>
                <w:tcPr>
                  <w:tcW w:w="685" w:type="pct"/>
                  <w:tcBorders>
                    <w:tl2br w:val="nil"/>
                    <w:tr2bl w:val="nil"/>
                  </w:tcBorders>
                  <w:shd w:val="clear" w:color="auto" w:fill="auto"/>
                  <w:vAlign w:val="center"/>
                </w:tcPr>
                <w:p w14:paraId="2B7B60F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橡胶过滤</w:t>
                  </w:r>
                </w:p>
              </w:tc>
              <w:tc>
                <w:tcPr>
                  <w:tcW w:w="825" w:type="pct"/>
                  <w:tcBorders>
                    <w:tl2br w:val="nil"/>
                    <w:tr2bl w:val="nil"/>
                  </w:tcBorders>
                  <w:shd w:val="clear" w:color="auto" w:fill="auto"/>
                  <w:vAlign w:val="center"/>
                </w:tcPr>
                <w:p w14:paraId="432A3E7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759373E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900-099-S16</w:t>
                  </w:r>
                </w:p>
              </w:tc>
              <w:tc>
                <w:tcPr>
                  <w:tcW w:w="801" w:type="pct"/>
                  <w:tcBorders>
                    <w:tl2br w:val="nil"/>
                    <w:tr2bl w:val="nil"/>
                  </w:tcBorders>
                  <w:vAlign w:val="center"/>
                </w:tcPr>
                <w:p w14:paraId="24352BA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1.199</w:t>
                  </w:r>
                </w:p>
              </w:tc>
              <w:tc>
                <w:tcPr>
                  <w:tcW w:w="1187" w:type="pct"/>
                  <w:vMerge w:val="restart"/>
                  <w:tcBorders>
                    <w:tl2br w:val="nil"/>
                    <w:tr2bl w:val="nil"/>
                  </w:tcBorders>
                  <w:vAlign w:val="center"/>
                </w:tcPr>
                <w:p w14:paraId="297A274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收集外售</w:t>
                  </w:r>
                </w:p>
              </w:tc>
            </w:tr>
            <w:tr w14:paraId="7200FF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6AADD5FF">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12</w:t>
                  </w:r>
                </w:p>
              </w:tc>
              <w:tc>
                <w:tcPr>
                  <w:tcW w:w="537" w:type="pct"/>
                  <w:tcBorders>
                    <w:tl2br w:val="nil"/>
                    <w:tr2bl w:val="nil"/>
                  </w:tcBorders>
                  <w:vAlign w:val="center"/>
                </w:tcPr>
                <w:p w14:paraId="65EFA11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lang w:val="en-US" w:eastAsia="zh-CN"/>
                    </w:rPr>
                  </w:pPr>
                  <w:r>
                    <w:rPr>
                      <w:rFonts w:hint="eastAsia" w:cs="Times New Roman"/>
                      <w:b w:val="0"/>
                      <w:bCs w:val="0"/>
                      <w:color w:val="auto"/>
                      <w:w w:val="100"/>
                      <w:sz w:val="21"/>
                      <w:szCs w:val="21"/>
                      <w:lang w:val="en-US" w:eastAsia="zh-CN"/>
                    </w:rPr>
                    <w:t>废布条</w:t>
                  </w:r>
                </w:p>
              </w:tc>
              <w:tc>
                <w:tcPr>
                  <w:tcW w:w="685" w:type="pct"/>
                  <w:tcBorders>
                    <w:tl2br w:val="nil"/>
                    <w:tr2bl w:val="nil"/>
                  </w:tcBorders>
                  <w:vAlign w:val="center"/>
                </w:tcPr>
                <w:p w14:paraId="306036B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lang w:val="en-US" w:eastAsia="zh-CN"/>
                    </w:rPr>
                  </w:pPr>
                  <w:r>
                    <w:rPr>
                      <w:rFonts w:hint="eastAsia" w:cs="Times New Roman"/>
                      <w:b w:val="0"/>
                      <w:bCs w:val="0"/>
                      <w:color w:val="auto"/>
                      <w:w w:val="100"/>
                      <w:sz w:val="21"/>
                      <w:szCs w:val="21"/>
                      <w:lang w:val="en-US" w:eastAsia="zh-CN"/>
                    </w:rPr>
                    <w:t>覆布</w:t>
                  </w:r>
                </w:p>
              </w:tc>
              <w:tc>
                <w:tcPr>
                  <w:tcW w:w="825" w:type="pct"/>
                  <w:tcBorders>
                    <w:tl2br w:val="nil"/>
                    <w:tr2bl w:val="nil"/>
                  </w:tcBorders>
                  <w:vAlign w:val="center"/>
                </w:tcPr>
                <w:p w14:paraId="3E8C864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39EB917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900-006-S17</w:t>
                  </w:r>
                </w:p>
              </w:tc>
              <w:tc>
                <w:tcPr>
                  <w:tcW w:w="801" w:type="pct"/>
                  <w:tcBorders>
                    <w:tl2br w:val="nil"/>
                    <w:tr2bl w:val="nil"/>
                  </w:tcBorders>
                  <w:vAlign w:val="center"/>
                </w:tcPr>
                <w:p w14:paraId="43A1A90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0.15</w:t>
                  </w:r>
                </w:p>
              </w:tc>
              <w:tc>
                <w:tcPr>
                  <w:tcW w:w="1187" w:type="pct"/>
                  <w:vMerge w:val="continue"/>
                  <w:tcBorders>
                    <w:tl2br w:val="nil"/>
                    <w:tr2bl w:val="nil"/>
                  </w:tcBorders>
                  <w:vAlign w:val="center"/>
                </w:tcPr>
                <w:p w14:paraId="04E8992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547219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28E4705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13</w:t>
                  </w:r>
                </w:p>
              </w:tc>
              <w:tc>
                <w:tcPr>
                  <w:tcW w:w="537" w:type="pct"/>
                  <w:tcBorders>
                    <w:tl2br w:val="nil"/>
                    <w:tr2bl w:val="nil"/>
                  </w:tcBorders>
                  <w:vAlign w:val="center"/>
                </w:tcPr>
                <w:p w14:paraId="5D4031C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废边角料</w:t>
                  </w:r>
                </w:p>
              </w:tc>
              <w:tc>
                <w:tcPr>
                  <w:tcW w:w="685" w:type="pct"/>
                  <w:tcBorders>
                    <w:tl2br w:val="nil"/>
                    <w:tr2bl w:val="nil"/>
                  </w:tcBorders>
                  <w:vAlign w:val="center"/>
                </w:tcPr>
                <w:p w14:paraId="307BC20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橡胶切边</w:t>
                  </w:r>
                </w:p>
              </w:tc>
              <w:tc>
                <w:tcPr>
                  <w:tcW w:w="825" w:type="pct"/>
                  <w:tcBorders>
                    <w:tl2br w:val="nil"/>
                    <w:tr2bl w:val="nil"/>
                  </w:tcBorders>
                  <w:vAlign w:val="center"/>
                </w:tcPr>
                <w:p w14:paraId="792B9C0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00F215C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900-006-S17</w:t>
                  </w:r>
                </w:p>
              </w:tc>
              <w:tc>
                <w:tcPr>
                  <w:tcW w:w="801" w:type="pct"/>
                  <w:tcBorders>
                    <w:tl2br w:val="nil"/>
                    <w:tr2bl w:val="nil"/>
                  </w:tcBorders>
                  <w:vAlign w:val="center"/>
                </w:tcPr>
                <w:p w14:paraId="67790E3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0.65</w:t>
                  </w:r>
                </w:p>
              </w:tc>
              <w:tc>
                <w:tcPr>
                  <w:tcW w:w="1187" w:type="pct"/>
                  <w:vMerge w:val="continue"/>
                  <w:tcBorders>
                    <w:tl2br w:val="nil"/>
                    <w:tr2bl w:val="nil"/>
                  </w:tcBorders>
                  <w:vAlign w:val="center"/>
                </w:tcPr>
                <w:p w14:paraId="7E61457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2E8017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35671C5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14</w:t>
                  </w:r>
                </w:p>
              </w:tc>
              <w:tc>
                <w:tcPr>
                  <w:tcW w:w="537" w:type="pct"/>
                  <w:tcBorders>
                    <w:tl2br w:val="nil"/>
                    <w:tr2bl w:val="nil"/>
                  </w:tcBorders>
                  <w:vAlign w:val="center"/>
                </w:tcPr>
                <w:p w14:paraId="504BF07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rPr>
                    <w:t>不合格产品</w:t>
                  </w:r>
                </w:p>
              </w:tc>
              <w:tc>
                <w:tcPr>
                  <w:tcW w:w="685" w:type="pct"/>
                  <w:tcBorders>
                    <w:tl2br w:val="nil"/>
                    <w:tr2bl w:val="nil"/>
                  </w:tcBorders>
                  <w:vAlign w:val="center"/>
                </w:tcPr>
                <w:p w14:paraId="5B27CF5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检验</w:t>
                  </w:r>
                </w:p>
              </w:tc>
              <w:tc>
                <w:tcPr>
                  <w:tcW w:w="825" w:type="pct"/>
                  <w:tcBorders>
                    <w:tl2br w:val="nil"/>
                    <w:tr2bl w:val="nil"/>
                  </w:tcBorders>
                  <w:vAlign w:val="center"/>
                </w:tcPr>
                <w:p w14:paraId="22154E0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11BE462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900-006-S17</w:t>
                  </w:r>
                </w:p>
              </w:tc>
              <w:tc>
                <w:tcPr>
                  <w:tcW w:w="801" w:type="pct"/>
                  <w:tcBorders>
                    <w:tl2br w:val="nil"/>
                    <w:tr2bl w:val="nil"/>
                  </w:tcBorders>
                  <w:vAlign w:val="center"/>
                </w:tcPr>
                <w:p w14:paraId="6C8BE66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50</w:t>
                  </w:r>
                </w:p>
              </w:tc>
              <w:tc>
                <w:tcPr>
                  <w:tcW w:w="1187" w:type="pct"/>
                  <w:vMerge w:val="continue"/>
                  <w:tcBorders>
                    <w:tl2br w:val="nil"/>
                    <w:tr2bl w:val="nil"/>
                  </w:tcBorders>
                  <w:vAlign w:val="center"/>
                </w:tcPr>
                <w:p w14:paraId="15C1783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1880FD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5439E42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15</w:t>
                  </w:r>
                </w:p>
              </w:tc>
              <w:tc>
                <w:tcPr>
                  <w:tcW w:w="537" w:type="pct"/>
                  <w:tcBorders>
                    <w:tl2br w:val="nil"/>
                    <w:tr2bl w:val="nil"/>
                  </w:tcBorders>
                  <w:vAlign w:val="center"/>
                </w:tcPr>
                <w:p w14:paraId="53572B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kern w:val="2"/>
                      <w:sz w:val="21"/>
                      <w:szCs w:val="21"/>
                      <w:lang w:val="en-US" w:eastAsia="zh-CN" w:bidi="ar-SA"/>
                    </w:rPr>
                    <w:t>沉渣</w:t>
                  </w:r>
                </w:p>
              </w:tc>
              <w:tc>
                <w:tcPr>
                  <w:tcW w:w="685" w:type="pct"/>
                  <w:tcBorders>
                    <w:tl2br w:val="nil"/>
                    <w:tr2bl w:val="nil"/>
                  </w:tcBorders>
                  <w:vAlign w:val="center"/>
                </w:tcPr>
                <w:p w14:paraId="1D5BBDA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清洗</w:t>
                  </w:r>
                </w:p>
              </w:tc>
              <w:tc>
                <w:tcPr>
                  <w:tcW w:w="825" w:type="pct"/>
                  <w:tcBorders>
                    <w:tl2br w:val="nil"/>
                    <w:tr2bl w:val="nil"/>
                  </w:tcBorders>
                  <w:vAlign w:val="center"/>
                </w:tcPr>
                <w:p w14:paraId="64CE032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7A93CF0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900-099-S07</w:t>
                  </w:r>
                </w:p>
              </w:tc>
              <w:tc>
                <w:tcPr>
                  <w:tcW w:w="801" w:type="pct"/>
                  <w:tcBorders>
                    <w:tl2br w:val="nil"/>
                    <w:tr2bl w:val="nil"/>
                  </w:tcBorders>
                  <w:vAlign w:val="center"/>
                </w:tcPr>
                <w:p w14:paraId="6C4BD36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0.05</w:t>
                  </w:r>
                </w:p>
              </w:tc>
              <w:tc>
                <w:tcPr>
                  <w:tcW w:w="1187" w:type="pct"/>
                  <w:vMerge w:val="continue"/>
                  <w:tcBorders>
                    <w:tl2br w:val="nil"/>
                    <w:tr2bl w:val="nil"/>
                  </w:tcBorders>
                  <w:vAlign w:val="center"/>
                </w:tcPr>
                <w:p w14:paraId="3484230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3A36B69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136D94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sz w:val="21"/>
                      <w:szCs w:val="21"/>
                      <w:lang w:val="en-US" w:eastAsia="zh-CN" w:bidi="ar-SA"/>
                    </w:rPr>
                    <w:t>16</w:t>
                  </w:r>
                </w:p>
              </w:tc>
              <w:tc>
                <w:tcPr>
                  <w:tcW w:w="537" w:type="pct"/>
                  <w:tcBorders>
                    <w:tl2br w:val="nil"/>
                    <w:tr2bl w:val="nil"/>
                  </w:tcBorders>
                  <w:vAlign w:val="center"/>
                </w:tcPr>
                <w:p w14:paraId="2DA7F00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lang w:eastAsia="zh-CN"/>
                    </w:rPr>
                    <w:t>除尘器收尘</w:t>
                  </w:r>
                </w:p>
              </w:tc>
              <w:tc>
                <w:tcPr>
                  <w:tcW w:w="685" w:type="pct"/>
                  <w:tcBorders>
                    <w:tl2br w:val="nil"/>
                    <w:tr2bl w:val="nil"/>
                  </w:tcBorders>
                  <w:vAlign w:val="center"/>
                </w:tcPr>
                <w:p w14:paraId="08DC21C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废气处理</w:t>
                  </w:r>
                </w:p>
              </w:tc>
              <w:tc>
                <w:tcPr>
                  <w:tcW w:w="825" w:type="pct"/>
                  <w:tcBorders>
                    <w:tl2br w:val="nil"/>
                    <w:tr2bl w:val="nil"/>
                  </w:tcBorders>
                  <w:vAlign w:val="center"/>
                </w:tcPr>
                <w:p w14:paraId="45B4A8E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5891D57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 xml:space="preserve">900-099-S59 </w:t>
                  </w:r>
                </w:p>
              </w:tc>
              <w:tc>
                <w:tcPr>
                  <w:tcW w:w="801" w:type="pct"/>
                  <w:tcBorders>
                    <w:tl2br w:val="nil"/>
                    <w:tr2bl w:val="nil"/>
                  </w:tcBorders>
                  <w:vAlign w:val="center"/>
                </w:tcPr>
                <w:p w14:paraId="646A8BE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20.677</w:t>
                  </w:r>
                </w:p>
              </w:tc>
              <w:tc>
                <w:tcPr>
                  <w:tcW w:w="1187" w:type="pct"/>
                  <w:vMerge w:val="continue"/>
                  <w:tcBorders>
                    <w:tl2br w:val="nil"/>
                    <w:tr2bl w:val="nil"/>
                  </w:tcBorders>
                  <w:vAlign w:val="center"/>
                </w:tcPr>
                <w:p w14:paraId="07822BB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28ABFF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5CB4854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17</w:t>
                  </w:r>
                </w:p>
              </w:tc>
              <w:tc>
                <w:tcPr>
                  <w:tcW w:w="537" w:type="pct"/>
                  <w:tcBorders>
                    <w:tl2br w:val="nil"/>
                    <w:tr2bl w:val="nil"/>
                  </w:tcBorders>
                  <w:vAlign w:val="center"/>
                </w:tcPr>
                <w:p w14:paraId="6239B19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lang w:val="en-US" w:eastAsia="zh-CN"/>
                    </w:rPr>
                  </w:pPr>
                  <w:r>
                    <w:rPr>
                      <w:rFonts w:hint="default" w:ascii="Times New Roman" w:hAnsi="Times New Roman" w:eastAsia="宋体" w:cs="Times New Roman"/>
                      <w:b w:val="0"/>
                      <w:bCs w:val="0"/>
                      <w:color w:val="auto"/>
                      <w:w w:val="100"/>
                      <w:sz w:val="21"/>
                      <w:szCs w:val="21"/>
                      <w:lang w:val="en-US" w:eastAsia="zh-CN"/>
                    </w:rPr>
                    <w:t>废布袋</w:t>
                  </w:r>
                </w:p>
              </w:tc>
              <w:tc>
                <w:tcPr>
                  <w:tcW w:w="685" w:type="pct"/>
                  <w:tcBorders>
                    <w:tl2br w:val="nil"/>
                    <w:tr2bl w:val="nil"/>
                  </w:tcBorders>
                  <w:shd w:val="clear" w:color="auto" w:fill="auto"/>
                  <w:vAlign w:val="center"/>
                </w:tcPr>
                <w:p w14:paraId="0504B6C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废气处理</w:t>
                  </w:r>
                </w:p>
              </w:tc>
              <w:tc>
                <w:tcPr>
                  <w:tcW w:w="825" w:type="pct"/>
                  <w:tcBorders>
                    <w:tl2br w:val="nil"/>
                    <w:tr2bl w:val="nil"/>
                  </w:tcBorders>
                  <w:shd w:val="clear" w:color="auto" w:fill="auto"/>
                  <w:vAlign w:val="center"/>
                </w:tcPr>
                <w:p w14:paraId="611B64F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3BD3E16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900-009-S59</w:t>
                  </w:r>
                </w:p>
              </w:tc>
              <w:tc>
                <w:tcPr>
                  <w:tcW w:w="801" w:type="pct"/>
                  <w:tcBorders>
                    <w:tl2br w:val="nil"/>
                    <w:tr2bl w:val="nil"/>
                  </w:tcBorders>
                  <w:vAlign w:val="center"/>
                </w:tcPr>
                <w:p w14:paraId="2DC4767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0.02</w:t>
                  </w:r>
                  <w:r>
                    <w:rPr>
                      <w:rFonts w:hint="eastAsia" w:cs="Times New Roman"/>
                      <w:b w:val="0"/>
                      <w:bCs w:val="0"/>
                      <w:color w:val="auto"/>
                      <w:sz w:val="21"/>
                      <w:szCs w:val="21"/>
                      <w:lang w:val="en-US" w:eastAsia="zh-CN" w:bidi="ar-SA"/>
                    </w:rPr>
                    <w:t>4</w:t>
                  </w:r>
                </w:p>
              </w:tc>
              <w:tc>
                <w:tcPr>
                  <w:tcW w:w="1187" w:type="pct"/>
                  <w:vMerge w:val="continue"/>
                  <w:tcBorders>
                    <w:tl2br w:val="nil"/>
                    <w:tr2bl w:val="nil"/>
                  </w:tcBorders>
                  <w:vAlign w:val="center"/>
                </w:tcPr>
                <w:p w14:paraId="7A62C0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58BC4A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7B360B0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18</w:t>
                  </w:r>
                </w:p>
              </w:tc>
              <w:tc>
                <w:tcPr>
                  <w:tcW w:w="537" w:type="pct"/>
                  <w:tcBorders>
                    <w:tl2br w:val="nil"/>
                    <w:tr2bl w:val="nil"/>
                  </w:tcBorders>
                  <w:vAlign w:val="center"/>
                </w:tcPr>
                <w:p w14:paraId="2CA9FE6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w w:val="100"/>
                      <w:sz w:val="21"/>
                      <w:szCs w:val="21"/>
                    </w:rPr>
                    <w:t>废包装</w:t>
                  </w:r>
                  <w:r>
                    <w:rPr>
                      <w:rFonts w:hint="default" w:ascii="Times New Roman" w:hAnsi="Times New Roman" w:eastAsia="宋体" w:cs="Times New Roman"/>
                      <w:b w:val="0"/>
                      <w:bCs w:val="0"/>
                      <w:color w:val="auto"/>
                      <w:w w:val="100"/>
                      <w:sz w:val="21"/>
                      <w:szCs w:val="21"/>
                      <w:lang w:val="en-US" w:eastAsia="zh-CN"/>
                    </w:rPr>
                    <w:t>物</w:t>
                  </w:r>
                </w:p>
              </w:tc>
              <w:tc>
                <w:tcPr>
                  <w:tcW w:w="685" w:type="pct"/>
                  <w:tcBorders>
                    <w:tl2br w:val="nil"/>
                    <w:tr2bl w:val="nil"/>
                  </w:tcBorders>
                  <w:vAlign w:val="center"/>
                </w:tcPr>
                <w:p w14:paraId="6D2DA62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原料包装</w:t>
                  </w:r>
                </w:p>
              </w:tc>
              <w:tc>
                <w:tcPr>
                  <w:tcW w:w="825" w:type="pct"/>
                  <w:tcBorders>
                    <w:tl2br w:val="nil"/>
                    <w:tr2bl w:val="nil"/>
                  </w:tcBorders>
                  <w:vAlign w:val="center"/>
                </w:tcPr>
                <w:p w14:paraId="139F8DF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一般工业固废</w:t>
                  </w:r>
                </w:p>
              </w:tc>
              <w:tc>
                <w:tcPr>
                  <w:tcW w:w="708" w:type="pct"/>
                  <w:tcBorders>
                    <w:tl2br w:val="nil"/>
                    <w:tr2bl w:val="nil"/>
                  </w:tcBorders>
                  <w:shd w:val="clear" w:color="auto" w:fill="auto"/>
                  <w:vAlign w:val="center"/>
                </w:tcPr>
                <w:p w14:paraId="7E3F26C0">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900-011-S17</w:t>
                  </w:r>
                </w:p>
              </w:tc>
              <w:tc>
                <w:tcPr>
                  <w:tcW w:w="801" w:type="pct"/>
                  <w:tcBorders>
                    <w:tl2br w:val="nil"/>
                    <w:tr2bl w:val="nil"/>
                  </w:tcBorders>
                  <w:vAlign w:val="center"/>
                </w:tcPr>
                <w:p w14:paraId="19D41EE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1187" w:type="pct"/>
                  <w:vMerge w:val="continue"/>
                  <w:tcBorders>
                    <w:tl2br w:val="nil"/>
                    <w:tr2bl w:val="nil"/>
                  </w:tcBorders>
                  <w:vAlign w:val="center"/>
                </w:tcPr>
                <w:p w14:paraId="5DC6402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r w14:paraId="7DB260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0F703AD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eastAsia"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19</w:t>
                  </w:r>
                </w:p>
              </w:tc>
              <w:tc>
                <w:tcPr>
                  <w:tcW w:w="537" w:type="pct"/>
                  <w:tcBorders>
                    <w:tl2br w:val="nil"/>
                    <w:tr2bl w:val="nil"/>
                  </w:tcBorders>
                  <w:vAlign w:val="center"/>
                </w:tcPr>
                <w:p w14:paraId="414C70F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w w:val="100"/>
                      <w:sz w:val="21"/>
                      <w:szCs w:val="21"/>
                      <w:lang w:val="en-US" w:eastAsia="zh-CN"/>
                    </w:rPr>
                  </w:pPr>
                  <w:r>
                    <w:rPr>
                      <w:rFonts w:hint="eastAsia" w:cs="Times New Roman"/>
                      <w:b w:val="0"/>
                      <w:bCs w:val="0"/>
                      <w:color w:val="auto"/>
                      <w:w w:val="100"/>
                      <w:sz w:val="21"/>
                      <w:szCs w:val="21"/>
                      <w:lang w:val="en-US" w:eastAsia="zh-CN"/>
                    </w:rPr>
                    <w:t>化粪池污泥</w:t>
                  </w:r>
                </w:p>
              </w:tc>
              <w:tc>
                <w:tcPr>
                  <w:tcW w:w="685" w:type="pct"/>
                  <w:tcBorders>
                    <w:tl2br w:val="nil"/>
                    <w:tr2bl w:val="nil"/>
                  </w:tcBorders>
                  <w:vAlign w:val="center"/>
                </w:tcPr>
                <w:p w14:paraId="7A1F7F6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职工生活</w:t>
                  </w:r>
                </w:p>
              </w:tc>
              <w:tc>
                <w:tcPr>
                  <w:tcW w:w="825" w:type="pct"/>
                  <w:tcBorders>
                    <w:tl2br w:val="nil"/>
                    <w:tr2bl w:val="nil"/>
                  </w:tcBorders>
                  <w:vAlign w:val="center"/>
                </w:tcPr>
                <w:p w14:paraId="495666A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w:t>
                  </w:r>
                </w:p>
              </w:tc>
              <w:tc>
                <w:tcPr>
                  <w:tcW w:w="708" w:type="pct"/>
                  <w:tcBorders>
                    <w:tl2br w:val="nil"/>
                    <w:tr2bl w:val="nil"/>
                  </w:tcBorders>
                  <w:shd w:val="clear" w:color="auto" w:fill="auto"/>
                  <w:vAlign w:val="center"/>
                </w:tcPr>
                <w:p w14:paraId="4014941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900-099-S</w:t>
                  </w:r>
                  <w:r>
                    <w:rPr>
                      <w:rFonts w:hint="eastAsia" w:cs="Times New Roman"/>
                      <w:b w:val="0"/>
                      <w:bCs w:val="0"/>
                      <w:color w:val="auto"/>
                      <w:sz w:val="21"/>
                      <w:szCs w:val="21"/>
                      <w:lang w:val="en-US" w:eastAsia="zh-CN" w:bidi="ar-SA"/>
                    </w:rPr>
                    <w:t>07</w:t>
                  </w:r>
                  <w:r>
                    <w:rPr>
                      <w:rFonts w:hint="default" w:ascii="Times New Roman" w:hAnsi="Times New Roman" w:eastAsia="宋体" w:cs="Times New Roman"/>
                      <w:b w:val="0"/>
                      <w:bCs w:val="0"/>
                      <w:color w:val="auto"/>
                      <w:sz w:val="21"/>
                      <w:szCs w:val="21"/>
                      <w:lang w:val="en-US" w:eastAsia="zh-CN" w:bidi="ar-SA"/>
                    </w:rPr>
                    <w:t xml:space="preserve"> </w:t>
                  </w:r>
                </w:p>
              </w:tc>
              <w:tc>
                <w:tcPr>
                  <w:tcW w:w="801" w:type="pct"/>
                  <w:tcBorders>
                    <w:tl2br w:val="nil"/>
                    <w:tr2bl w:val="nil"/>
                  </w:tcBorders>
                  <w:vAlign w:val="center"/>
                </w:tcPr>
                <w:p w14:paraId="2FD162E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8</w:t>
                  </w:r>
                </w:p>
              </w:tc>
              <w:tc>
                <w:tcPr>
                  <w:tcW w:w="1187" w:type="pct"/>
                  <w:vMerge w:val="restart"/>
                  <w:tcBorders>
                    <w:tl2br w:val="nil"/>
                    <w:tr2bl w:val="nil"/>
                  </w:tcBorders>
                  <w:vAlign w:val="center"/>
                </w:tcPr>
                <w:p w14:paraId="1B8DC3C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环卫部门定期清运</w:t>
                  </w:r>
                </w:p>
              </w:tc>
            </w:tr>
            <w:tr w14:paraId="26098E7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254" w:type="pct"/>
                  <w:tcBorders>
                    <w:tl2br w:val="nil"/>
                    <w:tr2bl w:val="nil"/>
                  </w:tcBorders>
                  <w:shd w:val="clear" w:color="auto" w:fill="auto"/>
                  <w:vAlign w:val="center"/>
                </w:tcPr>
                <w:p w14:paraId="620D07F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20</w:t>
                  </w:r>
                </w:p>
              </w:tc>
              <w:tc>
                <w:tcPr>
                  <w:tcW w:w="537" w:type="pct"/>
                  <w:tcBorders>
                    <w:tl2br w:val="nil"/>
                    <w:tr2bl w:val="nil"/>
                  </w:tcBorders>
                  <w:vAlign w:val="center"/>
                </w:tcPr>
                <w:p w14:paraId="1FFE81C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生活垃圾</w:t>
                  </w:r>
                </w:p>
              </w:tc>
              <w:tc>
                <w:tcPr>
                  <w:tcW w:w="685" w:type="pct"/>
                  <w:tcBorders>
                    <w:tl2br w:val="nil"/>
                    <w:tr2bl w:val="nil"/>
                  </w:tcBorders>
                  <w:vAlign w:val="center"/>
                </w:tcPr>
                <w:p w14:paraId="036607A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职工生活</w:t>
                  </w:r>
                </w:p>
              </w:tc>
              <w:tc>
                <w:tcPr>
                  <w:tcW w:w="825" w:type="pct"/>
                  <w:tcBorders>
                    <w:tl2br w:val="nil"/>
                    <w:tr2bl w:val="nil"/>
                  </w:tcBorders>
                  <w:vAlign w:val="center"/>
                </w:tcPr>
                <w:p w14:paraId="2D7CD171">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w:t>
                  </w:r>
                </w:p>
              </w:tc>
              <w:tc>
                <w:tcPr>
                  <w:tcW w:w="708" w:type="pct"/>
                  <w:tcBorders>
                    <w:tl2br w:val="nil"/>
                    <w:tr2bl w:val="nil"/>
                  </w:tcBorders>
                  <w:shd w:val="clear" w:color="auto" w:fill="auto"/>
                  <w:vAlign w:val="center"/>
                </w:tcPr>
                <w:p w14:paraId="243A7C8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 xml:space="preserve">900-099-S64 </w:t>
                  </w:r>
                </w:p>
              </w:tc>
              <w:tc>
                <w:tcPr>
                  <w:tcW w:w="801" w:type="pct"/>
                  <w:tcBorders>
                    <w:tl2br w:val="nil"/>
                    <w:tr2bl w:val="nil"/>
                  </w:tcBorders>
                  <w:vAlign w:val="center"/>
                </w:tcPr>
                <w:p w14:paraId="30BA5BF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15</w:t>
                  </w:r>
                </w:p>
              </w:tc>
              <w:tc>
                <w:tcPr>
                  <w:tcW w:w="1187" w:type="pct"/>
                  <w:vMerge w:val="continue"/>
                  <w:tcBorders>
                    <w:tl2br w:val="nil"/>
                    <w:tr2bl w:val="nil"/>
                  </w:tcBorders>
                  <w:vAlign w:val="center"/>
                </w:tcPr>
                <w:p w14:paraId="4629B324">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sz w:val="21"/>
                      <w:szCs w:val="21"/>
                      <w:lang w:val="en-US" w:eastAsia="zh-CN" w:bidi="ar-SA"/>
                    </w:rPr>
                  </w:pPr>
                </w:p>
              </w:tc>
            </w:tr>
          </w:tbl>
          <w:p w14:paraId="620A66DD">
            <w:pPr>
              <w:spacing w:line="500" w:lineRule="exact"/>
              <w:ind w:firstLine="440" w:firstLineChars="200"/>
              <w:jc w:val="left"/>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经采取上述措施后，项目一般固体废物的处理和处置措施符合《一般工业固体废物贮存和填埋污染控制标准》（GB18599-2020）要求，危险废物的处理和处置措施符合《危险废物贮存污染控制标准》（GB18597-2023）中的要求，对周围环境影响很小。</w:t>
            </w:r>
          </w:p>
          <w:p w14:paraId="7A0FB9F9">
            <w:pPr>
              <w:widowControl w:val="0"/>
              <w:autoSpaceDE w:val="0"/>
              <w:autoSpaceDN w:val="0"/>
              <w:adjustRightInd w:val="0"/>
              <w:spacing w:line="500" w:lineRule="exact"/>
              <w:ind w:firstLine="442" w:firstLineChars="200"/>
              <w:rPr>
                <w:rFonts w:hint="default" w:ascii="Times New Roman" w:hAnsi="Times New Roman" w:eastAsia="宋体" w:cs="Times New Roman"/>
                <w:b/>
                <w:color w:val="auto"/>
                <w:sz w:val="24"/>
                <w:szCs w:val="24"/>
                <w:lang w:val="en-US" w:eastAsia="zh-CN" w:bidi="ar-SA"/>
              </w:rPr>
            </w:pPr>
            <w:r>
              <w:rPr>
                <w:rFonts w:hint="default" w:ascii="Times New Roman" w:hAnsi="Times New Roman" w:eastAsia="宋体" w:cs="Times New Roman"/>
                <w:b/>
                <w:color w:val="auto"/>
                <w:sz w:val="22"/>
                <w:szCs w:val="22"/>
                <w:lang w:val="en-US" w:eastAsia="zh-CN" w:bidi="ar-SA"/>
              </w:rPr>
              <w:t>4.4.2 固</w:t>
            </w:r>
            <w:r>
              <w:rPr>
                <w:rFonts w:hint="default" w:ascii="Times New Roman" w:hAnsi="Times New Roman" w:eastAsia="宋体" w:cs="Times New Roman"/>
                <w:b/>
                <w:color w:val="auto"/>
                <w:sz w:val="24"/>
                <w:szCs w:val="24"/>
                <w:lang w:val="en-US" w:eastAsia="zh-CN" w:bidi="ar-SA"/>
              </w:rPr>
              <w:t>体废物环境管理要求</w:t>
            </w:r>
          </w:p>
          <w:p w14:paraId="5BE7B92E">
            <w:pPr>
              <w:spacing w:line="500" w:lineRule="exact"/>
              <w:ind w:firstLine="442" w:firstLineChars="200"/>
              <w:jc w:val="left"/>
              <w:rPr>
                <w:rFonts w:hint="default" w:ascii="Times New Roman" w:hAnsi="Times New Roman" w:eastAsia="宋体" w:cs="Times New Roman"/>
                <w:b/>
                <w:color w:val="auto"/>
                <w:sz w:val="22"/>
                <w:szCs w:val="22"/>
              </w:rPr>
            </w:pPr>
            <w:r>
              <w:rPr>
                <w:rFonts w:hint="default" w:ascii="Times New Roman" w:hAnsi="Times New Roman" w:eastAsia="宋体" w:cs="Times New Roman"/>
                <w:b/>
                <w:color w:val="auto"/>
                <w:sz w:val="22"/>
                <w:szCs w:val="22"/>
              </w:rPr>
              <w:t>⑴生活垃圾和一般固体废物</w:t>
            </w:r>
          </w:p>
          <w:p w14:paraId="1FCCBA26">
            <w:pPr>
              <w:widowControl w:val="0"/>
              <w:adjustRightInd/>
              <w:snapToGrid/>
              <w:spacing w:line="500" w:lineRule="exact"/>
              <w:ind w:left="0" w:leftChars="0" w:right="0" w:rightChars="0"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厂区设置垃圾桶用于存放生活垃圾，委托环卫部门定期清运</w:t>
            </w:r>
            <w:r>
              <w:rPr>
                <w:rFonts w:hint="eastAsia" w:cs="Times New Roman"/>
                <w:color w:val="auto"/>
                <w:kern w:val="2"/>
                <w:sz w:val="22"/>
                <w:szCs w:val="22"/>
                <w:lang w:val="en-US" w:eastAsia="zh-CN" w:bidi="ar-SA"/>
              </w:rPr>
              <w:t>；厂区化粪池污泥</w:t>
            </w:r>
            <w:r>
              <w:rPr>
                <w:rFonts w:hint="default" w:ascii="Times New Roman" w:hAnsi="Times New Roman" w:eastAsia="宋体" w:cs="Times New Roman"/>
                <w:color w:val="auto"/>
                <w:kern w:val="2"/>
                <w:sz w:val="22"/>
                <w:szCs w:val="22"/>
                <w:lang w:val="en-US" w:eastAsia="zh-CN" w:bidi="ar-SA"/>
              </w:rPr>
              <w:t>委托环卫部门定期清运。</w:t>
            </w:r>
          </w:p>
          <w:p w14:paraId="706F25F9">
            <w:pPr>
              <w:pStyle w:val="18"/>
              <w:keepNext w:val="0"/>
              <w:keepLines w:val="0"/>
              <w:pageBreakBefore w:val="0"/>
              <w:widowControl w:val="0"/>
              <w:kinsoku/>
              <w:wordWrap/>
              <w:overflowPunct/>
              <w:topLinePunct w:val="0"/>
              <w:autoSpaceDE/>
              <w:autoSpaceDN/>
              <w:bidi w:val="0"/>
              <w:adjustRightInd w:val="0"/>
              <w:snapToGrid w:val="0"/>
              <w:spacing w:line="500" w:lineRule="atLeast"/>
              <w:ind w:left="0" w:leftChars="0" w:right="0" w:rightChars="0"/>
              <w:textAlignment w:val="auto"/>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项目一般固废暂存仓库严格按照《一般工业固体废物贮存和填埋污染控制标准》（GB18599-2020）中相关要求建设，仓库面积约100m</w:t>
            </w:r>
            <w:r>
              <w:rPr>
                <w:rFonts w:hint="default" w:ascii="Times New Roman" w:hAnsi="Times New Roman" w:eastAsia="宋体" w:cs="Times New Roman"/>
                <w:color w:val="auto"/>
                <w:kern w:val="2"/>
                <w:sz w:val="22"/>
                <w:szCs w:val="22"/>
                <w:vertAlign w:val="superscript"/>
                <w:lang w:val="en-US" w:eastAsia="zh-CN" w:bidi="ar-SA"/>
              </w:rPr>
              <w:t>2</w:t>
            </w:r>
            <w:r>
              <w:rPr>
                <w:rFonts w:hint="default" w:ascii="Times New Roman" w:hAnsi="Times New Roman" w:eastAsia="宋体" w:cs="Times New Roman"/>
                <w:color w:val="auto"/>
                <w:kern w:val="2"/>
                <w:sz w:val="22"/>
                <w:szCs w:val="22"/>
                <w:lang w:val="en-US" w:eastAsia="zh-CN" w:bidi="ar-SA"/>
              </w:rPr>
              <w:t>，最大暂存量约100t，本项目一般工业固废的产生量为74.750t/a，每季度处理1次，单次储存量约为18.688t，一般固废库可以满足本项目一般固废暂存需要。</w:t>
            </w:r>
          </w:p>
          <w:p w14:paraId="71FC3DCD">
            <w:pPr>
              <w:keepNext w:val="0"/>
              <w:keepLines w:val="0"/>
              <w:pageBreakBefore w:val="0"/>
              <w:widowControl w:val="0"/>
              <w:kinsoku/>
              <w:wordWrap/>
              <w:overflowPunct/>
              <w:topLinePunct w:val="0"/>
              <w:autoSpaceDE/>
              <w:autoSpaceDN/>
              <w:bidi w:val="0"/>
              <w:adjustRightInd/>
              <w:snapToGrid/>
              <w:spacing w:line="500" w:lineRule="atLeast"/>
              <w:ind w:firstLine="442" w:firstLineChars="200"/>
              <w:jc w:val="left"/>
              <w:textAlignment w:val="auto"/>
              <w:rPr>
                <w:rFonts w:hint="default" w:ascii="Times New Roman" w:hAnsi="Times New Roman" w:eastAsia="宋体" w:cs="Times New Roman"/>
                <w:b/>
                <w:color w:val="auto"/>
                <w:sz w:val="22"/>
                <w:szCs w:val="22"/>
              </w:rPr>
            </w:pPr>
            <w:r>
              <w:rPr>
                <w:rFonts w:hint="default" w:ascii="Times New Roman" w:hAnsi="Times New Roman" w:eastAsia="宋体" w:cs="Times New Roman"/>
                <w:b/>
                <w:color w:val="auto"/>
                <w:sz w:val="22"/>
                <w:szCs w:val="22"/>
              </w:rPr>
              <w:t>⑵危险废物</w:t>
            </w:r>
          </w:p>
          <w:p w14:paraId="3837111B">
            <w:pPr>
              <w:keepNext w:val="0"/>
              <w:keepLines w:val="0"/>
              <w:pageBreakBefore w:val="0"/>
              <w:widowControl w:val="0"/>
              <w:kinsoku/>
              <w:wordWrap/>
              <w:overflowPunct/>
              <w:topLinePunct w:val="0"/>
              <w:autoSpaceDE/>
              <w:autoSpaceDN/>
              <w:bidi w:val="0"/>
              <w:adjustRightInd w:val="0"/>
              <w:snapToGrid w:val="0"/>
              <w:spacing w:line="500" w:lineRule="atLeast"/>
              <w:ind w:left="0" w:leftChars="0" w:right="0" w:rightChars="0" w:firstLine="442" w:firstLineChars="200"/>
              <w:jc w:val="both"/>
              <w:textAlignment w:val="auto"/>
              <w:rPr>
                <w:rFonts w:hint="default" w:ascii="Times New Roman" w:hAnsi="Times New Roman" w:eastAsia="宋体" w:cs="Times New Roman"/>
                <w:b w:val="0"/>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①收集：</w:t>
            </w:r>
            <w:r>
              <w:rPr>
                <w:rFonts w:hint="default" w:ascii="Times New Roman" w:hAnsi="Times New Roman" w:eastAsia="宋体" w:cs="Times New Roman"/>
                <w:color w:val="auto"/>
                <w:kern w:val="2"/>
                <w:sz w:val="22"/>
                <w:szCs w:val="22"/>
                <w:lang w:val="en-US" w:eastAsia="zh-CN" w:bidi="ar-SA"/>
              </w:rPr>
              <w:t>严格按照《危险废物收集贮存运输技术规范》（HJ 2025-2012）收集危险废物。其收集过程可能因管理不善，导致其泄漏、飞扬，对环境空气、周边水体、地下水等造成污染，或者因包装袋标签标示不清，造成混放，带来交叉污染。</w:t>
            </w:r>
          </w:p>
          <w:p w14:paraId="45A11F97">
            <w:pPr>
              <w:keepNext w:val="0"/>
              <w:keepLines w:val="0"/>
              <w:pageBreakBefore w:val="0"/>
              <w:widowControl w:val="0"/>
              <w:kinsoku/>
              <w:wordWrap/>
              <w:overflowPunct/>
              <w:topLinePunct w:val="0"/>
              <w:autoSpaceDE/>
              <w:autoSpaceDN/>
              <w:bidi w:val="0"/>
              <w:adjustRightInd/>
              <w:snapToGrid/>
              <w:spacing w:line="500" w:lineRule="atLeast"/>
              <w:ind w:firstLine="442" w:firstLineChars="200"/>
              <w:jc w:val="left"/>
              <w:textAlignment w:val="auto"/>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b/>
                <w:bCs/>
                <w:color w:val="auto"/>
                <w:sz w:val="22"/>
                <w:szCs w:val="22"/>
              </w:rPr>
              <w:t>②贮存：</w:t>
            </w:r>
            <w:r>
              <w:rPr>
                <w:rFonts w:hint="default" w:ascii="Times New Roman" w:hAnsi="Times New Roman" w:eastAsia="宋体" w:cs="Times New Roman"/>
                <w:color w:val="auto"/>
                <w:sz w:val="22"/>
                <w:szCs w:val="22"/>
              </w:rPr>
              <w:t>严格按照《危险废物贮存污染控制标准》</w:t>
            </w:r>
            <w:r>
              <w:rPr>
                <w:rFonts w:hint="eastAsia" w:cs="Times New Roman"/>
                <w:color w:val="auto"/>
                <w:sz w:val="22"/>
                <w:szCs w:val="22"/>
                <w:lang w:eastAsia="zh-CN"/>
              </w:rPr>
              <w:t>（</w:t>
            </w:r>
            <w:r>
              <w:rPr>
                <w:rFonts w:hint="eastAsia" w:ascii="Times New Roman" w:hAnsi="Times New Roman" w:cs="Times New Roman"/>
                <w:color w:val="auto"/>
                <w:sz w:val="22"/>
                <w:szCs w:val="22"/>
                <w:lang w:eastAsia="zh-CN"/>
              </w:rPr>
              <w:t>GB18597-2023</w:t>
            </w:r>
            <w:r>
              <w:rPr>
                <w:rFonts w:hint="eastAsia" w:cs="Times New Roman"/>
                <w:color w:val="auto"/>
                <w:sz w:val="22"/>
                <w:szCs w:val="22"/>
                <w:lang w:eastAsia="zh-CN"/>
              </w:rPr>
              <w:t>）</w:t>
            </w:r>
            <w:r>
              <w:rPr>
                <w:rFonts w:hint="default" w:ascii="Times New Roman" w:hAnsi="Times New Roman" w:eastAsia="宋体" w:cs="Times New Roman"/>
                <w:color w:val="auto"/>
                <w:sz w:val="22"/>
                <w:szCs w:val="22"/>
              </w:rPr>
              <w:t>相关要求规范化设置和管理危险废物暂存仓库。厂区危废暂存仓库面积约</w:t>
            </w:r>
            <w:r>
              <w:rPr>
                <w:rFonts w:hint="eastAsia" w:ascii="Times New Roman" w:hAnsi="Times New Roman" w:cs="Times New Roman"/>
                <w:color w:val="auto"/>
                <w:sz w:val="22"/>
                <w:szCs w:val="22"/>
                <w:lang w:val="en-US" w:eastAsia="zh-CN"/>
              </w:rPr>
              <w:t>17.5</w:t>
            </w:r>
            <w:r>
              <w:rPr>
                <w:rFonts w:hint="default" w:ascii="Times New Roman" w:hAnsi="Times New Roman" w:eastAsia="宋体" w:cs="Times New Roman"/>
                <w:color w:val="auto"/>
                <w:sz w:val="22"/>
                <w:szCs w:val="22"/>
              </w:rPr>
              <w:t>m</w:t>
            </w:r>
            <w:r>
              <w:rPr>
                <w:rFonts w:hint="default" w:ascii="Times New Roman" w:hAnsi="Times New Roman" w:eastAsia="宋体" w:cs="Times New Roman"/>
                <w:color w:val="auto"/>
                <w:sz w:val="22"/>
                <w:szCs w:val="22"/>
                <w:vertAlign w:val="superscript"/>
              </w:rPr>
              <w:t>2</w:t>
            </w:r>
            <w:r>
              <w:rPr>
                <w:rFonts w:hint="default" w:ascii="Times New Roman" w:hAnsi="Times New Roman" w:eastAsia="宋体" w:cs="Times New Roman"/>
                <w:color w:val="auto"/>
                <w:sz w:val="22"/>
                <w:szCs w:val="22"/>
              </w:rPr>
              <w:t>，高度约</w:t>
            </w:r>
            <w:r>
              <w:rPr>
                <w:rFonts w:hint="eastAsia" w:ascii="Times New Roman" w:hAnsi="Times New Roman" w:cs="Times New Roman"/>
                <w:color w:val="auto"/>
                <w:sz w:val="22"/>
                <w:szCs w:val="22"/>
                <w:lang w:val="en-US" w:eastAsia="zh-CN"/>
              </w:rPr>
              <w:t>3</w:t>
            </w:r>
            <w:r>
              <w:rPr>
                <w:rFonts w:hint="default" w:ascii="Times New Roman" w:hAnsi="Times New Roman" w:eastAsia="宋体" w:cs="Times New Roman"/>
                <w:color w:val="auto"/>
                <w:sz w:val="22"/>
                <w:szCs w:val="22"/>
              </w:rPr>
              <w:t>m，</w:t>
            </w:r>
            <w:r>
              <w:rPr>
                <w:rFonts w:hint="eastAsia" w:ascii="Times New Roman" w:hAnsi="Times New Roman" w:cs="Times New Roman"/>
                <w:color w:val="auto"/>
                <w:sz w:val="22"/>
                <w:szCs w:val="22"/>
                <w:lang w:eastAsia="zh-CN"/>
              </w:rPr>
              <w:t>一</w:t>
            </w:r>
            <w:r>
              <w:rPr>
                <w:rFonts w:hint="default" w:ascii="Times New Roman" w:hAnsi="Times New Roman" w:eastAsia="宋体" w:cs="Times New Roman"/>
                <w:color w:val="auto"/>
                <w:sz w:val="22"/>
                <w:szCs w:val="22"/>
              </w:rPr>
              <w:t>般情况下，1平方米的仓库贮存能力是1吨</w:t>
            </w:r>
            <w:r>
              <w:rPr>
                <w:rFonts w:hint="eastAsia" w:ascii="Times New Roman" w:hAnsi="Times New Roman" w:cs="Times New Roman"/>
                <w:color w:val="auto"/>
                <w:sz w:val="22"/>
                <w:szCs w:val="22"/>
                <w:lang w:eastAsia="zh-CN"/>
              </w:rPr>
              <w:t>；</w:t>
            </w:r>
            <w:r>
              <w:rPr>
                <w:rFonts w:hint="default" w:ascii="Times New Roman" w:hAnsi="Times New Roman" w:eastAsia="宋体" w:cs="Times New Roman"/>
                <w:color w:val="auto"/>
                <w:sz w:val="22"/>
                <w:szCs w:val="22"/>
              </w:rPr>
              <w:t>有货架的，1平方米的仓库贮存能力是1.5吨。</w:t>
            </w:r>
            <w:r>
              <w:rPr>
                <w:rFonts w:hint="eastAsia" w:ascii="Times New Roman" w:hAnsi="Times New Roman" w:cs="Times New Roman"/>
                <w:color w:val="auto"/>
                <w:sz w:val="22"/>
                <w:szCs w:val="22"/>
                <w:lang w:eastAsia="zh-CN"/>
              </w:rPr>
              <w:t>本项目设置货架，1平方米的仓库贮存能力按照1</w:t>
            </w:r>
            <w:r>
              <w:rPr>
                <w:rFonts w:hint="eastAsia" w:cs="Times New Roman"/>
                <w:color w:val="auto"/>
                <w:sz w:val="22"/>
                <w:szCs w:val="22"/>
                <w:lang w:val="en-US" w:eastAsia="zh-CN"/>
              </w:rPr>
              <w:t>.5</w:t>
            </w:r>
            <w:r>
              <w:rPr>
                <w:rFonts w:hint="eastAsia" w:ascii="Times New Roman" w:hAnsi="Times New Roman" w:cs="Times New Roman"/>
                <w:color w:val="auto"/>
                <w:sz w:val="22"/>
                <w:szCs w:val="22"/>
                <w:lang w:eastAsia="zh-CN"/>
              </w:rPr>
              <w:t>吨计算，</w:t>
            </w:r>
            <w:r>
              <w:rPr>
                <w:rFonts w:hint="default" w:ascii="Times New Roman" w:hAnsi="Times New Roman" w:eastAsia="宋体" w:cs="Times New Roman"/>
                <w:color w:val="auto"/>
                <w:sz w:val="22"/>
                <w:szCs w:val="22"/>
              </w:rPr>
              <w:t>则最大暂存量约</w:t>
            </w:r>
            <w:r>
              <w:rPr>
                <w:rFonts w:hint="eastAsia" w:cs="Times New Roman"/>
                <w:color w:val="auto"/>
                <w:sz w:val="22"/>
                <w:szCs w:val="22"/>
                <w:lang w:val="en-US" w:eastAsia="zh-CN"/>
              </w:rPr>
              <w:t>26.25</w:t>
            </w:r>
            <w:r>
              <w:rPr>
                <w:rFonts w:hint="default" w:ascii="Times New Roman" w:hAnsi="Times New Roman" w:eastAsia="宋体" w:cs="Times New Roman"/>
                <w:color w:val="auto"/>
                <w:sz w:val="22"/>
                <w:szCs w:val="22"/>
              </w:rPr>
              <w:t>吨，</w:t>
            </w:r>
            <w:r>
              <w:rPr>
                <w:rFonts w:hint="eastAsia" w:ascii="Times New Roman" w:hAnsi="Times New Roman" w:cs="Times New Roman"/>
                <w:color w:val="auto"/>
                <w:sz w:val="22"/>
                <w:szCs w:val="22"/>
                <w:lang w:eastAsia="zh-CN"/>
              </w:rPr>
              <w:t>根据表</w:t>
            </w:r>
            <w:r>
              <w:rPr>
                <w:rFonts w:hint="eastAsia" w:ascii="Times New Roman" w:hAnsi="Times New Roman" w:cs="Times New Roman"/>
                <w:color w:val="auto"/>
                <w:sz w:val="22"/>
                <w:szCs w:val="22"/>
                <w:lang w:val="en-US" w:eastAsia="zh-CN"/>
              </w:rPr>
              <w:t>4.4-2可知，本项目危废最大暂存量为</w:t>
            </w:r>
            <w:r>
              <w:rPr>
                <w:rFonts w:hint="eastAsia" w:cs="Times New Roman"/>
                <w:color w:val="auto"/>
                <w:sz w:val="22"/>
                <w:szCs w:val="22"/>
                <w:lang w:val="en-US" w:eastAsia="zh-CN"/>
              </w:rPr>
              <w:t>26.045</w:t>
            </w:r>
            <w:r>
              <w:rPr>
                <w:rFonts w:hint="eastAsia" w:ascii="Times New Roman" w:hAnsi="Times New Roman" w:cs="Times New Roman"/>
                <w:color w:val="auto"/>
                <w:sz w:val="22"/>
                <w:szCs w:val="22"/>
                <w:lang w:val="en-US" w:eastAsia="zh-CN"/>
              </w:rPr>
              <w:t>t，厂区危废暂存仓库可以</w:t>
            </w:r>
            <w:r>
              <w:rPr>
                <w:rFonts w:hint="default" w:ascii="Times New Roman" w:hAnsi="Times New Roman" w:eastAsia="宋体" w:cs="Times New Roman"/>
                <w:color w:val="auto"/>
                <w:sz w:val="22"/>
                <w:szCs w:val="22"/>
              </w:rPr>
              <w:t>满足本</w:t>
            </w:r>
          </w:p>
        </w:tc>
      </w:tr>
    </w:tbl>
    <w:p w14:paraId="495ECF87">
      <w:pPr>
        <w:pStyle w:val="29"/>
        <w:rPr>
          <w:rFonts w:hint="eastAsia"/>
          <w:color w:val="auto"/>
        </w:rPr>
        <w:sectPr>
          <w:pgSz w:w="16840" w:h="11907" w:orient="landscape"/>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tbl>
      <w:tblPr>
        <w:tblStyle w:val="43"/>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57" w:type="dxa"/>
          <w:bottom w:w="0" w:type="dxa"/>
          <w:right w:w="57" w:type="dxa"/>
        </w:tblCellMar>
      </w:tblPr>
      <w:tblGrid>
        <w:gridCol w:w="566"/>
        <w:gridCol w:w="9187"/>
      </w:tblGrid>
      <w:tr w14:paraId="0FB1CF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13378" w:hRule="atLeast"/>
          <w:jc w:val="center"/>
        </w:trPr>
        <w:tc>
          <w:tcPr>
            <w:tcW w:w="290" w:type="pct"/>
            <w:tcBorders>
              <w:tl2br w:val="nil"/>
              <w:tr2bl w:val="nil"/>
            </w:tcBorders>
            <w:noWrap w:val="0"/>
            <w:vAlign w:val="center"/>
          </w:tcPr>
          <w:p w14:paraId="27E88D97">
            <w:pPr>
              <w:keepNext w:val="0"/>
              <w:keepLines w:val="0"/>
              <w:pageBreakBefore w:val="0"/>
              <w:widowControl w:val="0"/>
              <w:kinsoku/>
              <w:wordWrap/>
              <w:overflowPunct/>
              <w:topLinePunct w:val="0"/>
              <w:bidi w:val="0"/>
              <w:adjustRightInd w:val="0"/>
              <w:snapToGrid w:val="0"/>
              <w:spacing w:line="500" w:lineRule="exact"/>
              <w:jc w:val="center"/>
              <w:textAlignment w:val="auto"/>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sz w:val="22"/>
                <w:szCs w:val="22"/>
              </w:rPr>
              <w:t>运营期环境影响和保护措施</w:t>
            </w:r>
          </w:p>
        </w:tc>
        <w:tc>
          <w:tcPr>
            <w:tcW w:w="4709" w:type="pct"/>
            <w:tcBorders>
              <w:tl2br w:val="nil"/>
              <w:tr2bl w:val="nil"/>
            </w:tcBorders>
            <w:noWrap w:val="0"/>
            <w:vAlign w:val="top"/>
          </w:tcPr>
          <w:p w14:paraId="0440760F">
            <w:pPr>
              <w:keepNext w:val="0"/>
              <w:keepLines w:val="0"/>
              <w:pageBreakBefore w:val="0"/>
              <w:widowControl w:val="0"/>
              <w:kinsoku/>
              <w:wordWrap/>
              <w:overflowPunct/>
              <w:topLinePunct w:val="0"/>
              <w:autoSpaceDE/>
              <w:autoSpaceDN/>
              <w:bidi w:val="0"/>
              <w:adjustRightInd/>
              <w:snapToGrid/>
              <w:spacing w:line="500" w:lineRule="atLeast"/>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项目危险固废暂存需要。</w:t>
            </w:r>
          </w:p>
          <w:p w14:paraId="6C304ABD">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项目危废于危废暂存仓库暂存过程中，如果防风措施不到位，可能随风扬散，将对环境空气造成影响，比较严重的情况，可能对周边居民造成影响。如果防雨措施不到位、防渗不满足要求，将导致危废中所带污染物通过下渗对周边地表水、地下水、土壤带来污染。</w:t>
            </w:r>
          </w:p>
          <w:p w14:paraId="1DDEFB43">
            <w:pPr>
              <w:keepNext w:val="0"/>
              <w:keepLines w:val="0"/>
              <w:pageBreakBefore w:val="0"/>
              <w:widowControl w:val="0"/>
              <w:kinsoku/>
              <w:wordWrap/>
              <w:overflowPunct/>
              <w:topLinePunct w:val="0"/>
              <w:autoSpaceDE/>
              <w:autoSpaceDN/>
              <w:bidi w:val="0"/>
              <w:adjustRightInd/>
              <w:snapToGrid/>
              <w:spacing w:line="500" w:lineRule="exact"/>
              <w:ind w:firstLine="442" w:firstLineChars="200"/>
              <w:jc w:val="left"/>
              <w:textAlignment w:val="auto"/>
              <w:rPr>
                <w:rFonts w:hint="default" w:ascii="Times New Roman" w:hAnsi="Times New Roman" w:eastAsia="宋体" w:cs="Times New Roman"/>
                <w:color w:val="auto"/>
                <w:sz w:val="22"/>
                <w:szCs w:val="22"/>
                <w:lang w:bidi="ar"/>
              </w:rPr>
            </w:pPr>
            <w:r>
              <w:rPr>
                <w:rFonts w:hint="default" w:ascii="Times New Roman" w:hAnsi="Times New Roman" w:eastAsia="宋体" w:cs="Times New Roman"/>
                <w:b/>
                <w:bCs/>
                <w:color w:val="auto"/>
                <w:sz w:val="22"/>
                <w:szCs w:val="22"/>
              </w:rPr>
              <w:t>③运输：</w:t>
            </w:r>
            <w:r>
              <w:rPr>
                <w:rFonts w:hint="eastAsia" w:ascii="Times New Roman" w:hAnsi="Times New Roman" w:eastAsia="宋体" w:cs="Times New Roman"/>
                <w:color w:val="auto"/>
                <w:sz w:val="22"/>
                <w:szCs w:val="22"/>
                <w:lang w:val="en-US" w:eastAsia="zh-CN" w:bidi="ar"/>
              </w:rPr>
              <w:t>本</w:t>
            </w:r>
            <w:r>
              <w:rPr>
                <w:rFonts w:hint="default" w:ascii="Times New Roman" w:hAnsi="Times New Roman" w:eastAsia="宋体" w:cs="Times New Roman"/>
                <w:color w:val="auto"/>
                <w:sz w:val="22"/>
                <w:szCs w:val="22"/>
                <w:lang w:bidi="ar"/>
              </w:rPr>
              <w:t>项目危险废物在厂区内的运输应严格按照《危险废物收集贮存运输技术规范》（HJ2025-2012）进行，委托处置转移过程的运输由取得交通运输部门颁发的危险货物运输资质的专业运输公司按规范进行，做到密闭遮盖运输，车厢底层设置防渗漏垫层，防止在运输途中散漏或雨水的淋洗，不在本项目的评价范围内。</w:t>
            </w:r>
          </w:p>
          <w:p w14:paraId="7746699A">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bidi="ar"/>
              </w:rPr>
              <w:t>危险废物在企业</w:t>
            </w:r>
            <w:r>
              <w:rPr>
                <w:rFonts w:hint="default" w:ascii="Times New Roman" w:hAnsi="Times New Roman" w:eastAsia="宋体" w:cs="Times New Roman"/>
                <w:color w:val="auto"/>
                <w:sz w:val="22"/>
                <w:szCs w:val="22"/>
              </w:rPr>
              <w:t>内部的转移是指在危险废物产生节点根据危险废物的种类、数量、危险特性、物理形态、运输要求等因素确定包装形式，并将其集中到适当的包装容器中，运至厂内危废暂存场所暂存，运输过程主要注意以下要点：</w:t>
            </w:r>
          </w:p>
          <w:p w14:paraId="6B135299">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A应综合考虑厂区的实际情况确定转运路线，尽量避开办公生活区；</w:t>
            </w:r>
          </w:p>
          <w:p w14:paraId="261BB93A">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B应采用专用的工具，参照《危险废物收集贮存运输技术规范》（HJ2025-2012）附录B填写《危险废物厂内转运记录表》；</w:t>
            </w:r>
          </w:p>
          <w:p w14:paraId="61866844">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C危险废物内部转运结束后，应对转运路线进行检查和清理，确保无危险废物遗失在转运路线上，并对转运工具进行清洗。</w:t>
            </w:r>
          </w:p>
          <w:p w14:paraId="6133022A">
            <w:pPr>
              <w:keepNext w:val="0"/>
              <w:keepLines w:val="0"/>
              <w:pageBreakBefore w:val="0"/>
              <w:widowControl w:val="0"/>
              <w:kinsoku/>
              <w:wordWrap/>
              <w:overflowPunct/>
              <w:topLinePunct w:val="0"/>
              <w:autoSpaceDE/>
              <w:autoSpaceDN/>
              <w:bidi w:val="0"/>
              <w:adjustRightInd/>
              <w:snapToGrid/>
              <w:spacing w:line="500" w:lineRule="exact"/>
              <w:ind w:firstLine="442"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
                <w:bCs/>
                <w:color w:val="auto"/>
                <w:sz w:val="22"/>
                <w:szCs w:val="22"/>
              </w:rPr>
              <w:t>④处置：</w:t>
            </w:r>
            <w:r>
              <w:rPr>
                <w:rFonts w:hint="default" w:ascii="Times New Roman" w:hAnsi="Times New Roman" w:eastAsia="宋体" w:cs="Times New Roman"/>
                <w:color w:val="auto"/>
                <w:sz w:val="22"/>
                <w:szCs w:val="22"/>
              </w:rPr>
              <w:t>项目</w:t>
            </w:r>
            <w:r>
              <w:rPr>
                <w:rFonts w:hint="eastAsia" w:ascii="Times New Roman" w:hAnsi="Times New Roman" w:cs="Times New Roman"/>
                <w:color w:val="auto"/>
                <w:sz w:val="22"/>
                <w:szCs w:val="22"/>
                <w:lang w:eastAsia="zh-CN"/>
              </w:rPr>
              <w:t>产生的危废</w:t>
            </w:r>
            <w:r>
              <w:rPr>
                <w:rFonts w:hint="default" w:ascii="Times New Roman" w:hAnsi="Times New Roman" w:eastAsia="宋体" w:cs="Times New Roman"/>
                <w:color w:val="auto"/>
                <w:sz w:val="22"/>
                <w:szCs w:val="22"/>
              </w:rPr>
              <w:t>废活性炭、</w:t>
            </w:r>
            <w:r>
              <w:rPr>
                <w:rFonts w:hint="eastAsia" w:ascii="Times New Roman" w:hAnsi="Times New Roman" w:cs="Times New Roman"/>
                <w:color w:val="auto"/>
                <w:sz w:val="22"/>
                <w:szCs w:val="22"/>
                <w:lang w:eastAsia="zh-CN"/>
              </w:rPr>
              <w:t>废机油、</w:t>
            </w:r>
            <w:r>
              <w:rPr>
                <w:rFonts w:hint="default" w:ascii="Times New Roman" w:hAnsi="Times New Roman" w:eastAsia="宋体" w:cs="Times New Roman"/>
                <w:color w:val="auto"/>
                <w:sz w:val="22"/>
                <w:szCs w:val="22"/>
              </w:rPr>
              <w:t>废</w:t>
            </w:r>
            <w:r>
              <w:rPr>
                <w:rFonts w:hint="eastAsia" w:ascii="Times New Roman" w:hAnsi="Times New Roman" w:cs="Times New Roman"/>
                <w:color w:val="auto"/>
                <w:sz w:val="22"/>
                <w:szCs w:val="22"/>
                <w:lang w:eastAsia="zh-CN"/>
              </w:rPr>
              <w:t>油</w:t>
            </w:r>
            <w:r>
              <w:rPr>
                <w:rFonts w:hint="default" w:ascii="Times New Roman" w:hAnsi="Times New Roman" w:eastAsia="宋体" w:cs="Times New Roman"/>
                <w:color w:val="auto"/>
                <w:sz w:val="22"/>
                <w:szCs w:val="22"/>
              </w:rPr>
              <w:t>桶</w:t>
            </w:r>
            <w:r>
              <w:rPr>
                <w:rFonts w:hint="eastAsia" w:ascii="Times New Roman" w:hAnsi="Times New Roman" w:cs="Times New Roman"/>
                <w:color w:val="auto"/>
                <w:sz w:val="22"/>
                <w:szCs w:val="22"/>
                <w:lang w:eastAsia="zh-CN"/>
              </w:rPr>
              <w:t>等</w:t>
            </w:r>
            <w:r>
              <w:rPr>
                <w:rFonts w:hint="default" w:ascii="Times New Roman" w:hAnsi="Times New Roman" w:eastAsia="宋体" w:cs="Times New Roman"/>
                <w:color w:val="auto"/>
                <w:sz w:val="22"/>
                <w:szCs w:val="22"/>
              </w:rPr>
              <w:t>应就近交由有资质单位进行处置（资质中需含有 HW49类别），由其委托运输单位进行运输。运输转移过程应严格执行危险废物转移联单制度。一般情况下运输过程中不会发生散落和泄漏。</w:t>
            </w:r>
          </w:p>
          <w:p w14:paraId="2783CDD3">
            <w:pPr>
              <w:keepNext w:val="0"/>
              <w:keepLines w:val="0"/>
              <w:pageBreakBefore w:val="0"/>
              <w:widowControl w:val="0"/>
              <w:kinsoku/>
              <w:wordWrap/>
              <w:overflowPunct/>
              <w:topLinePunct w:val="0"/>
              <w:autoSpaceDE/>
              <w:autoSpaceDN/>
              <w:bidi w:val="0"/>
              <w:adjustRightInd/>
              <w:snapToGrid/>
              <w:spacing w:line="500" w:lineRule="exact"/>
              <w:ind w:left="420" w:leftChars="200"/>
              <w:jc w:val="left"/>
              <w:textAlignment w:val="auto"/>
              <w:rPr>
                <w:rFonts w:hint="default" w:ascii="Times New Roman" w:hAnsi="Times New Roman" w:eastAsia="宋体" w:cs="Times New Roman"/>
                <w:b/>
                <w:bCs/>
                <w:color w:val="auto"/>
                <w:sz w:val="22"/>
                <w:szCs w:val="22"/>
              </w:rPr>
            </w:pPr>
            <w:r>
              <w:rPr>
                <w:rFonts w:hint="default" w:ascii="Times New Roman" w:hAnsi="Times New Roman" w:eastAsia="宋体" w:cs="Times New Roman"/>
                <w:b/>
                <w:bCs/>
                <w:color w:val="auto"/>
                <w:sz w:val="22"/>
                <w:szCs w:val="22"/>
              </w:rPr>
              <w:t>⑤</w:t>
            </w:r>
            <w:r>
              <w:rPr>
                <w:rFonts w:hint="default" w:ascii="Times New Roman" w:hAnsi="Times New Roman" w:eastAsia="宋体" w:cs="Times New Roman"/>
                <w:b/>
                <w:bCs/>
                <w:color w:val="auto"/>
                <w:kern w:val="0"/>
                <w:sz w:val="22"/>
                <w:szCs w:val="22"/>
                <w:lang w:bidi="ar"/>
              </w:rPr>
              <w:t>日常管理</w:t>
            </w:r>
            <w:r>
              <w:rPr>
                <w:rFonts w:hint="default" w:ascii="Times New Roman" w:hAnsi="Times New Roman" w:eastAsia="宋体" w:cs="Times New Roman"/>
                <w:b/>
                <w:bCs/>
                <w:color w:val="auto"/>
                <w:sz w:val="22"/>
                <w:szCs w:val="22"/>
              </w:rPr>
              <w:t>：</w:t>
            </w:r>
          </w:p>
          <w:p w14:paraId="6A35142D">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lang w:bidi="ar"/>
              </w:rPr>
              <w:t xml:space="preserve">A履行申报登记制度； </w:t>
            </w:r>
          </w:p>
          <w:p w14:paraId="1D67B4A3">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lang w:bidi="ar"/>
              </w:rPr>
              <w:t xml:space="preserve">B建立台账管理制度，企业须做好危险废物情况的记录，记录上需注明危险废物的名称、来源、数量、特性和包装容器的类别； </w:t>
            </w:r>
          </w:p>
          <w:p w14:paraId="1B25830C">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lang w:bidi="ar"/>
              </w:rPr>
              <w:t xml:space="preserve">C委托处置应执行报批和转移联单等制度； </w:t>
            </w:r>
          </w:p>
          <w:p w14:paraId="3940C3F1">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lang w:bidi="ar"/>
              </w:rPr>
              <w:t xml:space="preserve">D定期对暂存的危险废物包装容器及贮存设施进行检查，及早发现破损，及时采取措施清理更换； </w:t>
            </w:r>
          </w:p>
          <w:p w14:paraId="0AEEA26C">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left"/>
              <w:textAlignment w:val="auto"/>
              <w:rPr>
                <w:rFonts w:hint="eastAsia" w:ascii="Times New Roman" w:hAnsi="Times New Roman" w:eastAsia="宋体" w:cs="Times New Roman"/>
                <w:color w:val="auto"/>
                <w:kern w:val="0"/>
                <w:sz w:val="22"/>
                <w:szCs w:val="22"/>
                <w:lang w:eastAsia="zh-CN" w:bidi="ar"/>
              </w:rPr>
            </w:pPr>
            <w:r>
              <w:rPr>
                <w:rFonts w:hint="default" w:ascii="Times New Roman" w:hAnsi="Times New Roman" w:eastAsia="宋体" w:cs="Times New Roman"/>
                <w:color w:val="auto"/>
                <w:kern w:val="0"/>
                <w:sz w:val="22"/>
                <w:szCs w:val="22"/>
                <w:lang w:bidi="ar"/>
              </w:rPr>
              <w:t>E直接从事收集、贮存、运输、利用、处置危险废物的人员，应当接受专业培训，经考核合格，方可从事该项工作</w:t>
            </w:r>
            <w:r>
              <w:rPr>
                <w:rFonts w:hint="eastAsia" w:ascii="Times New Roman" w:hAnsi="Times New Roman" w:eastAsia="宋体" w:cs="Times New Roman"/>
                <w:color w:val="auto"/>
                <w:kern w:val="0"/>
                <w:sz w:val="22"/>
                <w:szCs w:val="22"/>
                <w:lang w:eastAsia="zh-CN" w:bidi="ar"/>
              </w:rPr>
              <w:t>；</w:t>
            </w:r>
          </w:p>
          <w:p w14:paraId="094198D3">
            <w:pPr>
              <w:keepNext w:val="0"/>
              <w:keepLines w:val="0"/>
              <w:pageBreakBefore w:val="0"/>
              <w:widowControl w:val="0"/>
              <w:kinsoku/>
              <w:wordWrap/>
              <w:overflowPunct/>
              <w:topLinePunct w:val="0"/>
              <w:autoSpaceDE/>
              <w:autoSpaceDN/>
              <w:bidi w:val="0"/>
              <w:adjustRightInd/>
              <w:snapToGrid/>
              <w:spacing w:line="500" w:lineRule="exact"/>
              <w:ind w:firstLine="440" w:firstLineChars="200"/>
              <w:jc w:val="both"/>
              <w:textAlignment w:val="auto"/>
              <w:rPr>
                <w:rFonts w:hint="default" w:ascii="Times New Roman" w:hAnsi="Times New Roman" w:eastAsia="宋体" w:cs="Times New Roman"/>
                <w:color w:val="auto"/>
                <w:kern w:val="0"/>
                <w:sz w:val="22"/>
                <w:szCs w:val="22"/>
                <w:lang w:bidi="ar"/>
              </w:rPr>
            </w:pPr>
            <w:r>
              <w:rPr>
                <w:rFonts w:hint="default" w:ascii="Times New Roman" w:hAnsi="Times New Roman" w:eastAsia="宋体" w:cs="Times New Roman"/>
                <w:color w:val="auto"/>
                <w:kern w:val="0"/>
                <w:sz w:val="22"/>
                <w:szCs w:val="22"/>
                <w:lang w:bidi="ar"/>
              </w:rPr>
              <w:t>F固废贮存（处置）场所规范化设置。贮存场所设置符合《环境保护图形标志-固体废物贮存（处置）场》（GB15562.2-1995）及</w:t>
            </w:r>
            <w:r>
              <w:rPr>
                <w:rFonts w:hint="default" w:ascii="Times New Roman" w:hAnsi="Times New Roman" w:eastAsia="宋体" w:cs="Times New Roman"/>
                <w:color w:val="auto"/>
                <w:kern w:val="0"/>
                <w:sz w:val="22"/>
                <w:szCs w:val="22"/>
                <w:lang w:val="en-US" w:eastAsia="zh-CN" w:bidi="ar"/>
              </w:rPr>
              <w:t>《危险废物识别标志设置技术规范》（HJ1276-2022）</w:t>
            </w:r>
            <w:r>
              <w:rPr>
                <w:rFonts w:hint="default" w:ascii="Times New Roman" w:hAnsi="Times New Roman" w:eastAsia="宋体" w:cs="Times New Roman"/>
                <w:color w:val="auto"/>
                <w:kern w:val="0"/>
                <w:sz w:val="22"/>
                <w:szCs w:val="22"/>
                <w:lang w:bidi="ar"/>
              </w:rPr>
              <w:t>的专用警示标识，且在危废暂存仓库内外安装监控视频。</w:t>
            </w:r>
          </w:p>
          <w:p w14:paraId="5E93F63D">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440" w:firstLineChars="200"/>
              <w:jc w:val="left"/>
              <w:textAlignment w:val="auto"/>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0"/>
                <w:sz w:val="22"/>
                <w:szCs w:val="22"/>
                <w:lang w:val="en-US" w:eastAsia="zh-CN" w:bidi="ar"/>
              </w:rPr>
              <w:t>综上，项目产生的固体废物均得到了妥善处置和利用，对外环境影响可减至最小程度。</w:t>
            </w:r>
          </w:p>
          <w:p w14:paraId="05579A2A">
            <w:pPr>
              <w:keepNext w:val="0"/>
              <w:keepLines w:val="0"/>
              <w:pageBreakBefore w:val="0"/>
              <w:widowControl w:val="0"/>
              <w:kinsoku/>
              <w:wordWrap/>
              <w:overflowPunct/>
              <w:topLinePunct w:val="0"/>
              <w:autoSpaceDE/>
              <w:autoSpaceDN/>
              <w:bidi w:val="0"/>
              <w:adjustRightInd/>
              <w:snapToGrid/>
              <w:spacing w:line="500" w:lineRule="exact"/>
              <w:ind w:firstLine="442" w:firstLineChars="200"/>
              <w:jc w:val="left"/>
              <w:textAlignment w:val="auto"/>
              <w:rPr>
                <w:rFonts w:hint="eastAsia" w:ascii="Times New Roman" w:hAnsi="Times New Roman" w:eastAsia="宋体" w:cs="Times New Roman"/>
                <w:b/>
                <w:color w:val="auto"/>
                <w:sz w:val="22"/>
                <w:szCs w:val="22"/>
                <w:lang w:val="en-US" w:eastAsia="zh-CN"/>
              </w:rPr>
            </w:pPr>
            <w:r>
              <w:rPr>
                <w:rFonts w:hint="eastAsia" w:ascii="Times New Roman" w:hAnsi="Times New Roman" w:eastAsia="宋体" w:cs="Times New Roman"/>
                <w:b/>
                <w:color w:val="auto"/>
                <w:sz w:val="22"/>
                <w:szCs w:val="22"/>
                <w:lang w:val="en-US" w:eastAsia="zh-CN"/>
              </w:rPr>
              <w:t xml:space="preserve">4.5 </w:t>
            </w:r>
            <w:r>
              <w:rPr>
                <w:rFonts w:hint="eastAsia" w:ascii="Times New Roman" w:hAnsi="Times New Roman" w:eastAsia="宋体" w:cs="Times New Roman"/>
                <w:b/>
                <w:color w:val="auto"/>
                <w:sz w:val="22"/>
                <w:szCs w:val="22"/>
              </w:rPr>
              <w:t>地下水及土壤污染防治措施</w:t>
            </w:r>
          </w:p>
          <w:p w14:paraId="46721837">
            <w:pPr>
              <w:autoSpaceDE w:val="0"/>
              <w:autoSpaceDN w:val="0"/>
              <w:spacing w:line="500" w:lineRule="exact"/>
              <w:ind w:firstLine="440" w:firstLineChars="200"/>
              <w:rPr>
                <w:rFonts w:hint="default" w:ascii="Times New Roman" w:hAnsi="Times New Roman" w:eastAsia="宋体" w:cs="Times New Roman"/>
                <w:color w:val="auto"/>
                <w:kern w:val="0"/>
                <w:sz w:val="22"/>
                <w:szCs w:val="22"/>
                <w:lang w:val="en-US" w:eastAsia="zh-CN" w:bidi="ar"/>
              </w:rPr>
            </w:pPr>
            <w:r>
              <w:rPr>
                <w:rFonts w:hint="default" w:ascii="Times New Roman" w:hAnsi="Times New Roman" w:eastAsia="宋体" w:cs="Times New Roman"/>
                <w:color w:val="auto"/>
                <w:kern w:val="0"/>
                <w:sz w:val="22"/>
                <w:szCs w:val="22"/>
                <w:lang w:val="en-US" w:eastAsia="zh-CN" w:bidi="ar"/>
              </w:rPr>
              <w:t>针对项目可能发生的地下水</w:t>
            </w:r>
            <w:r>
              <w:rPr>
                <w:rFonts w:hint="eastAsia" w:ascii="Times New Roman" w:hAnsi="Times New Roman" w:eastAsia="宋体" w:cs="Times New Roman"/>
                <w:color w:val="auto"/>
                <w:kern w:val="0"/>
                <w:sz w:val="22"/>
                <w:szCs w:val="22"/>
                <w:lang w:val="en-US" w:eastAsia="zh-CN" w:bidi="ar"/>
              </w:rPr>
              <w:t>及土壤</w:t>
            </w:r>
            <w:r>
              <w:rPr>
                <w:rFonts w:hint="default" w:ascii="Times New Roman" w:hAnsi="Times New Roman" w:eastAsia="宋体" w:cs="Times New Roman"/>
                <w:color w:val="auto"/>
                <w:kern w:val="0"/>
                <w:sz w:val="22"/>
                <w:szCs w:val="22"/>
                <w:lang w:val="en-US" w:eastAsia="zh-CN" w:bidi="ar"/>
              </w:rPr>
              <w:t>污染，污染防治措施按照</w:t>
            </w:r>
            <w:r>
              <w:rPr>
                <w:rFonts w:hint="eastAsia" w:ascii="Times New Roman" w:hAnsi="Times New Roman" w:eastAsia="宋体" w:cs="Times New Roman"/>
                <w:color w:val="auto"/>
                <w:kern w:val="0"/>
                <w:sz w:val="22"/>
                <w:szCs w:val="22"/>
                <w:lang w:val="en-US" w:eastAsia="zh-CN" w:bidi="ar"/>
              </w:rPr>
              <w:t>“</w:t>
            </w:r>
            <w:r>
              <w:rPr>
                <w:rFonts w:hint="default" w:ascii="Times New Roman" w:hAnsi="Times New Roman" w:eastAsia="宋体" w:cs="Times New Roman"/>
                <w:color w:val="auto"/>
                <w:kern w:val="0"/>
                <w:sz w:val="22"/>
                <w:szCs w:val="22"/>
                <w:lang w:val="en-US" w:eastAsia="zh-CN" w:bidi="ar"/>
              </w:rPr>
              <w:t>源头控制、末端防治、应急响应</w:t>
            </w:r>
            <w:r>
              <w:rPr>
                <w:rFonts w:hint="eastAsia" w:ascii="Times New Roman" w:hAnsi="Times New Roman" w:eastAsia="宋体" w:cs="Times New Roman"/>
                <w:color w:val="auto"/>
                <w:kern w:val="0"/>
                <w:sz w:val="22"/>
                <w:szCs w:val="22"/>
                <w:lang w:val="en-US" w:eastAsia="zh-CN" w:bidi="ar"/>
              </w:rPr>
              <w:t>”</w:t>
            </w:r>
            <w:r>
              <w:rPr>
                <w:rFonts w:hint="default" w:ascii="Times New Roman" w:hAnsi="Times New Roman" w:eastAsia="宋体" w:cs="Times New Roman"/>
                <w:color w:val="auto"/>
                <w:kern w:val="0"/>
                <w:sz w:val="22"/>
                <w:szCs w:val="22"/>
                <w:lang w:val="en-US" w:eastAsia="zh-CN" w:bidi="ar"/>
              </w:rPr>
              <w:t>相结合的原则，企业生产</w:t>
            </w:r>
            <w:r>
              <w:rPr>
                <w:rFonts w:hint="eastAsia" w:ascii="Times New Roman" w:hAnsi="Times New Roman" w:eastAsia="宋体" w:cs="Times New Roman"/>
                <w:color w:val="auto"/>
                <w:kern w:val="0"/>
                <w:sz w:val="22"/>
                <w:szCs w:val="22"/>
                <w:lang w:val="en-US" w:eastAsia="zh-CN" w:bidi="ar"/>
              </w:rPr>
              <w:t>车间、化粪池</w:t>
            </w:r>
            <w:r>
              <w:rPr>
                <w:rFonts w:hint="default" w:ascii="Times New Roman" w:hAnsi="Times New Roman" w:eastAsia="宋体" w:cs="Times New Roman"/>
                <w:color w:val="auto"/>
                <w:kern w:val="0"/>
                <w:sz w:val="22"/>
                <w:szCs w:val="22"/>
                <w:lang w:val="en-US" w:eastAsia="zh-CN" w:bidi="ar"/>
              </w:rPr>
              <w:t>等处均需要进行防渗防漏设计。为减少对地下水</w:t>
            </w:r>
            <w:r>
              <w:rPr>
                <w:rFonts w:hint="eastAsia" w:ascii="Times New Roman" w:hAnsi="Times New Roman" w:eastAsia="宋体" w:cs="Times New Roman"/>
                <w:color w:val="auto"/>
                <w:kern w:val="0"/>
                <w:sz w:val="22"/>
                <w:szCs w:val="22"/>
                <w:lang w:val="en-US" w:eastAsia="zh-CN" w:bidi="ar"/>
              </w:rPr>
              <w:t>及土壤</w:t>
            </w:r>
            <w:r>
              <w:rPr>
                <w:rFonts w:hint="default" w:ascii="Times New Roman" w:hAnsi="Times New Roman" w:eastAsia="宋体" w:cs="Times New Roman"/>
                <w:color w:val="auto"/>
                <w:kern w:val="0"/>
                <w:sz w:val="22"/>
                <w:szCs w:val="22"/>
                <w:lang w:val="en-US" w:eastAsia="zh-CN" w:bidi="ar"/>
              </w:rPr>
              <w:t>的影响，本项目应从污染物的产生、入渗、扩散、应急响应全阶段进行控制。</w:t>
            </w:r>
          </w:p>
          <w:p w14:paraId="0DC3CB28">
            <w:pPr>
              <w:autoSpaceDE w:val="0"/>
              <w:autoSpaceDN w:val="0"/>
              <w:spacing w:line="500" w:lineRule="exact"/>
              <w:ind w:firstLine="440" w:firstLineChars="200"/>
              <w:rPr>
                <w:rFonts w:hint="default" w:ascii="Times New Roman" w:hAnsi="Times New Roman" w:eastAsia="宋体" w:cs="Times New Roman"/>
                <w:color w:val="auto"/>
                <w:kern w:val="0"/>
                <w:sz w:val="22"/>
                <w:szCs w:val="22"/>
                <w:lang w:val="en-US" w:eastAsia="zh-CN" w:bidi="ar"/>
              </w:rPr>
            </w:pPr>
            <w:r>
              <w:rPr>
                <w:rFonts w:hint="default" w:ascii="Times New Roman" w:hAnsi="Times New Roman" w:eastAsia="宋体" w:cs="Times New Roman"/>
                <w:color w:val="auto"/>
                <w:kern w:val="0"/>
                <w:sz w:val="22"/>
                <w:szCs w:val="22"/>
                <w:lang w:val="en-US" w:eastAsia="zh-CN" w:bidi="ar"/>
              </w:rPr>
              <w:t>结合项目地下水环境影响评价结果，对工程设计或可行性研究报告提出的地下水污染防控方案提出优化调整的建议，给出不同分区的具体防渗技术要求。项目污染防渗区划分见表</w:t>
            </w:r>
            <w:r>
              <w:rPr>
                <w:rFonts w:hint="eastAsia" w:ascii="Times New Roman" w:hAnsi="Times New Roman" w:eastAsia="宋体" w:cs="Times New Roman"/>
                <w:color w:val="auto"/>
                <w:kern w:val="0"/>
                <w:sz w:val="22"/>
                <w:szCs w:val="22"/>
                <w:lang w:val="en-US" w:eastAsia="zh-CN" w:bidi="ar"/>
              </w:rPr>
              <w:t>4</w:t>
            </w:r>
            <w:r>
              <w:rPr>
                <w:rFonts w:hint="eastAsia" w:ascii="Times New Roman" w:hAnsi="Times New Roman" w:cs="Times New Roman"/>
                <w:color w:val="auto"/>
                <w:kern w:val="0"/>
                <w:sz w:val="22"/>
                <w:szCs w:val="22"/>
                <w:lang w:val="en-US" w:eastAsia="zh-CN" w:bidi="ar"/>
              </w:rPr>
              <w:t>.5</w:t>
            </w:r>
            <w:r>
              <w:rPr>
                <w:rFonts w:hint="default" w:ascii="Times New Roman" w:hAnsi="Times New Roman" w:eastAsia="宋体" w:cs="Times New Roman"/>
                <w:color w:val="auto"/>
                <w:kern w:val="0"/>
                <w:sz w:val="22"/>
                <w:szCs w:val="22"/>
                <w:lang w:val="en-US" w:eastAsia="zh-CN" w:bidi="ar"/>
              </w:rPr>
              <w:t>-1。</w:t>
            </w:r>
          </w:p>
          <w:p w14:paraId="005A9ACC">
            <w:pPr>
              <w:keepNext w:val="0"/>
              <w:keepLines w:val="0"/>
              <w:pageBreakBefore w:val="0"/>
              <w:widowControl w:val="0"/>
              <w:kinsoku/>
              <w:wordWrap/>
              <w:overflowPunct/>
              <w:topLinePunct w:val="0"/>
              <w:autoSpaceDE w:val="0"/>
              <w:autoSpaceDN w:val="0"/>
              <w:bidi w:val="0"/>
              <w:adjustRightInd w:val="0"/>
              <w:snapToGrid/>
              <w:spacing w:line="500" w:lineRule="exact"/>
              <w:ind w:firstLine="0" w:firstLineChars="0"/>
              <w:jc w:val="center"/>
              <w:textAlignment w:val="auto"/>
              <w:rPr>
                <w:rFonts w:hint="default" w:ascii="Times New Roman" w:hAnsi="Times New Roman" w:eastAsia="宋体" w:cs="Times New Roman"/>
                <w:b/>
                <w:bCs/>
                <w:color w:val="auto"/>
                <w:kern w:val="0"/>
                <w:sz w:val="22"/>
                <w:szCs w:val="22"/>
                <w:vertAlign w:val="baseline"/>
                <w:lang w:val="en-US" w:eastAsia="zh-CN" w:bidi="ar-SA"/>
              </w:rPr>
            </w:pPr>
            <w:r>
              <w:rPr>
                <w:rFonts w:hint="eastAsia" w:ascii="Times New Roman" w:hAnsi="Times New Roman" w:eastAsia="宋体" w:cs="Times New Roman"/>
                <w:b/>
                <w:bCs/>
                <w:color w:val="auto"/>
                <w:kern w:val="0"/>
                <w:sz w:val="22"/>
                <w:szCs w:val="22"/>
                <w:lang w:val="en-US" w:eastAsia="zh-CN" w:bidi="ar-SA"/>
              </w:rPr>
              <w:t>表4.5-1  拟建项目污染防渗区划分</w:t>
            </w:r>
          </w:p>
          <w:tbl>
            <w:tblPr>
              <w:tblStyle w:val="4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664"/>
              <w:gridCol w:w="1456"/>
              <w:gridCol w:w="1949"/>
              <w:gridCol w:w="1915"/>
              <w:gridCol w:w="3077"/>
            </w:tblGrid>
            <w:tr w14:paraId="006FC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367" w:type="pct"/>
                  <w:tcBorders>
                    <w:top w:val="single" w:color="auto" w:sz="12" w:space="0"/>
                  </w:tcBorders>
                  <w:vAlign w:val="center"/>
                </w:tcPr>
                <w:p w14:paraId="4908EA5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 w:val="21"/>
                      <w:szCs w:val="21"/>
                      <w:vertAlign w:val="baseline"/>
                      <w:lang w:val="en-US" w:eastAsia="zh-CN" w:bidi="ar-SA"/>
                    </w:rPr>
                    <w:t>序号</w:t>
                  </w:r>
                </w:p>
              </w:tc>
              <w:tc>
                <w:tcPr>
                  <w:tcW w:w="803" w:type="pct"/>
                  <w:tcBorders>
                    <w:top w:val="single" w:color="auto" w:sz="12" w:space="0"/>
                  </w:tcBorders>
                  <w:vAlign w:val="center"/>
                </w:tcPr>
                <w:p w14:paraId="0DAC9B7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 w:val="21"/>
                      <w:szCs w:val="21"/>
                      <w:vertAlign w:val="baseline"/>
                      <w:lang w:val="en-US" w:eastAsia="zh-CN" w:bidi="ar-SA"/>
                    </w:rPr>
                    <w:t>分区类别</w:t>
                  </w:r>
                </w:p>
              </w:tc>
              <w:tc>
                <w:tcPr>
                  <w:tcW w:w="1075" w:type="pct"/>
                  <w:tcBorders>
                    <w:top w:val="single" w:color="auto" w:sz="12" w:space="0"/>
                  </w:tcBorders>
                  <w:vAlign w:val="center"/>
                </w:tcPr>
                <w:p w14:paraId="754F104A">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 w:val="21"/>
                      <w:szCs w:val="21"/>
                      <w:vertAlign w:val="baseline"/>
                      <w:lang w:val="en-US" w:eastAsia="zh-CN" w:bidi="ar-SA"/>
                    </w:rPr>
                    <w:t>名称</w:t>
                  </w:r>
                </w:p>
              </w:tc>
              <w:tc>
                <w:tcPr>
                  <w:tcW w:w="1056" w:type="pct"/>
                  <w:tcBorders>
                    <w:top w:val="single" w:color="auto" w:sz="12" w:space="0"/>
                  </w:tcBorders>
                  <w:vAlign w:val="center"/>
                </w:tcPr>
                <w:p w14:paraId="3B213F65">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 w:val="21"/>
                      <w:szCs w:val="21"/>
                      <w:vertAlign w:val="baseline"/>
                      <w:lang w:val="en-US" w:eastAsia="zh-CN" w:bidi="ar-SA"/>
                    </w:rPr>
                    <w:t>防渗区域</w:t>
                  </w:r>
                </w:p>
              </w:tc>
              <w:tc>
                <w:tcPr>
                  <w:tcW w:w="1697" w:type="pct"/>
                  <w:tcBorders>
                    <w:top w:val="single" w:color="auto" w:sz="12" w:space="0"/>
                    <w:right w:val="nil"/>
                  </w:tcBorders>
                  <w:vAlign w:val="center"/>
                </w:tcPr>
                <w:p w14:paraId="46A98A2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 w:val="21"/>
                      <w:szCs w:val="21"/>
                      <w:vertAlign w:val="baseline"/>
                      <w:lang w:val="en-US" w:eastAsia="zh-CN" w:bidi="ar-SA"/>
                    </w:rPr>
                    <w:t>备注</w:t>
                  </w:r>
                </w:p>
              </w:tc>
            </w:tr>
            <w:tr w14:paraId="2A163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367" w:type="pct"/>
                  <w:tcBorders>
                    <w:left w:val="nil"/>
                  </w:tcBorders>
                  <w:vAlign w:val="center"/>
                </w:tcPr>
                <w:p w14:paraId="1D244CC6">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1</w:t>
                  </w:r>
                </w:p>
              </w:tc>
              <w:tc>
                <w:tcPr>
                  <w:tcW w:w="803" w:type="pct"/>
                  <w:vAlign w:val="center"/>
                </w:tcPr>
                <w:p w14:paraId="3A48E993">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重点防渗区</w:t>
                  </w:r>
                </w:p>
              </w:tc>
              <w:tc>
                <w:tcPr>
                  <w:tcW w:w="1075" w:type="pct"/>
                  <w:vAlign w:val="center"/>
                </w:tcPr>
                <w:p w14:paraId="5BF6B9B9">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危废暂存库、危化品库</w:t>
                  </w:r>
                </w:p>
              </w:tc>
              <w:tc>
                <w:tcPr>
                  <w:tcW w:w="1056" w:type="pct"/>
                  <w:vAlign w:val="center"/>
                </w:tcPr>
                <w:p w14:paraId="11E849D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zh-CN" w:eastAsia="zh-CN" w:bidi="ar-SA"/>
                    </w:rPr>
                    <w:t>地面及四周围墙1m高范围</w:t>
                  </w:r>
                </w:p>
              </w:tc>
              <w:tc>
                <w:tcPr>
                  <w:tcW w:w="1697" w:type="pct"/>
                  <w:tcBorders>
                    <w:right w:val="nil"/>
                  </w:tcBorders>
                  <w:vAlign w:val="center"/>
                </w:tcPr>
                <w:p w14:paraId="414213AD">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color w:val="auto"/>
                      <w:sz w:val="21"/>
                      <w:szCs w:val="21"/>
                      <w:lang w:val="en-US" w:eastAsia="zh-CN" w:bidi="ar-SA"/>
                    </w:rPr>
                    <w:t>等效黏土防渗层厚度≥6</w:t>
                  </w:r>
                  <w:r>
                    <w:rPr>
                      <w:rFonts w:hint="eastAsia" w:ascii="Times New Roman" w:hAnsi="Times New Roman" w:eastAsia="宋体" w:cs="Times New Roman"/>
                      <w:color w:val="auto"/>
                      <w:sz w:val="21"/>
                      <w:szCs w:val="21"/>
                      <w:lang w:val="en-US" w:eastAsia="zh-CN" w:bidi="ar-SA"/>
                    </w:rPr>
                    <w:t>.0</w:t>
                  </w:r>
                  <w:r>
                    <w:rPr>
                      <w:rFonts w:hint="default" w:ascii="Times New Roman" w:hAnsi="Times New Roman" w:eastAsia="宋体" w:cs="Times New Roman"/>
                      <w:color w:val="auto"/>
                      <w:sz w:val="21"/>
                      <w:szCs w:val="21"/>
                      <w:lang w:val="en-US" w:eastAsia="zh-CN" w:bidi="ar-SA"/>
                    </w:rPr>
                    <w:t>m，渗透系数≤10</w:t>
                  </w:r>
                  <w:r>
                    <w:rPr>
                      <w:rFonts w:hint="default" w:ascii="Times New Roman" w:hAnsi="Times New Roman" w:eastAsia="宋体" w:cs="Times New Roman"/>
                      <w:color w:val="auto"/>
                      <w:sz w:val="21"/>
                      <w:szCs w:val="21"/>
                      <w:vertAlign w:val="superscript"/>
                      <w:lang w:val="en-US" w:eastAsia="zh-CN" w:bidi="ar-SA"/>
                    </w:rPr>
                    <w:t>-7</w:t>
                  </w:r>
                  <w:r>
                    <w:rPr>
                      <w:rFonts w:hint="default" w:ascii="Times New Roman" w:hAnsi="Times New Roman" w:eastAsia="宋体" w:cs="Times New Roman"/>
                      <w:color w:val="auto"/>
                      <w:sz w:val="21"/>
                      <w:szCs w:val="21"/>
                      <w:lang w:val="en-US" w:eastAsia="zh-CN" w:bidi="ar-SA"/>
                    </w:rPr>
                    <w:t>cm/s</w:t>
                  </w:r>
                </w:p>
              </w:tc>
            </w:tr>
            <w:tr w14:paraId="2DC423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367" w:type="pct"/>
                  <w:tcBorders>
                    <w:left w:val="nil"/>
                  </w:tcBorders>
                  <w:vAlign w:val="center"/>
                </w:tcPr>
                <w:p w14:paraId="10AA47E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2</w:t>
                  </w:r>
                </w:p>
              </w:tc>
              <w:tc>
                <w:tcPr>
                  <w:tcW w:w="803" w:type="pct"/>
                  <w:vAlign w:val="center"/>
                </w:tcPr>
                <w:p w14:paraId="1F705A0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zh-CN" w:eastAsia="zh-CN" w:bidi="ar-SA"/>
                    </w:rPr>
                    <w:t>一般防渗区</w:t>
                  </w:r>
                </w:p>
              </w:tc>
              <w:tc>
                <w:tcPr>
                  <w:tcW w:w="1075" w:type="pct"/>
                  <w:vAlign w:val="center"/>
                </w:tcPr>
                <w:p w14:paraId="7E6B07BB">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生产车间、化粪池</w:t>
                  </w:r>
                </w:p>
              </w:tc>
              <w:tc>
                <w:tcPr>
                  <w:tcW w:w="1056" w:type="pct"/>
                  <w:vAlign w:val="center"/>
                </w:tcPr>
                <w:p w14:paraId="393357BE">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地面</w:t>
                  </w:r>
                </w:p>
              </w:tc>
              <w:tc>
                <w:tcPr>
                  <w:tcW w:w="1697" w:type="pct"/>
                  <w:tcBorders>
                    <w:right w:val="nil"/>
                  </w:tcBorders>
                  <w:vAlign w:val="center"/>
                </w:tcPr>
                <w:p w14:paraId="37B6EE3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b w:val="0"/>
                      <w:bCs w:val="0"/>
                      <w:color w:val="auto"/>
                      <w:kern w:val="0"/>
                      <w:sz w:val="21"/>
                      <w:szCs w:val="21"/>
                      <w:vertAlign w:val="baseline"/>
                      <w:lang w:val="en-US" w:eastAsia="zh-CN" w:bidi="ar-SA"/>
                    </w:rPr>
                    <w:t>等效黏土防渗层Mb≥1.5m，K≤10</w:t>
                  </w:r>
                  <w:r>
                    <w:rPr>
                      <w:rFonts w:hint="default" w:ascii="Times New Roman" w:hAnsi="Times New Roman" w:eastAsia="宋体" w:cs="Times New Roman"/>
                      <w:b w:val="0"/>
                      <w:bCs w:val="0"/>
                      <w:color w:val="auto"/>
                      <w:kern w:val="0"/>
                      <w:sz w:val="21"/>
                      <w:szCs w:val="21"/>
                      <w:vertAlign w:val="superscript"/>
                      <w:lang w:val="en-US" w:eastAsia="zh-CN" w:bidi="ar-SA"/>
                    </w:rPr>
                    <w:t>-7</w:t>
                  </w:r>
                  <w:r>
                    <w:rPr>
                      <w:rFonts w:hint="default" w:ascii="Times New Roman" w:hAnsi="Times New Roman" w:eastAsia="宋体" w:cs="Times New Roman"/>
                      <w:b w:val="0"/>
                      <w:bCs w:val="0"/>
                      <w:color w:val="auto"/>
                      <w:kern w:val="0"/>
                      <w:sz w:val="21"/>
                      <w:szCs w:val="21"/>
                      <w:vertAlign w:val="baseline"/>
                      <w:lang w:val="en-US" w:eastAsia="zh-CN" w:bidi="ar-SA"/>
                    </w:rPr>
                    <w:t>cm/s</w:t>
                  </w:r>
                </w:p>
              </w:tc>
            </w:tr>
            <w:tr w14:paraId="20319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367" w:type="pct"/>
                  <w:tcBorders>
                    <w:left w:val="nil"/>
                    <w:bottom w:val="single" w:color="auto" w:sz="12" w:space="0"/>
                  </w:tcBorders>
                  <w:vAlign w:val="center"/>
                </w:tcPr>
                <w:p w14:paraId="7A6E5BD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3</w:t>
                  </w:r>
                </w:p>
              </w:tc>
              <w:tc>
                <w:tcPr>
                  <w:tcW w:w="803" w:type="pct"/>
                  <w:tcBorders>
                    <w:bottom w:val="single" w:color="auto" w:sz="12" w:space="0"/>
                  </w:tcBorders>
                  <w:vAlign w:val="center"/>
                </w:tcPr>
                <w:p w14:paraId="7D291C8C">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简单防渗</w:t>
                  </w:r>
                  <w:r>
                    <w:rPr>
                      <w:rFonts w:hint="eastAsia" w:ascii="Times New Roman" w:hAnsi="Times New Roman" w:eastAsia="宋体" w:cs="Times New Roman"/>
                      <w:b w:val="0"/>
                      <w:bCs w:val="0"/>
                      <w:color w:val="auto"/>
                      <w:kern w:val="0"/>
                      <w:sz w:val="21"/>
                      <w:szCs w:val="21"/>
                      <w:vertAlign w:val="baseline"/>
                      <w:lang w:val="zh-CN" w:eastAsia="zh-CN" w:bidi="ar-SA"/>
                    </w:rPr>
                    <w:t>区</w:t>
                  </w:r>
                </w:p>
              </w:tc>
              <w:tc>
                <w:tcPr>
                  <w:tcW w:w="1075" w:type="pct"/>
                  <w:tcBorders>
                    <w:bottom w:val="single" w:color="auto" w:sz="12" w:space="0"/>
                  </w:tcBorders>
                  <w:vAlign w:val="center"/>
                </w:tcPr>
                <w:p w14:paraId="5C825FB2">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厂区其余区域</w:t>
                  </w:r>
                </w:p>
              </w:tc>
              <w:tc>
                <w:tcPr>
                  <w:tcW w:w="1056" w:type="pct"/>
                  <w:tcBorders>
                    <w:bottom w:val="single" w:color="auto" w:sz="12" w:space="0"/>
                  </w:tcBorders>
                  <w:vAlign w:val="center"/>
                </w:tcPr>
                <w:p w14:paraId="11F7D827">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办公区及仓储区域地面</w:t>
                  </w:r>
                </w:p>
              </w:tc>
              <w:tc>
                <w:tcPr>
                  <w:tcW w:w="1697" w:type="pct"/>
                  <w:tcBorders>
                    <w:bottom w:val="single" w:color="auto" w:sz="12" w:space="0"/>
                    <w:right w:val="nil"/>
                  </w:tcBorders>
                  <w:vAlign w:val="center"/>
                </w:tcPr>
                <w:p w14:paraId="0473CF08">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eastAsia="宋体" w:cs="Times New Roman"/>
                      <w:b w:val="0"/>
                      <w:bCs w:val="0"/>
                      <w:color w:val="auto"/>
                      <w:kern w:val="0"/>
                      <w:sz w:val="21"/>
                      <w:szCs w:val="21"/>
                      <w:vertAlign w:val="baseline"/>
                      <w:lang w:val="en-US" w:eastAsia="zh-CN" w:bidi="ar-SA"/>
                    </w:rPr>
                  </w:pPr>
                  <w:r>
                    <w:rPr>
                      <w:rFonts w:hint="eastAsia" w:ascii="Times New Roman" w:hAnsi="Times New Roman" w:eastAsia="宋体" w:cs="Times New Roman"/>
                      <w:b w:val="0"/>
                      <w:bCs w:val="0"/>
                      <w:color w:val="auto"/>
                      <w:kern w:val="0"/>
                      <w:sz w:val="21"/>
                      <w:szCs w:val="21"/>
                      <w:vertAlign w:val="baseline"/>
                      <w:lang w:val="en-US" w:eastAsia="zh-CN" w:bidi="ar-SA"/>
                    </w:rPr>
                    <w:t>一般地面硬化</w:t>
                  </w:r>
                </w:p>
              </w:tc>
            </w:tr>
          </w:tbl>
          <w:p w14:paraId="15950E3B">
            <w:pPr>
              <w:keepNext w:val="0"/>
              <w:keepLines w:val="0"/>
              <w:pageBreakBefore w:val="0"/>
              <w:widowControl w:val="0"/>
              <w:kinsoku/>
              <w:wordWrap/>
              <w:overflowPunct/>
              <w:topLinePunct w:val="0"/>
              <w:autoSpaceDE/>
              <w:autoSpaceDN/>
              <w:bidi w:val="0"/>
              <w:adjustRightInd w:val="0"/>
              <w:snapToGrid w:val="0"/>
              <w:spacing w:line="500" w:lineRule="atLeast"/>
              <w:ind w:left="0" w:leftChars="0" w:right="0" w:rightChars="0" w:firstLine="440" w:firstLineChars="200"/>
              <w:jc w:val="both"/>
              <w:textAlignment w:val="auto"/>
              <w:rPr>
                <w:rFonts w:hint="default" w:ascii="Times New Roman" w:hAnsi="Times New Roman" w:eastAsia="宋体" w:cs="Times New Roman"/>
                <w:b w:val="0"/>
                <w:bCs/>
                <w:color w:val="auto"/>
                <w:kern w:val="2"/>
                <w:sz w:val="22"/>
                <w:szCs w:val="22"/>
                <w:lang w:val="en-US" w:eastAsia="zh-CN" w:bidi="ar-SA"/>
              </w:rPr>
            </w:pPr>
            <w:r>
              <w:rPr>
                <w:rFonts w:hint="default" w:ascii="Times New Roman" w:hAnsi="Times New Roman" w:eastAsia="宋体" w:cs="Times New Roman"/>
                <w:color w:val="auto"/>
                <w:kern w:val="0"/>
                <w:sz w:val="22"/>
                <w:szCs w:val="22"/>
                <w:lang w:val="en-US" w:eastAsia="zh-CN" w:bidi="ar"/>
              </w:rPr>
              <w:t>由污染途径及对应措施分析可知，项目对可能产生地下水、土壤影响的各项途径均进行有效预防，在确保各项防渗措施得以落实，并加强维护和厂区环境管理的前提下，可有效控制厂区内的废水污染物下渗现象，避免污染地下水、土壤，因此项目不会对区域地下水、土壤环境产生明显影响。</w:t>
            </w:r>
          </w:p>
          <w:p w14:paraId="348CF431">
            <w:pPr>
              <w:keepNext w:val="0"/>
              <w:keepLines w:val="0"/>
              <w:pageBreakBefore w:val="0"/>
              <w:widowControl w:val="0"/>
              <w:kinsoku/>
              <w:wordWrap/>
              <w:overflowPunct/>
              <w:topLinePunct w:val="0"/>
              <w:autoSpaceDE w:val="0"/>
              <w:autoSpaceDN w:val="0"/>
              <w:bidi w:val="0"/>
              <w:adjustRightInd w:val="0"/>
              <w:snapToGrid/>
              <w:spacing w:line="500" w:lineRule="exact"/>
              <w:ind w:firstLine="442" w:firstLineChars="200"/>
              <w:textAlignment w:val="auto"/>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4.6 环境风险分析</w:t>
            </w:r>
          </w:p>
          <w:p w14:paraId="7CFE93D3">
            <w:pPr>
              <w:keepNext w:val="0"/>
              <w:keepLines w:val="0"/>
              <w:pageBreakBefore w:val="0"/>
              <w:widowControl w:val="0"/>
              <w:kinsoku/>
              <w:wordWrap/>
              <w:overflowPunct/>
              <w:topLinePunct w:val="0"/>
              <w:autoSpaceDE w:val="0"/>
              <w:autoSpaceDN w:val="0"/>
              <w:bidi w:val="0"/>
              <w:adjustRightInd w:val="0"/>
              <w:snapToGrid/>
              <w:spacing w:line="500" w:lineRule="exact"/>
              <w:ind w:firstLine="442" w:firstLineChars="200"/>
              <w:textAlignment w:val="auto"/>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4.6.1 评价依据</w:t>
            </w:r>
          </w:p>
          <w:p w14:paraId="575735CF">
            <w:pPr>
              <w:keepNext w:val="0"/>
              <w:keepLines w:val="0"/>
              <w:pageBreakBefore w:val="0"/>
              <w:widowControl w:val="0"/>
              <w:kinsoku/>
              <w:wordWrap/>
              <w:overflowPunct/>
              <w:topLinePunct w:val="0"/>
              <w:autoSpaceDE w:val="0"/>
              <w:autoSpaceDN w:val="0"/>
              <w:bidi w:val="0"/>
              <w:adjustRightInd w:val="0"/>
              <w:snapToGrid/>
              <w:spacing w:line="500" w:lineRule="exact"/>
              <w:ind w:firstLine="442" w:firstLineChars="200"/>
              <w:textAlignment w:val="auto"/>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⑴风险调查</w:t>
            </w:r>
          </w:p>
          <w:p w14:paraId="5CAB0C58">
            <w:pPr>
              <w:keepNext w:val="0"/>
              <w:keepLines w:val="0"/>
              <w:pageBreakBefore w:val="0"/>
              <w:widowControl w:val="0"/>
              <w:kinsoku/>
              <w:wordWrap/>
              <w:overflowPunct/>
              <w:topLinePunct w:val="0"/>
              <w:autoSpaceDE w:val="0"/>
              <w:autoSpaceDN w:val="0"/>
              <w:bidi w:val="0"/>
              <w:adjustRightInd w:val="0"/>
              <w:snapToGrid/>
              <w:spacing w:line="500" w:lineRule="exact"/>
              <w:ind w:firstLine="440" w:firstLineChars="200"/>
              <w:jc w:val="both"/>
              <w:textAlignment w:val="auto"/>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对照《建设项目环境风险评价技术导则》（HJ169-2018）中附录B及《企业突发环境事件风险分级方法》（HJ941-2018），拟建项目涉及的突发环境事件风险物质主要有：环烷油、硫磺粉、涂料</w:t>
            </w:r>
            <w:r>
              <w:rPr>
                <w:rFonts w:hint="eastAsia" w:ascii="Times New Roman" w:hAnsi="Times New Roman" w:eastAsia="宋体" w:cs="Times New Roman"/>
                <w:color w:val="auto"/>
                <w:sz w:val="22"/>
                <w:szCs w:val="22"/>
                <w:lang w:val="en-US" w:eastAsia="zh-CN" w:bidi="ar-SA"/>
              </w:rPr>
              <w:t>、</w:t>
            </w:r>
            <w:r>
              <w:rPr>
                <w:rFonts w:hint="eastAsia" w:cs="Times New Roman"/>
                <w:color w:val="auto"/>
                <w:sz w:val="22"/>
                <w:szCs w:val="22"/>
                <w:lang w:val="en-US" w:eastAsia="zh-CN" w:bidi="ar-SA"/>
              </w:rPr>
              <w:t>乙醇、甲苯、</w:t>
            </w:r>
            <w:r>
              <w:rPr>
                <w:rFonts w:hint="eastAsia" w:ascii="Times New Roman" w:hAnsi="Times New Roman" w:eastAsia="宋体" w:cs="Times New Roman"/>
                <w:color w:val="auto"/>
                <w:sz w:val="22"/>
                <w:szCs w:val="22"/>
                <w:lang w:val="en-US" w:eastAsia="zh-CN" w:bidi="ar-SA"/>
              </w:rPr>
              <w:t>二甲苯、醋酸乙酯、导热油、</w:t>
            </w:r>
            <w:r>
              <w:rPr>
                <w:rFonts w:hint="eastAsia" w:cs="Times New Roman"/>
                <w:color w:val="auto"/>
                <w:sz w:val="22"/>
                <w:szCs w:val="22"/>
                <w:lang w:val="en-US" w:eastAsia="zh-CN" w:bidi="ar-SA"/>
              </w:rPr>
              <w:t>废胶水、废清洗液、废涂液</w:t>
            </w:r>
            <w:r>
              <w:rPr>
                <w:rFonts w:hint="eastAsia" w:ascii="Times New Roman" w:hAnsi="Times New Roman" w:eastAsia="宋体" w:cs="Times New Roman"/>
                <w:color w:val="auto"/>
                <w:sz w:val="22"/>
                <w:szCs w:val="22"/>
                <w:lang w:val="en-US" w:eastAsia="zh-CN" w:bidi="ar-SA"/>
              </w:rPr>
              <w:t>、废渣、废活性炭、水喷淋废水、废机油、废油桶、废桶及废导热油</w:t>
            </w:r>
            <w:r>
              <w:rPr>
                <w:rFonts w:hint="eastAsia" w:cs="Times New Roman"/>
                <w:color w:val="auto"/>
                <w:sz w:val="22"/>
                <w:szCs w:val="22"/>
                <w:lang w:val="en-US" w:eastAsia="zh-CN" w:bidi="ar-SA"/>
              </w:rPr>
              <w:t>等</w:t>
            </w:r>
            <w:r>
              <w:rPr>
                <w:rFonts w:hint="default" w:ascii="Times New Roman" w:hAnsi="Times New Roman" w:eastAsia="宋体" w:cs="Times New Roman"/>
                <w:color w:val="auto"/>
                <w:sz w:val="22"/>
                <w:szCs w:val="22"/>
                <w:lang w:val="en-US" w:eastAsia="zh-CN" w:bidi="ar-SA"/>
              </w:rPr>
              <w:t>。</w:t>
            </w:r>
          </w:p>
          <w:p w14:paraId="084A468B">
            <w:pPr>
              <w:keepNext w:val="0"/>
              <w:keepLines w:val="0"/>
              <w:pageBreakBefore w:val="0"/>
              <w:widowControl w:val="0"/>
              <w:kinsoku/>
              <w:wordWrap/>
              <w:overflowPunct/>
              <w:topLinePunct w:val="0"/>
              <w:autoSpaceDE w:val="0"/>
              <w:autoSpaceDN w:val="0"/>
              <w:bidi w:val="0"/>
              <w:adjustRightInd w:val="0"/>
              <w:snapToGrid/>
              <w:spacing w:line="500" w:lineRule="exact"/>
              <w:ind w:firstLine="442" w:firstLineChars="200"/>
              <w:textAlignment w:val="auto"/>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⑵风险潜势初判</w:t>
            </w:r>
          </w:p>
          <w:p w14:paraId="632E41CE">
            <w:pPr>
              <w:keepNext w:val="0"/>
              <w:keepLines w:val="0"/>
              <w:pageBreakBefore w:val="0"/>
              <w:widowControl w:val="0"/>
              <w:kinsoku/>
              <w:wordWrap/>
              <w:overflowPunct/>
              <w:topLinePunct w:val="0"/>
              <w:autoSpaceDE w:val="0"/>
              <w:autoSpaceDN w:val="0"/>
              <w:bidi w:val="0"/>
              <w:snapToGrid/>
              <w:spacing w:line="500" w:lineRule="exact"/>
              <w:ind w:firstLine="440" w:firstLineChars="20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计算所涉及的每种危险物质在厂界内的最大存在总量与其在《建设项目环境风险评价技术导则》（HJ 169-2018）附录B中对应临界量的比值Q。</w:t>
            </w:r>
          </w:p>
          <w:p w14:paraId="01F1C50E">
            <w:pPr>
              <w:keepNext w:val="0"/>
              <w:keepLines w:val="0"/>
              <w:pageBreakBefore w:val="0"/>
              <w:widowControl w:val="0"/>
              <w:kinsoku/>
              <w:wordWrap/>
              <w:overflowPunct/>
              <w:topLinePunct w:val="0"/>
              <w:autoSpaceDE w:val="0"/>
              <w:autoSpaceDN w:val="0"/>
              <w:bidi w:val="0"/>
              <w:snapToGrid/>
              <w:spacing w:line="500" w:lineRule="exact"/>
              <w:ind w:firstLine="440" w:firstLineChars="20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当只涉及一种危险物质时，计算该物质的总量与其临界量比值，即为Q；</w:t>
            </w:r>
          </w:p>
          <w:p w14:paraId="49ADBEC9">
            <w:pPr>
              <w:keepNext w:val="0"/>
              <w:keepLines w:val="0"/>
              <w:pageBreakBefore w:val="0"/>
              <w:widowControl w:val="0"/>
              <w:kinsoku/>
              <w:wordWrap/>
              <w:overflowPunct/>
              <w:topLinePunct w:val="0"/>
              <w:autoSpaceDE w:val="0"/>
              <w:autoSpaceDN w:val="0"/>
              <w:bidi w:val="0"/>
              <w:snapToGrid/>
              <w:spacing w:line="500" w:lineRule="exact"/>
              <w:ind w:firstLine="440" w:firstLineChars="20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当存在多种危险物质时，则按下式计算物质总量与其临界量比值（Q）：</w:t>
            </w:r>
          </w:p>
          <w:p w14:paraId="532B9F3C">
            <w:pPr>
              <w:autoSpaceDE w:val="0"/>
              <w:autoSpaceDN w:val="0"/>
              <w:spacing w:line="500" w:lineRule="exact"/>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Q= q1/Q1+q2/Q2+……+qn/Qn</w:t>
            </w:r>
          </w:p>
          <w:p w14:paraId="37022D0B">
            <w:pPr>
              <w:autoSpaceDE w:val="0"/>
              <w:autoSpaceDN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式中：q1，q2，…，qn—每种危险物质的最大存在总量，t；</w:t>
            </w:r>
          </w:p>
          <w:p w14:paraId="79BDB229">
            <w:pPr>
              <w:autoSpaceDE w:val="0"/>
              <w:autoSpaceDN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 xml:space="preserve">     Q1，Q2，…，Qn—每种危险物质的临界量，t。</w:t>
            </w:r>
          </w:p>
          <w:p w14:paraId="76C2A5F7">
            <w:pPr>
              <w:autoSpaceDE w:val="0"/>
              <w:autoSpaceDN w:val="0"/>
              <w:spacing w:line="500" w:lineRule="exact"/>
              <w:ind w:firstLine="880" w:firstLineChars="4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当Q＜1时，该项目环境风险潜势为I。</w:t>
            </w:r>
          </w:p>
          <w:p w14:paraId="453A82AA">
            <w:pPr>
              <w:autoSpaceDE w:val="0"/>
              <w:autoSpaceDN w:val="0"/>
              <w:spacing w:line="500" w:lineRule="exact"/>
              <w:ind w:firstLine="880" w:firstLineChars="4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当Q≥1时，将Q值划分为：⑴1≤Q＜10；⑵10≤Q＜100；⑶Q≥100。</w:t>
            </w:r>
          </w:p>
          <w:p w14:paraId="41A5EE16">
            <w:pPr>
              <w:autoSpaceDE w:val="0"/>
              <w:autoSpaceDN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拟建项目涉及的危险物质最大使用量及临界量见下表。</w:t>
            </w:r>
          </w:p>
          <w:p w14:paraId="0D5AB1B5">
            <w:pPr>
              <w:widowControl w:val="0"/>
              <w:autoSpaceDE w:val="0"/>
              <w:autoSpaceDN w:val="0"/>
              <w:adjustRightInd w:val="0"/>
              <w:spacing w:line="500" w:lineRule="exact"/>
              <w:jc w:val="center"/>
              <w:rPr>
                <w:rFonts w:hint="default" w:ascii="Times New Roman" w:hAnsi="Times New Roman" w:eastAsia="宋体" w:cs="Times New Roman"/>
                <w:b/>
                <w:bCs/>
                <w:color w:val="auto"/>
                <w:sz w:val="22"/>
                <w:szCs w:val="22"/>
                <w:lang w:val="en-US" w:eastAsia="zh-CN" w:bidi="ar-SA"/>
              </w:rPr>
            </w:pPr>
            <w:r>
              <w:rPr>
                <w:rFonts w:hint="default" w:ascii="Times New Roman" w:hAnsi="Times New Roman" w:eastAsia="宋体" w:cs="Times New Roman"/>
                <w:b/>
                <w:bCs/>
                <w:color w:val="auto"/>
                <w:sz w:val="22"/>
                <w:szCs w:val="22"/>
                <w:lang w:val="en-US" w:eastAsia="zh-CN" w:bidi="ar-SA"/>
              </w:rPr>
              <w:t>表4.6-1   危险物质使用量及临界量</w:t>
            </w:r>
          </w:p>
          <w:tbl>
            <w:tblPr>
              <w:tblStyle w:val="4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1531"/>
              <w:gridCol w:w="1520"/>
              <w:gridCol w:w="1877"/>
              <w:gridCol w:w="1167"/>
              <w:gridCol w:w="1667"/>
              <w:gridCol w:w="1297"/>
            </w:tblGrid>
            <w:tr w14:paraId="6E4C8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top w:val="single" w:color="auto" w:sz="12" w:space="0"/>
                  </w:tcBorders>
                  <w:vAlign w:val="center"/>
                </w:tcPr>
                <w:p w14:paraId="22E532D4">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原料用量</w:t>
                  </w:r>
                </w:p>
              </w:tc>
              <w:tc>
                <w:tcPr>
                  <w:tcW w:w="839" w:type="pct"/>
                  <w:tcBorders>
                    <w:top w:val="single" w:color="auto" w:sz="12" w:space="0"/>
                  </w:tcBorders>
                  <w:vAlign w:val="center"/>
                </w:tcPr>
                <w:p w14:paraId="017278FE">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最大储存量t</w:t>
                  </w:r>
                </w:p>
              </w:tc>
              <w:tc>
                <w:tcPr>
                  <w:tcW w:w="1036" w:type="pct"/>
                  <w:tcBorders>
                    <w:top w:val="single" w:color="auto" w:sz="12" w:space="0"/>
                  </w:tcBorders>
                  <w:vAlign w:val="center"/>
                </w:tcPr>
                <w:p w14:paraId="0AEDBFC3">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参照风险物质</w:t>
                  </w:r>
                </w:p>
              </w:tc>
              <w:tc>
                <w:tcPr>
                  <w:tcW w:w="644" w:type="pct"/>
                  <w:tcBorders>
                    <w:top w:val="single" w:color="auto" w:sz="12" w:space="0"/>
                  </w:tcBorders>
                  <w:vAlign w:val="center"/>
                </w:tcPr>
                <w:p w14:paraId="658C6C6A">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临界量t</w:t>
                  </w:r>
                </w:p>
              </w:tc>
              <w:tc>
                <w:tcPr>
                  <w:tcW w:w="917" w:type="pct"/>
                  <w:tcBorders>
                    <w:top w:val="single" w:color="auto" w:sz="12" w:space="0"/>
                  </w:tcBorders>
                  <w:vAlign w:val="center"/>
                </w:tcPr>
                <w:p w14:paraId="08741D5F">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临界量依据</w:t>
                  </w:r>
                </w:p>
              </w:tc>
              <w:tc>
                <w:tcPr>
                  <w:tcW w:w="715" w:type="pct"/>
                  <w:tcBorders>
                    <w:top w:val="single" w:color="auto" w:sz="12" w:space="0"/>
                    <w:right w:val="nil"/>
                  </w:tcBorders>
                  <w:vAlign w:val="center"/>
                </w:tcPr>
                <w:p w14:paraId="68CB1484">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b/>
                      <w:bCs/>
                      <w:color w:val="auto"/>
                      <w:sz w:val="21"/>
                      <w:szCs w:val="21"/>
                      <w:lang w:val="en-US" w:eastAsia="zh-CN" w:bidi="ar-SA"/>
                    </w:rPr>
                  </w:pPr>
                  <w:r>
                    <w:rPr>
                      <w:rFonts w:hint="default" w:ascii="Times New Roman" w:hAnsi="Times New Roman" w:eastAsia="宋体" w:cs="Times New Roman"/>
                      <w:b/>
                      <w:bCs/>
                      <w:color w:val="auto"/>
                      <w:sz w:val="21"/>
                      <w:szCs w:val="21"/>
                      <w:lang w:val="en-US" w:eastAsia="zh-CN" w:bidi="ar-SA"/>
                    </w:rPr>
                    <w:t>q/Q</w:t>
                  </w:r>
                </w:p>
              </w:tc>
            </w:tr>
            <w:tr w14:paraId="11626D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2FE83CE5">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环烷油</w:t>
                  </w:r>
                </w:p>
              </w:tc>
              <w:tc>
                <w:tcPr>
                  <w:tcW w:w="839" w:type="pct"/>
                  <w:vAlign w:val="center"/>
                </w:tcPr>
                <w:p w14:paraId="2802AC4A">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w:t>
                  </w:r>
                </w:p>
              </w:tc>
              <w:tc>
                <w:tcPr>
                  <w:tcW w:w="1036" w:type="pct"/>
                  <w:vAlign w:val="center"/>
                </w:tcPr>
                <w:p w14:paraId="7C5E4646">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油类物质</w:t>
                  </w:r>
                </w:p>
              </w:tc>
              <w:tc>
                <w:tcPr>
                  <w:tcW w:w="644" w:type="pct"/>
                  <w:vAlign w:val="center"/>
                </w:tcPr>
                <w:p w14:paraId="12C1FD7A">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2500</w:t>
                  </w:r>
                </w:p>
              </w:tc>
              <w:tc>
                <w:tcPr>
                  <w:tcW w:w="917" w:type="pct"/>
                  <w:vMerge w:val="restart"/>
                  <w:vAlign w:val="center"/>
                </w:tcPr>
                <w:p w14:paraId="5103851E">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《建设项目环境风险评价导则》（HJ169-2018）附录B</w:t>
                  </w:r>
                </w:p>
              </w:tc>
              <w:tc>
                <w:tcPr>
                  <w:tcW w:w="1351" w:type="dxa"/>
                  <w:tcBorders>
                    <w:right w:val="nil"/>
                  </w:tcBorders>
                  <w:vAlign w:val="center"/>
                </w:tcPr>
                <w:p w14:paraId="211B428C">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0.0004</w:t>
                  </w:r>
                </w:p>
              </w:tc>
            </w:tr>
            <w:tr w14:paraId="22AD3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3816FFA7">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硫磺粉</w:t>
                  </w:r>
                </w:p>
              </w:tc>
              <w:tc>
                <w:tcPr>
                  <w:tcW w:w="839" w:type="pct"/>
                  <w:vAlign w:val="center"/>
                </w:tcPr>
                <w:p w14:paraId="48B30140">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c>
                <w:tcPr>
                  <w:tcW w:w="1036" w:type="pct"/>
                  <w:vAlign w:val="center"/>
                </w:tcPr>
                <w:p w14:paraId="0C5E828D">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硫</w:t>
                  </w:r>
                </w:p>
              </w:tc>
              <w:tc>
                <w:tcPr>
                  <w:tcW w:w="644" w:type="pct"/>
                  <w:vAlign w:val="center"/>
                </w:tcPr>
                <w:p w14:paraId="4ED27CE3">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10</w:t>
                  </w:r>
                </w:p>
              </w:tc>
              <w:tc>
                <w:tcPr>
                  <w:tcW w:w="917" w:type="pct"/>
                  <w:vMerge w:val="continue"/>
                  <w:vAlign w:val="center"/>
                </w:tcPr>
                <w:p w14:paraId="77A5662A">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6BF38846">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0.05</w:t>
                  </w:r>
                </w:p>
              </w:tc>
            </w:tr>
            <w:tr w14:paraId="63BA7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67641624">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美沙克灵</w:t>
                  </w:r>
                </w:p>
              </w:tc>
              <w:tc>
                <w:tcPr>
                  <w:tcW w:w="839" w:type="pct"/>
                  <w:vAlign w:val="center"/>
                </w:tcPr>
                <w:p w14:paraId="7620E964">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c>
                <w:tcPr>
                  <w:tcW w:w="1036" w:type="pct"/>
                  <w:vAlign w:val="center"/>
                </w:tcPr>
                <w:p w14:paraId="76008FB2">
                  <w:pPr>
                    <w:keepNext w:val="0"/>
                    <w:keepLines w:val="0"/>
                    <w:pageBreakBefore w:val="0"/>
                    <w:kinsoku/>
                    <w:wordWrap/>
                    <w:overflowPunct/>
                    <w:topLinePunct w:val="0"/>
                    <w:bidi w:val="0"/>
                    <w:snapToGrid/>
                    <w:spacing w:line="360" w:lineRule="atLeast"/>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危害水环境物质</w:t>
                  </w:r>
                </w:p>
              </w:tc>
              <w:tc>
                <w:tcPr>
                  <w:tcW w:w="644" w:type="pct"/>
                  <w:vAlign w:val="center"/>
                </w:tcPr>
                <w:p w14:paraId="662D8A8E">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100</w:t>
                  </w:r>
                </w:p>
              </w:tc>
              <w:tc>
                <w:tcPr>
                  <w:tcW w:w="917" w:type="pct"/>
                  <w:vMerge w:val="continue"/>
                  <w:vAlign w:val="center"/>
                </w:tcPr>
                <w:p w14:paraId="6A554DBE">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309E6BCD">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0.005</w:t>
                  </w:r>
                </w:p>
              </w:tc>
            </w:tr>
            <w:tr w14:paraId="493BD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06F66BA7">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涂料</w:t>
                  </w:r>
                </w:p>
              </w:tc>
              <w:tc>
                <w:tcPr>
                  <w:tcW w:w="839" w:type="pct"/>
                  <w:vAlign w:val="center"/>
                </w:tcPr>
                <w:p w14:paraId="2734F913">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p>
              </w:tc>
              <w:tc>
                <w:tcPr>
                  <w:tcW w:w="1036" w:type="pct"/>
                  <w:vAlign w:val="center"/>
                </w:tcPr>
                <w:p w14:paraId="70E163D3">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危害水环境物质</w:t>
                  </w:r>
                </w:p>
              </w:tc>
              <w:tc>
                <w:tcPr>
                  <w:tcW w:w="644" w:type="pct"/>
                  <w:vAlign w:val="center"/>
                </w:tcPr>
                <w:p w14:paraId="755EAF17">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eastAsia="宋体" w:cs="Times New Roman"/>
                      <w:color w:val="auto"/>
                      <w:sz w:val="21"/>
                      <w:szCs w:val="21"/>
                      <w:lang w:val="en-US" w:eastAsia="zh-CN" w:bidi="ar-SA"/>
                    </w:rPr>
                    <w:t>100</w:t>
                  </w:r>
                </w:p>
              </w:tc>
              <w:tc>
                <w:tcPr>
                  <w:tcW w:w="917" w:type="pct"/>
                  <w:vMerge w:val="continue"/>
                  <w:vAlign w:val="center"/>
                </w:tcPr>
                <w:p w14:paraId="0395A135">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11BA2ABE">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0.02</w:t>
                  </w:r>
                </w:p>
              </w:tc>
            </w:tr>
            <w:tr w14:paraId="46B38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60DAF32D">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乙醇</w:t>
                  </w:r>
                </w:p>
              </w:tc>
              <w:tc>
                <w:tcPr>
                  <w:tcW w:w="839" w:type="pct"/>
                  <w:vAlign w:val="center"/>
                </w:tcPr>
                <w:p w14:paraId="3EFAA4C5">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0.25</w:t>
                  </w:r>
                </w:p>
              </w:tc>
              <w:tc>
                <w:tcPr>
                  <w:tcW w:w="1036" w:type="pct"/>
                  <w:vAlign w:val="center"/>
                </w:tcPr>
                <w:p w14:paraId="194BEAB2">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危害水环境物质</w:t>
                  </w:r>
                </w:p>
              </w:tc>
              <w:tc>
                <w:tcPr>
                  <w:tcW w:w="644" w:type="pct"/>
                  <w:vAlign w:val="center"/>
                </w:tcPr>
                <w:p w14:paraId="770EEFFF">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eastAsia="宋体" w:cs="Times New Roman"/>
                      <w:color w:val="auto"/>
                      <w:sz w:val="21"/>
                      <w:szCs w:val="21"/>
                      <w:lang w:val="en-US" w:eastAsia="zh-CN" w:bidi="ar-SA"/>
                    </w:rPr>
                    <w:t>100</w:t>
                  </w:r>
                </w:p>
              </w:tc>
              <w:tc>
                <w:tcPr>
                  <w:tcW w:w="917" w:type="pct"/>
                  <w:vMerge w:val="continue"/>
                  <w:vAlign w:val="center"/>
                </w:tcPr>
                <w:p w14:paraId="488C0F0C">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76F53D7D">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0.0025</w:t>
                  </w:r>
                </w:p>
              </w:tc>
            </w:tr>
            <w:tr w14:paraId="0BEB7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2C98064C">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二甲苯</w:t>
                  </w:r>
                </w:p>
              </w:tc>
              <w:tc>
                <w:tcPr>
                  <w:tcW w:w="839" w:type="pct"/>
                  <w:vAlign w:val="center"/>
                </w:tcPr>
                <w:p w14:paraId="3E679467">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0.25</w:t>
                  </w:r>
                </w:p>
              </w:tc>
              <w:tc>
                <w:tcPr>
                  <w:tcW w:w="1036" w:type="pct"/>
                  <w:vAlign w:val="center"/>
                </w:tcPr>
                <w:p w14:paraId="6D884FF5">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二甲苯</w:t>
                  </w:r>
                </w:p>
              </w:tc>
              <w:tc>
                <w:tcPr>
                  <w:tcW w:w="644" w:type="pct"/>
                  <w:vAlign w:val="center"/>
                </w:tcPr>
                <w:p w14:paraId="1E1475E9">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10</w:t>
                  </w:r>
                </w:p>
              </w:tc>
              <w:tc>
                <w:tcPr>
                  <w:tcW w:w="917" w:type="pct"/>
                  <w:vMerge w:val="continue"/>
                  <w:vAlign w:val="center"/>
                </w:tcPr>
                <w:p w14:paraId="5FB16B79">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733A6805">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0.025</w:t>
                  </w:r>
                </w:p>
              </w:tc>
            </w:tr>
            <w:tr w14:paraId="0E5E3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vAlign w:val="center"/>
                </w:tcPr>
                <w:p w14:paraId="5DAEADD6">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醋酸乙酯</w:t>
                  </w:r>
                </w:p>
              </w:tc>
              <w:tc>
                <w:tcPr>
                  <w:tcW w:w="839" w:type="pct"/>
                  <w:vAlign w:val="center"/>
                </w:tcPr>
                <w:p w14:paraId="7D8153BB">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w:t>
                  </w:r>
                </w:p>
              </w:tc>
              <w:tc>
                <w:tcPr>
                  <w:tcW w:w="1036" w:type="pct"/>
                  <w:vAlign w:val="center"/>
                </w:tcPr>
                <w:p w14:paraId="505BD2A4">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乙酸乙酯</w:t>
                  </w:r>
                </w:p>
              </w:tc>
              <w:tc>
                <w:tcPr>
                  <w:tcW w:w="644" w:type="pct"/>
                  <w:vAlign w:val="center"/>
                </w:tcPr>
                <w:p w14:paraId="6309CCE6">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10</w:t>
                  </w:r>
                </w:p>
              </w:tc>
              <w:tc>
                <w:tcPr>
                  <w:tcW w:w="917" w:type="pct"/>
                  <w:vMerge w:val="continue"/>
                  <w:vAlign w:val="center"/>
                </w:tcPr>
                <w:p w14:paraId="4A05F9E6">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58EFDDDF">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0.2</w:t>
                  </w:r>
                </w:p>
              </w:tc>
            </w:tr>
            <w:tr w14:paraId="45F24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845" w:type="pct"/>
                  <w:tcBorders>
                    <w:left w:val="nil"/>
                  </w:tcBorders>
                  <w:vAlign w:val="center"/>
                </w:tcPr>
                <w:p w14:paraId="1F257DD6">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导热油</w:t>
                  </w:r>
                </w:p>
              </w:tc>
              <w:tc>
                <w:tcPr>
                  <w:tcW w:w="839" w:type="pct"/>
                  <w:vAlign w:val="center"/>
                </w:tcPr>
                <w:p w14:paraId="23110C1C">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0.34</w:t>
                  </w:r>
                </w:p>
              </w:tc>
              <w:tc>
                <w:tcPr>
                  <w:tcW w:w="1036" w:type="pct"/>
                  <w:vAlign w:val="center"/>
                </w:tcPr>
                <w:p w14:paraId="27E09E78">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油类物质</w:t>
                  </w:r>
                </w:p>
              </w:tc>
              <w:tc>
                <w:tcPr>
                  <w:tcW w:w="644" w:type="pct"/>
                  <w:vAlign w:val="center"/>
                </w:tcPr>
                <w:p w14:paraId="3804F3B8">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2500</w:t>
                  </w:r>
                </w:p>
              </w:tc>
              <w:tc>
                <w:tcPr>
                  <w:tcW w:w="917" w:type="pct"/>
                  <w:vMerge w:val="continue"/>
                  <w:vAlign w:val="center"/>
                </w:tcPr>
                <w:p w14:paraId="2BC35142">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1A1F2E87">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 xml:space="preserve">0.0001 </w:t>
                  </w:r>
                </w:p>
              </w:tc>
            </w:tr>
            <w:tr w14:paraId="503A5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shd w:val="clear" w:color="auto" w:fill="auto"/>
                  <w:vAlign w:val="center"/>
                </w:tcPr>
                <w:p w14:paraId="3712743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甲苯</w:t>
                  </w:r>
                </w:p>
              </w:tc>
              <w:tc>
                <w:tcPr>
                  <w:tcW w:w="839" w:type="pct"/>
                  <w:shd w:val="clear" w:color="auto" w:fill="auto"/>
                  <w:vAlign w:val="center"/>
                </w:tcPr>
                <w:p w14:paraId="1D8465FC">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0.5</w:t>
                  </w:r>
                </w:p>
              </w:tc>
              <w:tc>
                <w:tcPr>
                  <w:tcW w:w="1036" w:type="pct"/>
                  <w:shd w:val="clear" w:color="auto" w:fill="auto"/>
                  <w:vAlign w:val="center"/>
                </w:tcPr>
                <w:p w14:paraId="2E69763B">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甲苯</w:t>
                  </w:r>
                </w:p>
              </w:tc>
              <w:tc>
                <w:tcPr>
                  <w:tcW w:w="644" w:type="pct"/>
                  <w:vAlign w:val="center"/>
                </w:tcPr>
                <w:p w14:paraId="1D70AEA1">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eastAsia" w:cs="Times New Roman"/>
                      <w:color w:val="auto"/>
                      <w:sz w:val="21"/>
                      <w:szCs w:val="21"/>
                      <w:lang w:val="en-US" w:eastAsia="zh-CN" w:bidi="ar-SA"/>
                    </w:rPr>
                    <w:t>10</w:t>
                  </w:r>
                </w:p>
              </w:tc>
              <w:tc>
                <w:tcPr>
                  <w:tcW w:w="917" w:type="pct"/>
                  <w:vMerge w:val="continue"/>
                  <w:vAlign w:val="center"/>
                </w:tcPr>
                <w:p w14:paraId="7493660F">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7585AE91">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0.05</w:t>
                  </w:r>
                </w:p>
              </w:tc>
            </w:tr>
            <w:tr w14:paraId="28C88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845" w:type="pct"/>
                  <w:tcBorders>
                    <w:left w:val="nil"/>
                  </w:tcBorders>
                  <w:shd w:val="clear" w:color="auto" w:fill="auto"/>
                  <w:vAlign w:val="center"/>
                </w:tcPr>
                <w:p w14:paraId="2530C91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highlight w:val="none"/>
                      <w:lang w:val="en-US" w:eastAsia="zh-CN"/>
                    </w:rPr>
                    <w:t>危险废物</w:t>
                  </w:r>
                </w:p>
              </w:tc>
              <w:tc>
                <w:tcPr>
                  <w:tcW w:w="839" w:type="pct"/>
                  <w:shd w:val="clear" w:color="auto" w:fill="auto"/>
                  <w:vAlign w:val="center"/>
                </w:tcPr>
                <w:p w14:paraId="1C8FB903">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2</w:t>
                  </w:r>
                  <w:r>
                    <w:rPr>
                      <w:rFonts w:hint="eastAsia" w:cs="Times New Roman"/>
                      <w:color w:val="auto"/>
                      <w:sz w:val="21"/>
                      <w:szCs w:val="21"/>
                      <w:lang w:val="en-US" w:eastAsia="zh-CN" w:bidi="ar-SA"/>
                    </w:rPr>
                    <w:t>6.045</w:t>
                  </w:r>
                </w:p>
              </w:tc>
              <w:tc>
                <w:tcPr>
                  <w:tcW w:w="1036" w:type="pct"/>
                  <w:shd w:val="clear" w:color="auto" w:fill="auto"/>
                  <w:vAlign w:val="center"/>
                </w:tcPr>
                <w:p w14:paraId="6ADC804A">
                  <w:pPr>
                    <w:keepNext w:val="0"/>
                    <w:keepLines w:val="0"/>
                    <w:pageBreakBefore w:val="0"/>
                    <w:kinsoku/>
                    <w:wordWrap/>
                    <w:overflowPunct/>
                    <w:topLinePunct w:val="0"/>
                    <w:bidi w:val="0"/>
                    <w:snapToGrid/>
                    <w:spacing w:line="36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危险废物</w:t>
                  </w:r>
                </w:p>
              </w:tc>
              <w:tc>
                <w:tcPr>
                  <w:tcW w:w="644" w:type="pct"/>
                  <w:vAlign w:val="center"/>
                </w:tcPr>
                <w:p w14:paraId="5DD29C95">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50</w:t>
                  </w:r>
                </w:p>
              </w:tc>
              <w:tc>
                <w:tcPr>
                  <w:tcW w:w="917" w:type="pct"/>
                  <w:vMerge w:val="continue"/>
                  <w:vAlign w:val="center"/>
                </w:tcPr>
                <w:p w14:paraId="258B464C">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p>
              </w:tc>
              <w:tc>
                <w:tcPr>
                  <w:tcW w:w="1351" w:type="dxa"/>
                  <w:tcBorders>
                    <w:right w:val="nil"/>
                  </w:tcBorders>
                  <w:vAlign w:val="center"/>
                </w:tcPr>
                <w:p w14:paraId="72F20902">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0.5209</w:t>
                  </w:r>
                </w:p>
              </w:tc>
            </w:tr>
            <w:tr w14:paraId="6E52B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4284" w:type="pct"/>
                  <w:gridSpan w:val="5"/>
                  <w:tcBorders>
                    <w:left w:val="nil"/>
                    <w:bottom w:val="single" w:color="auto" w:sz="12" w:space="0"/>
                    <w:right w:val="nil"/>
                  </w:tcBorders>
                  <w:vAlign w:val="center"/>
                </w:tcPr>
                <w:p w14:paraId="2BFA9F97">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Q</w:t>
                  </w:r>
                </w:p>
              </w:tc>
              <w:tc>
                <w:tcPr>
                  <w:tcW w:w="1351" w:type="dxa"/>
                  <w:tcBorders>
                    <w:bottom w:val="single" w:color="auto" w:sz="12" w:space="0"/>
                    <w:right w:val="nil"/>
                  </w:tcBorders>
                  <w:vAlign w:val="center"/>
                </w:tcPr>
                <w:p w14:paraId="2F49657B">
                  <w:pPr>
                    <w:keepNext w:val="0"/>
                    <w:keepLines w:val="0"/>
                    <w:pageBreakBefore w:val="0"/>
                    <w:widowControl w:val="0"/>
                    <w:kinsoku/>
                    <w:wordWrap/>
                    <w:overflowPunct/>
                    <w:topLinePunct w:val="0"/>
                    <w:autoSpaceDE w:val="0"/>
                    <w:autoSpaceDN w:val="0"/>
                    <w:bidi w:val="0"/>
                    <w:adjustRightInd w:val="0"/>
                    <w:snapToGrid/>
                    <w:spacing w:line="360" w:lineRule="atLeast"/>
                    <w:jc w:val="center"/>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 xml:space="preserve">0.8739 </w:t>
                  </w:r>
                </w:p>
              </w:tc>
            </w:tr>
          </w:tbl>
          <w:p w14:paraId="6F2B04C4">
            <w:pPr>
              <w:autoSpaceDE w:val="0"/>
              <w:autoSpaceDN w:val="0"/>
              <w:spacing w:line="500" w:lineRule="exact"/>
              <w:ind w:firstLine="440" w:firstLineChars="200"/>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由计算可知拟建项目Q=0.</w:t>
            </w:r>
            <w:r>
              <w:rPr>
                <w:rFonts w:hint="eastAsia" w:cs="Times New Roman"/>
                <w:color w:val="auto"/>
                <w:sz w:val="22"/>
                <w:szCs w:val="22"/>
                <w:lang w:val="en-US" w:eastAsia="zh-CN"/>
              </w:rPr>
              <w:t>8739</w:t>
            </w:r>
            <w:r>
              <w:rPr>
                <w:rFonts w:hint="default" w:ascii="Times New Roman" w:hAnsi="Times New Roman" w:eastAsia="宋体" w:cs="Times New Roman"/>
                <w:color w:val="auto"/>
                <w:sz w:val="22"/>
                <w:szCs w:val="22"/>
              </w:rPr>
              <w:t>＜1，即项目环境风险潜势为Ⅰ，只需进行简单分析。</w:t>
            </w:r>
          </w:p>
          <w:p w14:paraId="353378D9">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4.6.2 环境风险识别</w:t>
            </w:r>
          </w:p>
          <w:p w14:paraId="032307F9">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风险识别范围包括生产设施风险识别和生产过程中所涉及的物质风险识别。</w:t>
            </w:r>
          </w:p>
          <w:p w14:paraId="0FCBA700">
            <w:pPr>
              <w:widowControl w:val="0"/>
              <w:tabs>
                <w:tab w:val="left" w:pos="1194"/>
              </w:tabs>
              <w:spacing w:line="500" w:lineRule="exact"/>
              <w:ind w:left="420" w:left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⑴物质风险识别</w:t>
            </w:r>
          </w:p>
          <w:p w14:paraId="5EE45199">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本项目为</w:t>
            </w:r>
            <w:r>
              <w:rPr>
                <w:rFonts w:hint="eastAsia" w:ascii="Times New Roman" w:hAnsi="Times New Roman" w:eastAsia="宋体" w:cs="Times New Roman"/>
                <w:color w:val="auto"/>
                <w:kern w:val="2"/>
                <w:sz w:val="22"/>
                <w:szCs w:val="22"/>
                <w:lang w:val="en-US" w:eastAsia="zh-CN" w:bidi="ar-SA"/>
              </w:rPr>
              <w:t>高分子半导电胶辊生产线技改项目</w:t>
            </w:r>
            <w:r>
              <w:rPr>
                <w:rFonts w:hint="default" w:ascii="Times New Roman" w:hAnsi="Times New Roman" w:eastAsia="宋体" w:cs="Times New Roman"/>
                <w:color w:val="auto"/>
                <w:kern w:val="2"/>
                <w:sz w:val="22"/>
                <w:szCs w:val="22"/>
                <w:lang w:val="en-US" w:eastAsia="zh-CN" w:bidi="ar-SA"/>
              </w:rPr>
              <w:t>，项目运营过程中涉及的物质主要为</w:t>
            </w:r>
            <w:r>
              <w:rPr>
                <w:rFonts w:hint="default" w:ascii="Times New Roman" w:hAnsi="Times New Roman" w:eastAsia="宋体" w:cs="Times New Roman"/>
                <w:color w:val="auto"/>
                <w:kern w:val="0"/>
                <w:sz w:val="22"/>
                <w:szCs w:val="22"/>
                <w:lang w:val="en-US" w:eastAsia="zh-CN" w:bidi="ar-SA"/>
              </w:rPr>
              <w:t>橡胶、炭黑</w:t>
            </w:r>
            <w:r>
              <w:rPr>
                <w:rFonts w:hint="eastAsia" w:ascii="Times New Roman" w:hAnsi="Times New Roman" w:eastAsia="宋体" w:cs="Times New Roman"/>
                <w:color w:val="auto"/>
                <w:kern w:val="0"/>
                <w:sz w:val="22"/>
                <w:szCs w:val="22"/>
                <w:lang w:val="en-US" w:eastAsia="zh-CN" w:bidi="ar-SA"/>
              </w:rPr>
              <w:t>、环烷油、促进剂、硫磺粉、氧化锌、硬脂酸、轻质碳化钙、导电剂、高岭土、涂料、乙醇、</w:t>
            </w:r>
            <w:r>
              <w:rPr>
                <w:rFonts w:hint="eastAsia" w:cs="Times New Roman"/>
                <w:color w:val="auto"/>
                <w:kern w:val="0"/>
                <w:sz w:val="22"/>
                <w:szCs w:val="22"/>
                <w:lang w:val="en-US" w:eastAsia="zh-CN" w:bidi="ar-SA"/>
              </w:rPr>
              <w:t>甲苯、</w:t>
            </w:r>
            <w:r>
              <w:rPr>
                <w:rFonts w:hint="eastAsia" w:ascii="Times New Roman" w:hAnsi="Times New Roman" w:eastAsia="宋体" w:cs="Times New Roman"/>
                <w:color w:val="auto"/>
                <w:kern w:val="0"/>
                <w:sz w:val="22"/>
                <w:szCs w:val="22"/>
                <w:lang w:val="en-US" w:eastAsia="zh-CN" w:bidi="ar-SA"/>
              </w:rPr>
              <w:t>二甲苯</w:t>
            </w:r>
            <w:r>
              <w:rPr>
                <w:rFonts w:hint="eastAsia" w:cs="Times New Roman"/>
                <w:color w:val="auto"/>
                <w:kern w:val="0"/>
                <w:sz w:val="22"/>
                <w:szCs w:val="22"/>
                <w:lang w:val="en-US" w:eastAsia="zh-CN" w:bidi="ar-SA"/>
              </w:rPr>
              <w:t>、美沙克灵</w:t>
            </w:r>
            <w:r>
              <w:rPr>
                <w:rFonts w:hint="eastAsia" w:ascii="Times New Roman" w:hAnsi="Times New Roman" w:eastAsia="宋体" w:cs="Times New Roman"/>
                <w:color w:val="auto"/>
                <w:kern w:val="0"/>
                <w:sz w:val="22"/>
                <w:szCs w:val="22"/>
                <w:lang w:val="en-US" w:eastAsia="zh-CN" w:bidi="ar-SA"/>
              </w:rPr>
              <w:t>、醋酸乙酯、导热油、</w:t>
            </w:r>
            <w:r>
              <w:rPr>
                <w:rFonts w:hint="eastAsia" w:cs="Times New Roman"/>
                <w:color w:val="auto"/>
                <w:kern w:val="0"/>
                <w:sz w:val="22"/>
                <w:szCs w:val="22"/>
                <w:lang w:val="en-US" w:eastAsia="zh-CN" w:bidi="ar-SA"/>
              </w:rPr>
              <w:t>危险废物等</w:t>
            </w:r>
            <w:r>
              <w:rPr>
                <w:rFonts w:hint="default" w:ascii="Times New Roman" w:hAnsi="Times New Roman" w:eastAsia="宋体" w:cs="Times New Roman"/>
                <w:color w:val="auto"/>
                <w:kern w:val="2"/>
                <w:sz w:val="22"/>
                <w:szCs w:val="22"/>
                <w:lang w:val="en-US" w:eastAsia="zh-CN" w:bidi="ar-SA"/>
              </w:rPr>
              <w:t>。</w:t>
            </w:r>
          </w:p>
          <w:p w14:paraId="180C5908">
            <w:pPr>
              <w:widowControl w:val="0"/>
              <w:tabs>
                <w:tab w:val="left" w:pos="1194"/>
              </w:tabs>
              <w:spacing w:line="500" w:lineRule="exact"/>
              <w:ind w:left="420" w:left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⑵设施风险识别</w:t>
            </w:r>
          </w:p>
          <w:p w14:paraId="29F2B307">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生产设施风险识别范围：主要生产装置、贮运系统、公用工程系统、环保工程设施及辅助生产设施等。</w:t>
            </w:r>
          </w:p>
          <w:p w14:paraId="1CDDE6DF">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本项目生产单元危险性识别主要包括原料存放区、危废暂存库和环保装置等。</w:t>
            </w:r>
          </w:p>
          <w:p w14:paraId="72B7796C">
            <w:pPr>
              <w:widowControl w:val="0"/>
              <w:tabs>
                <w:tab w:val="left" w:pos="1194"/>
              </w:tabs>
              <w:spacing w:line="500" w:lineRule="exact"/>
              <w:ind w:left="420" w:left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⑶重大危险源识别</w:t>
            </w:r>
          </w:p>
          <w:p w14:paraId="7327634B">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根据《建设项目环境风险评价技术导则》（HJ169-2018）中辨识重大危险源的依据和方法：凡生产、加工、运输、使用或贮存危险性物质，且危险性物质的数量等于或超过临界量的功能单元，定为重大危险源。项目不存在重大危险源。</w:t>
            </w:r>
          </w:p>
          <w:p w14:paraId="226A8D11">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4.6.3 环境风险分析</w:t>
            </w:r>
          </w:p>
          <w:p w14:paraId="47FEA741">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⑴源项分析</w:t>
            </w:r>
          </w:p>
          <w:p w14:paraId="6DB4AB69">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项目可能发生的风险是</w:t>
            </w:r>
            <w:r>
              <w:rPr>
                <w:rFonts w:hint="eastAsia" w:ascii="Times New Roman" w:hAnsi="Times New Roman" w:eastAsia="宋体" w:cs="Times New Roman"/>
                <w:color w:val="auto"/>
                <w:kern w:val="2"/>
                <w:sz w:val="22"/>
                <w:szCs w:val="22"/>
                <w:lang w:val="en-US" w:eastAsia="zh-CN" w:bidi="ar-SA"/>
              </w:rPr>
              <w:t>原料环烷油、涂料、乙醇、</w:t>
            </w:r>
            <w:r>
              <w:rPr>
                <w:rFonts w:hint="eastAsia" w:cs="Times New Roman"/>
                <w:color w:val="auto"/>
                <w:kern w:val="2"/>
                <w:sz w:val="22"/>
                <w:szCs w:val="22"/>
                <w:lang w:val="en-US" w:eastAsia="zh-CN" w:bidi="ar-SA"/>
              </w:rPr>
              <w:t>甲苯、</w:t>
            </w:r>
            <w:r>
              <w:rPr>
                <w:rFonts w:hint="eastAsia" w:ascii="Times New Roman" w:hAnsi="Times New Roman" w:eastAsia="宋体" w:cs="Times New Roman"/>
                <w:color w:val="auto"/>
                <w:kern w:val="2"/>
                <w:sz w:val="22"/>
                <w:szCs w:val="22"/>
                <w:lang w:val="en-US" w:eastAsia="zh-CN" w:bidi="ar-SA"/>
              </w:rPr>
              <w:t>二甲苯、</w:t>
            </w:r>
            <w:r>
              <w:rPr>
                <w:rFonts w:hint="eastAsia" w:cs="Times New Roman"/>
                <w:color w:val="auto"/>
                <w:kern w:val="0"/>
                <w:sz w:val="22"/>
                <w:szCs w:val="22"/>
                <w:lang w:val="en-US" w:eastAsia="zh-CN" w:bidi="ar-SA"/>
              </w:rPr>
              <w:t>美沙克灵</w:t>
            </w:r>
            <w:r>
              <w:rPr>
                <w:rFonts w:hint="eastAsia" w:ascii="Times New Roman" w:hAnsi="Times New Roman" w:eastAsia="宋体" w:cs="Times New Roman"/>
                <w:color w:val="auto"/>
                <w:kern w:val="0"/>
                <w:sz w:val="22"/>
                <w:szCs w:val="22"/>
                <w:lang w:val="en-US" w:eastAsia="zh-CN" w:bidi="ar-SA"/>
              </w:rPr>
              <w:t>、</w:t>
            </w:r>
            <w:r>
              <w:rPr>
                <w:rFonts w:hint="eastAsia" w:ascii="Times New Roman" w:hAnsi="Times New Roman" w:eastAsia="宋体" w:cs="Times New Roman"/>
                <w:color w:val="auto"/>
                <w:kern w:val="2"/>
                <w:sz w:val="22"/>
                <w:szCs w:val="22"/>
                <w:lang w:val="en-US" w:eastAsia="zh-CN" w:bidi="ar-SA"/>
              </w:rPr>
              <w:t>醋酸乙酯、导热油等</w:t>
            </w:r>
            <w:r>
              <w:rPr>
                <w:rFonts w:hint="default" w:ascii="Times New Roman" w:hAnsi="Times New Roman" w:eastAsia="宋体" w:cs="Times New Roman"/>
                <w:color w:val="auto"/>
                <w:kern w:val="2"/>
                <w:sz w:val="22"/>
                <w:szCs w:val="22"/>
                <w:lang w:val="en-US" w:eastAsia="zh-CN" w:bidi="ar-SA"/>
              </w:rPr>
              <w:t>的泄漏，污染周围土壤及水环境；</w:t>
            </w:r>
            <w:r>
              <w:rPr>
                <w:rFonts w:hint="eastAsia" w:ascii="Times New Roman" w:hAnsi="Times New Roman" w:eastAsia="宋体" w:cs="Times New Roman"/>
                <w:color w:val="auto"/>
                <w:kern w:val="2"/>
                <w:sz w:val="22"/>
                <w:szCs w:val="22"/>
                <w:lang w:val="en-US" w:eastAsia="zh-CN" w:bidi="ar-SA"/>
              </w:rPr>
              <w:t>原料</w:t>
            </w:r>
            <w:r>
              <w:rPr>
                <w:rFonts w:hint="default" w:ascii="Times New Roman" w:hAnsi="Times New Roman" w:eastAsia="宋体" w:cs="Times New Roman"/>
                <w:color w:val="auto"/>
                <w:kern w:val="0"/>
                <w:sz w:val="22"/>
                <w:szCs w:val="22"/>
                <w:lang w:val="en-US" w:eastAsia="zh-CN" w:bidi="ar-SA"/>
              </w:rPr>
              <w:t>橡胶、环烷油、硫磺粉、硬脂酸、导电剂、涂料、乙醇、</w:t>
            </w:r>
            <w:r>
              <w:rPr>
                <w:rFonts w:hint="eastAsia" w:cs="Times New Roman"/>
                <w:color w:val="auto"/>
                <w:kern w:val="0"/>
                <w:sz w:val="22"/>
                <w:szCs w:val="22"/>
                <w:lang w:val="en-US" w:eastAsia="zh-CN" w:bidi="ar-SA"/>
              </w:rPr>
              <w:t>甲苯、</w:t>
            </w:r>
            <w:r>
              <w:rPr>
                <w:rFonts w:hint="default" w:ascii="Times New Roman" w:hAnsi="Times New Roman" w:eastAsia="宋体" w:cs="Times New Roman"/>
                <w:color w:val="auto"/>
                <w:kern w:val="0"/>
                <w:sz w:val="22"/>
                <w:szCs w:val="22"/>
                <w:lang w:val="en-US" w:eastAsia="zh-CN" w:bidi="ar-SA"/>
              </w:rPr>
              <w:t>二甲苯、醋酸乙酯、导热油等</w:t>
            </w:r>
            <w:r>
              <w:rPr>
                <w:rFonts w:hint="default" w:ascii="Times New Roman" w:hAnsi="Times New Roman" w:eastAsia="宋体" w:cs="Times New Roman"/>
                <w:color w:val="auto"/>
                <w:kern w:val="2"/>
                <w:sz w:val="22"/>
                <w:szCs w:val="22"/>
                <w:lang w:val="en-US" w:eastAsia="zh-CN" w:bidi="ar-SA"/>
              </w:rPr>
              <w:t>遇明火发生火灾，污染周边大气环境；危废间内危险废物泄漏，造成周边污染；明火管理不当、电器设备及线路老化等引起的火灾事故，火灾一旦发生，对周围环境影响严重。</w:t>
            </w:r>
          </w:p>
          <w:p w14:paraId="4567D7BD">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⑵风险预测</w:t>
            </w:r>
          </w:p>
          <w:p w14:paraId="55497C0D">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项目可能发生的风险是原料环烷油、涂料、乙醇、</w:t>
            </w:r>
            <w:r>
              <w:rPr>
                <w:rFonts w:hint="eastAsia" w:cs="Times New Roman"/>
                <w:color w:val="auto"/>
                <w:kern w:val="2"/>
                <w:sz w:val="22"/>
                <w:szCs w:val="22"/>
                <w:lang w:val="en-US" w:eastAsia="zh-CN" w:bidi="ar-SA"/>
              </w:rPr>
              <w:t>甲苯、</w:t>
            </w:r>
            <w:r>
              <w:rPr>
                <w:rFonts w:hint="default" w:ascii="Times New Roman" w:hAnsi="Times New Roman" w:eastAsia="宋体" w:cs="Times New Roman"/>
                <w:color w:val="auto"/>
                <w:kern w:val="2"/>
                <w:sz w:val="22"/>
                <w:szCs w:val="22"/>
                <w:lang w:val="en-US" w:eastAsia="zh-CN" w:bidi="ar-SA"/>
              </w:rPr>
              <w:t>二甲苯、</w:t>
            </w:r>
            <w:r>
              <w:rPr>
                <w:rFonts w:hint="eastAsia" w:cs="Times New Roman"/>
                <w:color w:val="auto"/>
                <w:kern w:val="0"/>
                <w:sz w:val="22"/>
                <w:szCs w:val="22"/>
                <w:lang w:val="en-US" w:eastAsia="zh-CN" w:bidi="ar-SA"/>
              </w:rPr>
              <w:t>美沙克灵</w:t>
            </w:r>
            <w:r>
              <w:rPr>
                <w:rFonts w:hint="eastAsia" w:ascii="Times New Roman" w:hAnsi="Times New Roman" w:eastAsia="宋体" w:cs="Times New Roman"/>
                <w:color w:val="auto"/>
                <w:kern w:val="0"/>
                <w:sz w:val="22"/>
                <w:szCs w:val="22"/>
                <w:lang w:val="en-US" w:eastAsia="zh-CN" w:bidi="ar-SA"/>
              </w:rPr>
              <w:t>、</w:t>
            </w:r>
            <w:r>
              <w:rPr>
                <w:rFonts w:hint="default" w:ascii="Times New Roman" w:hAnsi="Times New Roman" w:eastAsia="宋体" w:cs="Times New Roman"/>
                <w:color w:val="auto"/>
                <w:kern w:val="2"/>
                <w:sz w:val="22"/>
                <w:szCs w:val="22"/>
                <w:lang w:val="en-US" w:eastAsia="zh-CN" w:bidi="ar-SA"/>
              </w:rPr>
              <w:t>醋酸乙酯、导热油等的泄漏，污染周围土壤及水环境；原料橡胶、环烷油、硫磺粉、硬脂酸、导电剂、涂料、乙醇、二甲苯、醋酸乙酯、导热油等遇明火发生火灾，污染周边大气环境；危废间内危险废物泄漏，造成周边污染；明火管理不当、电器设备及线路老化等引起的火灾事故。火灾的影响主要表现在：在火灾过程中，物体燃烧后产生高温和烟雾可以使人体受到伤害，甚至危及人的生命；火灾会毁坏物资，造成经济损失；火灾中释放的烟气将对周围大气环境造成一定的污染。对可能发生的事故与风险的条件进行分析，并提出合理的防范措施，本项目潜在风险概率较小。</w:t>
            </w:r>
          </w:p>
          <w:p w14:paraId="36CB8EDF">
            <w:pPr>
              <w:widowControl w:val="0"/>
              <w:autoSpaceDE w:val="0"/>
              <w:autoSpaceDN w:val="0"/>
              <w:adjustRightInd w:val="0"/>
              <w:spacing w:line="500" w:lineRule="exact"/>
              <w:ind w:firstLine="442" w:firstLineChars="200"/>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 xml:space="preserve">4.6.4 </w:t>
            </w:r>
            <w:r>
              <w:rPr>
                <w:rFonts w:hint="default" w:ascii="Times New Roman" w:hAnsi="Times New Roman" w:eastAsia="宋体" w:cs="Times New Roman"/>
                <w:b/>
                <w:color w:val="auto"/>
                <w:sz w:val="22"/>
                <w:szCs w:val="22"/>
                <w:lang w:val="en-US" w:eastAsia="zh-CN" w:bidi="ar-SA"/>
              </w:rPr>
              <w:t>环境风险防范措施及应急要求</w:t>
            </w:r>
          </w:p>
          <w:p w14:paraId="4F441500">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⑴风险防范措施</w:t>
            </w:r>
          </w:p>
          <w:p w14:paraId="2B369EAC">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针对项目生产过程中可能产生的事故，要贯彻预防为主的原则，从上到下认清事故发生后的严重性，增强安全生产和保护意识，完善并严格执行各项工作规程，杜绝事故的发生。提高操作、管理人员的业务的素质，加强对操作、管理人员的岗位培训，普及在岗职工对有害物质的性质、毒害和安全防护的基本知识，对操作人员进行岗位规范定期培训、考核，合格者方可上岗，并加强对职工和周围人员的自我保护常识宣传。</w:t>
            </w:r>
          </w:p>
          <w:p w14:paraId="454B2B58">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⑵地下水防渗措施</w:t>
            </w:r>
          </w:p>
          <w:p w14:paraId="531593B4">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严格按照《危险废物贮存污染控制标准》（GB18597-2023）的有关要求设计，重点污染防治区防渗层的防渗性能不应低于6.0m厚渗透系数为1.0×10</w:t>
            </w:r>
            <w:r>
              <w:rPr>
                <w:rFonts w:hint="default" w:ascii="Times New Roman" w:hAnsi="Times New Roman" w:eastAsia="宋体" w:cs="Times New Roman"/>
                <w:color w:val="auto"/>
                <w:kern w:val="2"/>
                <w:sz w:val="22"/>
                <w:szCs w:val="22"/>
                <w:vertAlign w:val="superscript"/>
                <w:lang w:val="en-US" w:eastAsia="zh-CN" w:bidi="ar-SA"/>
              </w:rPr>
              <w:t>-7</w:t>
            </w:r>
            <w:r>
              <w:rPr>
                <w:rFonts w:hint="default" w:ascii="Times New Roman" w:hAnsi="Times New Roman" w:eastAsia="宋体" w:cs="Times New Roman"/>
                <w:color w:val="auto"/>
                <w:kern w:val="2"/>
                <w:sz w:val="22"/>
                <w:szCs w:val="22"/>
                <w:lang w:val="en-US" w:eastAsia="zh-CN" w:bidi="ar-SA"/>
              </w:rPr>
              <w:t>cm/s的黏土层防渗性能，基础必须防渗，防渗层为至少1米厚粘土层（渗透系数≤10</w:t>
            </w:r>
            <w:r>
              <w:rPr>
                <w:rFonts w:hint="default" w:ascii="Times New Roman" w:hAnsi="Times New Roman" w:eastAsia="宋体" w:cs="Times New Roman"/>
                <w:color w:val="auto"/>
                <w:kern w:val="2"/>
                <w:sz w:val="22"/>
                <w:szCs w:val="22"/>
                <w:vertAlign w:val="superscript"/>
                <w:lang w:val="en-US" w:eastAsia="zh-CN" w:bidi="ar-SA"/>
              </w:rPr>
              <w:t>-7</w:t>
            </w:r>
            <w:r>
              <w:rPr>
                <w:rFonts w:hint="default" w:ascii="Times New Roman" w:hAnsi="Times New Roman" w:eastAsia="宋体" w:cs="Times New Roman"/>
                <w:color w:val="auto"/>
                <w:kern w:val="2"/>
                <w:sz w:val="22"/>
                <w:szCs w:val="22"/>
                <w:lang w:val="en-US" w:eastAsia="zh-CN" w:bidi="ar-SA"/>
              </w:rPr>
              <w:t>厘米/秒），或2毫米厚高密度聚乙烯，或至少2毫米厚的其它人工材料，渗透系数≤10</w:t>
            </w:r>
            <w:r>
              <w:rPr>
                <w:rFonts w:hint="default" w:ascii="Times New Roman" w:hAnsi="Times New Roman" w:eastAsia="宋体" w:cs="Times New Roman"/>
                <w:color w:val="auto"/>
                <w:kern w:val="2"/>
                <w:sz w:val="22"/>
                <w:szCs w:val="22"/>
                <w:vertAlign w:val="superscript"/>
                <w:lang w:val="en-US" w:eastAsia="zh-CN" w:bidi="ar-SA"/>
              </w:rPr>
              <w:t>-10</w:t>
            </w:r>
            <w:r>
              <w:rPr>
                <w:rFonts w:hint="default" w:ascii="Times New Roman" w:hAnsi="Times New Roman" w:eastAsia="宋体" w:cs="Times New Roman"/>
                <w:color w:val="auto"/>
                <w:kern w:val="2"/>
                <w:sz w:val="22"/>
                <w:szCs w:val="22"/>
                <w:lang w:val="en-US" w:eastAsia="zh-CN" w:bidi="ar-SA"/>
              </w:rPr>
              <w:t>厘米/秒。</w:t>
            </w:r>
          </w:p>
          <w:p w14:paraId="3AD8A412">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⑶事故应急措施</w:t>
            </w:r>
          </w:p>
          <w:p w14:paraId="432FDB0D">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①泄漏应急处理处置方法</w:t>
            </w:r>
          </w:p>
          <w:p w14:paraId="26D33C42">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迅速更换完好容器，指挥人员对泄漏物料进行围堵，避免流入雨水管道等。然后对泄漏物料进行收集，污染地面应及时清洁清理，降低对土壤环境的污染。</w:t>
            </w:r>
          </w:p>
          <w:p w14:paraId="084BB9C6">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②火灾爆炸事故的抢救措施</w:t>
            </w:r>
          </w:p>
          <w:p w14:paraId="389DC449">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一旦发生火灾爆炸事故，利用设置的火灾自动报警系统及电话向消防部门报警，同时采取设置的移动式消防器材及固定式消防设施进行灭火。</w:t>
            </w:r>
          </w:p>
          <w:p w14:paraId="781F5168">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一般建筑物火灾主要采用水灭火，利用消防栓、消防车、消防水枪并配合其他消防器材进行扑救。</w:t>
            </w:r>
          </w:p>
          <w:p w14:paraId="3D70BA3A">
            <w:pPr>
              <w:widowControl w:val="0"/>
              <w:autoSpaceDE w:val="0"/>
              <w:autoSpaceDN w:val="0"/>
              <w:adjustRightInd w:val="0"/>
              <w:spacing w:line="500" w:lineRule="exact"/>
              <w:ind w:firstLine="442" w:firstLineChars="200"/>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4.6.5 “三级防控”体系</w:t>
            </w:r>
          </w:p>
          <w:p w14:paraId="048CC415">
            <w:pPr>
              <w:widowControl w:val="0"/>
              <w:autoSpaceDE w:val="0"/>
              <w:autoSpaceDN w:val="0"/>
              <w:adjustRightInd w:val="0"/>
              <w:spacing w:line="500" w:lineRule="exact"/>
              <w:ind w:firstLine="440" w:firstLineChars="200"/>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“三级防控”主要指“源头、过程、末端”三个环节的环境风险控制措施体系，坚持以防为主、防控结合。</w:t>
            </w:r>
          </w:p>
          <w:p w14:paraId="3F4F6D3B">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针对本项目生产工艺特点，制定公司环境风险三级防控体系。</w:t>
            </w:r>
          </w:p>
          <w:p w14:paraId="3106DC7E">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①一级防控措施</w:t>
            </w:r>
          </w:p>
          <w:p w14:paraId="7C3A20E9">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在易发生泄漏区设置围堰，当发生泄漏事故时，可有效防止溢出。</w:t>
            </w:r>
          </w:p>
          <w:p w14:paraId="274BAA5E">
            <w:pPr>
              <w:widowControl w:val="0"/>
              <w:spacing w:line="500" w:lineRule="exact"/>
              <w:ind w:firstLine="442" w:firstLineChars="200"/>
              <w:jc w:val="left"/>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②二级防控措施</w:t>
            </w:r>
          </w:p>
          <w:p w14:paraId="424F6010">
            <w:pPr>
              <w:widowControl w:val="0"/>
              <w:spacing w:line="500" w:lineRule="exact"/>
              <w:ind w:firstLine="440" w:firstLineChars="200"/>
              <w:jc w:val="left"/>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厂区雨水外排口设置截留阀，防止物料发生泄漏后进入下水道，通过雨水口流出厂界；厂区出入口处备有沙袋，一旦发生重大泄漏事故，用沙袋封堵厂区大门，以阻隔厂内污水或其他液体排出厂区，防治污染介质外流扩散造成水体、土壤的大面积环境污染。</w:t>
            </w:r>
          </w:p>
          <w:p w14:paraId="34DE9E93">
            <w:pPr>
              <w:keepNext w:val="0"/>
              <w:keepLines w:val="0"/>
              <w:pageBreakBefore w:val="0"/>
              <w:widowControl w:val="0"/>
              <w:kinsoku/>
              <w:wordWrap/>
              <w:overflowPunct/>
              <w:topLinePunct w:val="0"/>
              <w:bidi w:val="0"/>
              <w:spacing w:line="500" w:lineRule="exact"/>
              <w:ind w:firstLine="442" w:firstLineChars="200"/>
              <w:jc w:val="left"/>
              <w:textAlignment w:val="auto"/>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③三级防控措施</w:t>
            </w:r>
          </w:p>
          <w:p w14:paraId="5CDD99DF">
            <w:pPr>
              <w:keepNext w:val="0"/>
              <w:keepLines w:val="0"/>
              <w:pageBreakBefore w:val="0"/>
              <w:widowControl w:val="0"/>
              <w:kinsoku/>
              <w:wordWrap/>
              <w:overflowPunct/>
              <w:topLinePunct w:val="0"/>
              <w:bidi w:val="0"/>
              <w:spacing w:line="500" w:lineRule="exact"/>
              <w:ind w:firstLine="440" w:firstLineChars="200"/>
              <w:jc w:val="left"/>
              <w:textAlignment w:val="auto"/>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项目所在园区污水及雨水总排口设置切断措施，封堵污染料液在园区内，防止事故情况下物料经雨水及污水管线进入地表水水体。</w:t>
            </w:r>
          </w:p>
          <w:p w14:paraId="7DB7AE12">
            <w:pPr>
              <w:keepNext w:val="0"/>
              <w:keepLines w:val="0"/>
              <w:pageBreakBefore w:val="0"/>
              <w:widowControl w:val="0"/>
              <w:kinsoku/>
              <w:wordWrap/>
              <w:overflowPunct/>
              <w:topLinePunct w:val="0"/>
              <w:autoSpaceDE w:val="0"/>
              <w:autoSpaceDN w:val="0"/>
              <w:bidi w:val="0"/>
              <w:adjustRightInd w:val="0"/>
              <w:spacing w:line="500" w:lineRule="exact"/>
              <w:ind w:firstLine="442" w:firstLineChars="200"/>
              <w:textAlignment w:val="auto"/>
              <w:rPr>
                <w:rFonts w:hint="default" w:ascii="Times New Roman" w:hAnsi="Times New Roman" w:eastAsia="宋体" w:cs="Times New Roman"/>
                <w:b/>
                <w:bCs/>
                <w:color w:val="auto"/>
                <w:kern w:val="2"/>
                <w:sz w:val="22"/>
                <w:szCs w:val="22"/>
                <w:lang w:val="en-US" w:eastAsia="zh-CN" w:bidi="ar-SA"/>
              </w:rPr>
            </w:pPr>
            <w:r>
              <w:rPr>
                <w:rFonts w:hint="default" w:ascii="Times New Roman" w:hAnsi="Times New Roman" w:eastAsia="宋体" w:cs="Times New Roman"/>
                <w:b/>
                <w:bCs/>
                <w:color w:val="auto"/>
                <w:kern w:val="2"/>
                <w:sz w:val="22"/>
                <w:szCs w:val="22"/>
                <w:lang w:val="en-US" w:eastAsia="zh-CN" w:bidi="ar-SA"/>
              </w:rPr>
              <w:t>4.6.6 分析结论</w:t>
            </w:r>
          </w:p>
          <w:p w14:paraId="58E8D444">
            <w:pPr>
              <w:keepNext w:val="0"/>
              <w:keepLines w:val="0"/>
              <w:pageBreakBefore w:val="0"/>
              <w:widowControl w:val="0"/>
              <w:kinsoku/>
              <w:wordWrap/>
              <w:overflowPunct/>
              <w:topLinePunct w:val="0"/>
              <w:autoSpaceDE w:val="0"/>
              <w:autoSpaceDN w:val="0"/>
              <w:bidi w:val="0"/>
              <w:adjustRightInd w:val="0"/>
              <w:spacing w:line="500" w:lineRule="exact"/>
              <w:ind w:firstLine="440" w:firstLineChars="200"/>
              <w:textAlignment w:val="auto"/>
              <w:rPr>
                <w:rFonts w:hint="default" w:ascii="Times New Roman" w:hAnsi="Times New Roman" w:eastAsia="宋体" w:cs="Times New Roman"/>
                <w:color w:val="auto"/>
                <w:kern w:val="2"/>
                <w:sz w:val="22"/>
                <w:szCs w:val="22"/>
                <w:lang w:val="en-US" w:eastAsia="zh-CN" w:bidi="ar-SA"/>
              </w:rPr>
            </w:pPr>
            <w:r>
              <w:rPr>
                <w:rFonts w:hint="default" w:ascii="Times New Roman" w:hAnsi="Times New Roman" w:eastAsia="宋体" w:cs="Times New Roman"/>
                <w:color w:val="auto"/>
                <w:kern w:val="2"/>
                <w:sz w:val="22"/>
                <w:szCs w:val="22"/>
                <w:lang w:val="en-US" w:eastAsia="zh-CN" w:bidi="ar-SA"/>
              </w:rPr>
              <w:t>本项目采用成熟可靠的生产工艺和设备，在设计中严格执行有关规范中的安全卫生条款，厂区严格执行安全防火措施和消防措施，正常情况下能够保证安全生产和达到工业企业设计卫生标准的要求。一旦发生事故，依靠装置内的安全防护设施和事故应急措施能及时控制事故，防止蔓延。因此，只要厂家严格遵守安全操作规程和制度，加强安全管理，项目生产是安全可靠的。</w:t>
            </w:r>
          </w:p>
          <w:p w14:paraId="25C230FB">
            <w:pPr>
              <w:keepNext w:val="0"/>
              <w:keepLines w:val="0"/>
              <w:pageBreakBefore w:val="0"/>
              <w:widowControl w:val="0"/>
              <w:kinsoku/>
              <w:wordWrap/>
              <w:overflowPunct/>
              <w:topLinePunct w:val="0"/>
              <w:autoSpaceDE w:val="0"/>
              <w:autoSpaceDN w:val="0"/>
              <w:bidi w:val="0"/>
              <w:spacing w:line="500" w:lineRule="exact"/>
              <w:ind w:firstLine="440" w:firstLineChars="20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建设单位应根据《企业事业单位突发环境事件应急预案备案管理办法（试行）》（环发〔2015〕4号）</w:t>
            </w:r>
            <w:r>
              <w:rPr>
                <w:rFonts w:hint="eastAsia" w:ascii="Times New Roman" w:hAnsi="Times New Roman" w:cs="Times New Roman"/>
                <w:color w:val="auto"/>
                <w:sz w:val="22"/>
                <w:szCs w:val="22"/>
                <w:lang w:eastAsia="zh-CN"/>
              </w:rPr>
              <w:t>、</w:t>
            </w:r>
            <w:r>
              <w:rPr>
                <w:rFonts w:hint="eastAsia" w:ascii="Times New Roman" w:hAnsi="Times New Roman" w:cs="Times New Roman"/>
                <w:color w:val="auto"/>
                <w:sz w:val="22"/>
                <w:szCs w:val="22"/>
                <w:lang w:val="en-US" w:eastAsia="zh-CN"/>
              </w:rPr>
              <w:t>《省生态环境厅关于印发江苏省环境影响评价文件环境应急相关内容编制要点的通知》（苏环办〔2022〕338号）、《省生态环境厅关于印发《江苏省突发环境事件应急预案管理办法》的通知》（苏环发</w:t>
            </w:r>
            <w:r>
              <w:rPr>
                <w:rFonts w:hint="eastAsia" w:cs="Times New Roman"/>
                <w:color w:val="auto"/>
                <w:sz w:val="22"/>
                <w:szCs w:val="22"/>
                <w:lang w:val="en-US" w:eastAsia="zh-CN"/>
              </w:rPr>
              <w:t>〔</w:t>
            </w:r>
            <w:r>
              <w:rPr>
                <w:rFonts w:hint="eastAsia" w:ascii="Times New Roman" w:hAnsi="Times New Roman" w:cs="Times New Roman"/>
                <w:color w:val="auto"/>
                <w:sz w:val="22"/>
                <w:szCs w:val="22"/>
                <w:lang w:val="en-US" w:eastAsia="zh-CN"/>
              </w:rPr>
              <w:t>2023</w:t>
            </w:r>
            <w:r>
              <w:rPr>
                <w:rFonts w:hint="eastAsia" w:cs="Times New Roman"/>
                <w:color w:val="auto"/>
                <w:sz w:val="22"/>
                <w:szCs w:val="22"/>
                <w:lang w:val="en-US" w:eastAsia="zh-CN"/>
              </w:rPr>
              <w:t>〕</w:t>
            </w:r>
            <w:r>
              <w:rPr>
                <w:rFonts w:hint="eastAsia" w:ascii="Times New Roman" w:hAnsi="Times New Roman" w:cs="Times New Roman"/>
                <w:color w:val="auto"/>
                <w:sz w:val="22"/>
                <w:szCs w:val="22"/>
                <w:lang w:val="en-US" w:eastAsia="zh-CN"/>
              </w:rPr>
              <w:t>7号）等</w:t>
            </w:r>
            <w:r>
              <w:rPr>
                <w:rFonts w:hint="default" w:ascii="Times New Roman" w:hAnsi="Times New Roman" w:eastAsia="宋体" w:cs="Times New Roman"/>
                <w:color w:val="auto"/>
                <w:sz w:val="22"/>
                <w:szCs w:val="22"/>
              </w:rPr>
              <w:t>文件要求，及时编制</w:t>
            </w:r>
            <w:r>
              <w:rPr>
                <w:rFonts w:hint="eastAsia" w:ascii="Times New Roman" w:hAnsi="Times New Roman" w:cs="Times New Roman"/>
                <w:color w:val="auto"/>
                <w:sz w:val="22"/>
                <w:szCs w:val="22"/>
                <w:lang w:eastAsia="zh-CN"/>
              </w:rPr>
              <w:t>修订</w:t>
            </w:r>
            <w:r>
              <w:rPr>
                <w:rFonts w:hint="default" w:ascii="Times New Roman" w:hAnsi="Times New Roman" w:eastAsia="宋体" w:cs="Times New Roman"/>
                <w:color w:val="auto"/>
                <w:sz w:val="22"/>
                <w:szCs w:val="22"/>
              </w:rPr>
              <w:t>应急预案，并按应急预案实施各项风险防范措施，并加强项目运营阶段的环境管理前提下，本项目环境风险是可以防控的。</w:t>
            </w:r>
          </w:p>
          <w:p w14:paraId="35408131">
            <w:pPr>
              <w:keepNext w:val="0"/>
              <w:keepLines w:val="0"/>
              <w:pageBreakBefore w:val="0"/>
              <w:widowControl w:val="0"/>
              <w:kinsoku/>
              <w:wordWrap/>
              <w:overflowPunct/>
              <w:topLinePunct w:val="0"/>
              <w:autoSpaceDE w:val="0"/>
              <w:autoSpaceDN w:val="0"/>
              <w:bidi w:val="0"/>
              <w:spacing w:line="500" w:lineRule="exact"/>
              <w:ind w:firstLine="440" w:firstLineChars="20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建设项目环境风险简单分析内容表如下表所示。</w:t>
            </w:r>
          </w:p>
          <w:p w14:paraId="4FEBC398">
            <w:pPr>
              <w:keepNext w:val="0"/>
              <w:keepLines w:val="0"/>
              <w:pageBreakBefore w:val="0"/>
              <w:widowControl w:val="0"/>
              <w:kinsoku/>
              <w:wordWrap/>
              <w:overflowPunct/>
              <w:topLinePunct w:val="0"/>
              <w:bidi w:val="0"/>
              <w:adjustRightInd w:val="0"/>
              <w:snapToGrid w:val="0"/>
              <w:spacing w:line="500" w:lineRule="exact"/>
              <w:jc w:val="center"/>
              <w:textAlignment w:val="auto"/>
              <w:rPr>
                <w:rFonts w:hint="default" w:ascii="Times New Roman" w:hAnsi="Times New Roman" w:eastAsia="宋体" w:cs="Times New Roman"/>
                <w:b/>
                <w:bCs/>
                <w:color w:val="auto"/>
                <w:kern w:val="0"/>
                <w:sz w:val="22"/>
                <w:szCs w:val="22"/>
              </w:rPr>
            </w:pPr>
            <w:r>
              <w:rPr>
                <w:rFonts w:hint="default" w:ascii="Times New Roman" w:hAnsi="Times New Roman" w:eastAsia="宋体" w:cs="Times New Roman"/>
                <w:b/>
                <w:bCs/>
                <w:color w:val="auto"/>
                <w:kern w:val="0"/>
                <w:sz w:val="22"/>
                <w:szCs w:val="22"/>
              </w:rPr>
              <w:t>表4.6-</w:t>
            </w:r>
            <w:r>
              <w:rPr>
                <w:rFonts w:hint="eastAsia" w:ascii="Times New Roman" w:hAnsi="Times New Roman" w:cs="Times New Roman"/>
                <w:b/>
                <w:bCs/>
                <w:color w:val="auto"/>
                <w:kern w:val="0"/>
                <w:sz w:val="22"/>
                <w:szCs w:val="22"/>
                <w:lang w:val="en-US" w:eastAsia="zh-CN"/>
              </w:rPr>
              <w:t>2</w:t>
            </w:r>
            <w:r>
              <w:rPr>
                <w:rFonts w:hint="default" w:ascii="Times New Roman" w:hAnsi="Times New Roman" w:eastAsia="宋体" w:cs="Times New Roman"/>
                <w:b/>
                <w:bCs/>
                <w:color w:val="auto"/>
                <w:kern w:val="0"/>
                <w:sz w:val="22"/>
                <w:szCs w:val="22"/>
              </w:rPr>
              <w:t xml:space="preserve">  建设项目环境风险简单分析内容表</w:t>
            </w:r>
          </w:p>
          <w:tbl>
            <w:tblPr>
              <w:tblStyle w:val="43"/>
              <w:tblW w:w="5000"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28" w:type="dxa"/>
                <w:bottom w:w="0" w:type="dxa"/>
                <w:right w:w="28" w:type="dxa"/>
              </w:tblCellMar>
            </w:tblPr>
            <w:tblGrid>
              <w:gridCol w:w="1225"/>
              <w:gridCol w:w="2543"/>
              <w:gridCol w:w="1759"/>
              <w:gridCol w:w="1751"/>
              <w:gridCol w:w="1795"/>
            </w:tblGrid>
            <w:tr w14:paraId="557A364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noWrap/>
                  <w:vAlign w:val="center"/>
                </w:tcPr>
                <w:p w14:paraId="3A9747EA">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建设项目名称</w:t>
                  </w:r>
                </w:p>
              </w:tc>
              <w:tc>
                <w:tcPr>
                  <w:tcW w:w="4324" w:type="pct"/>
                  <w:gridSpan w:val="4"/>
                  <w:noWrap/>
                  <w:vAlign w:val="center"/>
                </w:tcPr>
                <w:p w14:paraId="158B3E86">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高分子半导电胶辊生产线技改项目</w:t>
                  </w:r>
                </w:p>
              </w:tc>
            </w:tr>
            <w:tr w14:paraId="6B773BC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noWrap/>
                  <w:vAlign w:val="center"/>
                </w:tcPr>
                <w:p w14:paraId="0A74EFCD">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建设地点</w:t>
                  </w:r>
                </w:p>
              </w:tc>
              <w:tc>
                <w:tcPr>
                  <w:tcW w:w="4324" w:type="pct"/>
                  <w:gridSpan w:val="4"/>
                  <w:noWrap/>
                  <w:vAlign w:val="center"/>
                </w:tcPr>
                <w:p w14:paraId="6BE47FF8">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cs="Times New Roman"/>
                      <w:b w:val="0"/>
                      <w:bCs w:val="0"/>
                      <w:color w:val="auto"/>
                      <w:sz w:val="21"/>
                      <w:szCs w:val="21"/>
                      <w:vertAlign w:val="baseline"/>
                      <w:lang w:val="en-US" w:eastAsia="zh-CN"/>
                    </w:rPr>
                    <w:t>淮安高新技术产业开发区</w:t>
                  </w:r>
                  <w:r>
                    <w:rPr>
                      <w:rFonts w:hint="eastAsia" w:ascii="Times New Roman" w:hAnsi="Times New Roman" w:cs="Times New Roman"/>
                      <w:b w:val="0"/>
                      <w:bCs w:val="0"/>
                      <w:color w:val="auto"/>
                      <w:sz w:val="21"/>
                      <w:szCs w:val="21"/>
                      <w:vertAlign w:val="baseline"/>
                      <w:lang w:val="en-US" w:eastAsia="zh-CN"/>
                    </w:rPr>
                    <w:t>循环经济产业园</w:t>
                  </w:r>
                </w:p>
              </w:tc>
            </w:tr>
            <w:tr w14:paraId="10D3EA1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noWrap/>
                  <w:vAlign w:val="center"/>
                </w:tcPr>
                <w:p w14:paraId="20EFA478">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地理坐标</w:t>
                  </w:r>
                </w:p>
              </w:tc>
              <w:tc>
                <w:tcPr>
                  <w:tcW w:w="4324" w:type="pct"/>
                  <w:gridSpan w:val="4"/>
                  <w:noWrap/>
                  <w:vAlign w:val="center"/>
                </w:tcPr>
                <w:p w14:paraId="4F4959DE">
                  <w:pPr>
                    <w:keepNext w:val="0"/>
                    <w:keepLines w:val="0"/>
                    <w:pageBreakBefore w:val="0"/>
                    <w:widowControl w:val="0"/>
                    <w:kinsoku/>
                    <w:wordWrap/>
                    <w:overflowPunct/>
                    <w:topLinePunct w:val="0"/>
                    <w:autoSpaceDE w:val="0"/>
                    <w:autoSpaceDN w:val="0"/>
                    <w:bidi w:val="0"/>
                    <w:adjustRightInd/>
                    <w:snapToGrid/>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经度：118.91571790；纬度</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33.85171306</w:t>
                  </w:r>
                </w:p>
              </w:tc>
            </w:tr>
            <w:tr w14:paraId="7C66078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restart"/>
                  <w:noWrap/>
                  <w:vAlign w:val="center"/>
                </w:tcPr>
                <w:p w14:paraId="5C6D7861">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主要危险物质及分布</w:t>
                  </w:r>
                </w:p>
              </w:tc>
              <w:tc>
                <w:tcPr>
                  <w:tcW w:w="1401" w:type="pct"/>
                  <w:noWrap/>
                  <w:vAlign w:val="center"/>
                </w:tcPr>
                <w:p w14:paraId="4F6B61E7">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物质名称</w:t>
                  </w:r>
                </w:p>
              </w:tc>
              <w:tc>
                <w:tcPr>
                  <w:tcW w:w="969" w:type="pct"/>
                  <w:noWrap/>
                  <w:vAlign w:val="center"/>
                </w:tcPr>
                <w:p w14:paraId="23C5C057">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贮存位置</w:t>
                  </w:r>
                </w:p>
              </w:tc>
              <w:tc>
                <w:tcPr>
                  <w:tcW w:w="965" w:type="pct"/>
                  <w:noWrap/>
                  <w:vAlign w:val="center"/>
                </w:tcPr>
                <w:p w14:paraId="3F435A88">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贮存方式</w:t>
                  </w:r>
                </w:p>
              </w:tc>
              <w:tc>
                <w:tcPr>
                  <w:tcW w:w="987" w:type="pct"/>
                  <w:noWrap/>
                  <w:vAlign w:val="center"/>
                </w:tcPr>
                <w:p w14:paraId="3E900AA4">
                  <w:pPr>
                    <w:keepNext w:val="0"/>
                    <w:keepLines w:val="0"/>
                    <w:pageBreakBefore w:val="0"/>
                    <w:widowControl w:val="0"/>
                    <w:kinsoku/>
                    <w:wordWrap/>
                    <w:overflowPunct/>
                    <w:topLinePunct w:val="0"/>
                    <w:autoSpaceDE w:val="0"/>
                    <w:autoSpaceDN w:val="0"/>
                    <w:bidi w:val="0"/>
                    <w:spacing w:line="360" w:lineRule="atLeast"/>
                    <w:jc w:val="center"/>
                    <w:textAlignment w:val="auto"/>
                    <w:rPr>
                      <w:rFonts w:hint="eastAsia" w:ascii="Times New Roman" w:hAnsi="Times New Roman" w:eastAsia="宋体" w:cs="Times New Roman"/>
                      <w:b/>
                      <w:bCs/>
                      <w:color w:val="auto"/>
                      <w:sz w:val="21"/>
                      <w:szCs w:val="21"/>
                      <w:lang w:eastAsia="zh-CN"/>
                    </w:rPr>
                  </w:pPr>
                  <w:r>
                    <w:rPr>
                      <w:rFonts w:hint="default" w:ascii="Times New Roman" w:hAnsi="Times New Roman" w:eastAsia="宋体" w:cs="Times New Roman"/>
                      <w:b/>
                      <w:bCs/>
                      <w:color w:val="auto"/>
                      <w:sz w:val="21"/>
                      <w:szCs w:val="21"/>
                    </w:rPr>
                    <w:t>最大贮存量</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t</w:t>
                  </w:r>
                  <w:r>
                    <w:rPr>
                      <w:rFonts w:hint="eastAsia" w:cs="Times New Roman"/>
                      <w:b/>
                      <w:bCs/>
                      <w:color w:val="auto"/>
                      <w:sz w:val="21"/>
                      <w:szCs w:val="21"/>
                      <w:lang w:eastAsia="zh-CN"/>
                    </w:rPr>
                    <w:t>）</w:t>
                  </w:r>
                </w:p>
              </w:tc>
            </w:tr>
            <w:tr w14:paraId="52383F5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77D5F1BF">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64007DC4">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环烷油</w:t>
                  </w:r>
                </w:p>
              </w:tc>
              <w:tc>
                <w:tcPr>
                  <w:tcW w:w="969" w:type="pct"/>
                  <w:vMerge w:val="restart"/>
                  <w:noWrap/>
                  <w:vAlign w:val="center"/>
                </w:tcPr>
                <w:p w14:paraId="53123BFA">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r>
                    <w:rPr>
                      <w:rFonts w:hint="default" w:ascii="Times New Roman" w:hAnsi="Times New Roman" w:eastAsia="宋体" w:cs="Times New Roman"/>
                      <w:color w:val="auto"/>
                      <w:kern w:val="2"/>
                      <w:sz w:val="21"/>
                      <w:szCs w:val="21"/>
                      <w:lang w:val="zh-CN" w:eastAsia="zh-CN" w:bidi="zh-CN"/>
                    </w:rPr>
                    <w:t>生产车间</w:t>
                  </w:r>
                </w:p>
              </w:tc>
              <w:tc>
                <w:tcPr>
                  <w:tcW w:w="965" w:type="pct"/>
                  <w:noWrap/>
                  <w:vAlign w:val="center"/>
                </w:tcPr>
                <w:p w14:paraId="07021FB3">
                  <w:pPr>
                    <w:keepNext w:val="0"/>
                    <w:keepLines w:val="0"/>
                    <w:pageBreakBefore w:val="0"/>
                    <w:widowControl w:val="0"/>
                    <w:tabs>
                      <w:tab w:val="center" w:pos="4153"/>
                      <w:tab w:val="right" w:pos="8306"/>
                    </w:tabs>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桶装</w:t>
                  </w:r>
                </w:p>
              </w:tc>
              <w:tc>
                <w:tcPr>
                  <w:tcW w:w="987" w:type="pct"/>
                  <w:shd w:val="clear" w:color="auto" w:fill="auto"/>
                  <w:noWrap/>
                  <w:vAlign w:val="center"/>
                </w:tcPr>
                <w:p w14:paraId="4A958243">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w:t>
                  </w:r>
                </w:p>
              </w:tc>
            </w:tr>
            <w:tr w14:paraId="05FFBB8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5403B705">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26BEB235">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硫磺粉</w:t>
                  </w:r>
                </w:p>
              </w:tc>
              <w:tc>
                <w:tcPr>
                  <w:tcW w:w="969" w:type="pct"/>
                  <w:vMerge w:val="continue"/>
                  <w:noWrap/>
                  <w:vAlign w:val="center"/>
                </w:tcPr>
                <w:p w14:paraId="60A88D52">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19DD0C11">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袋装</w:t>
                  </w:r>
                </w:p>
              </w:tc>
              <w:tc>
                <w:tcPr>
                  <w:tcW w:w="987" w:type="pct"/>
                  <w:shd w:val="clear" w:color="auto" w:fill="auto"/>
                  <w:noWrap/>
                  <w:vAlign w:val="center"/>
                </w:tcPr>
                <w:p w14:paraId="7E836D07">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0.5</w:t>
                  </w:r>
                </w:p>
              </w:tc>
            </w:tr>
            <w:tr w14:paraId="64BDA61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512616A">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7DEF4482">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美沙克灵</w:t>
                  </w:r>
                </w:p>
              </w:tc>
              <w:tc>
                <w:tcPr>
                  <w:tcW w:w="969" w:type="pct"/>
                  <w:vMerge w:val="continue"/>
                  <w:noWrap/>
                  <w:vAlign w:val="center"/>
                </w:tcPr>
                <w:p w14:paraId="607F4866">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116FE129">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2"/>
                      <w:sz w:val="21"/>
                      <w:szCs w:val="21"/>
                      <w:lang w:val="en-US" w:eastAsia="zh-CN" w:bidi="ar-SA"/>
                    </w:rPr>
                    <w:t>桶装</w:t>
                  </w:r>
                </w:p>
              </w:tc>
              <w:tc>
                <w:tcPr>
                  <w:tcW w:w="987" w:type="pct"/>
                  <w:shd w:val="clear" w:color="auto" w:fill="auto"/>
                  <w:noWrap/>
                  <w:vAlign w:val="center"/>
                </w:tcPr>
                <w:p w14:paraId="0B66668B">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r>
            <w:tr w14:paraId="40D14AC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F7FBC9A">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5B6B6E09">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涂料</w:t>
                  </w:r>
                </w:p>
              </w:tc>
              <w:tc>
                <w:tcPr>
                  <w:tcW w:w="969" w:type="pct"/>
                  <w:vMerge w:val="continue"/>
                  <w:noWrap/>
                  <w:vAlign w:val="center"/>
                </w:tcPr>
                <w:p w14:paraId="66F183A6">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59F09843">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31848D7B">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w:t>
                  </w:r>
                </w:p>
              </w:tc>
            </w:tr>
            <w:tr w14:paraId="52BBED7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9A76CBA">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7ECE9C37">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乙醇</w:t>
                  </w:r>
                </w:p>
              </w:tc>
              <w:tc>
                <w:tcPr>
                  <w:tcW w:w="969" w:type="pct"/>
                  <w:vMerge w:val="continue"/>
                  <w:noWrap/>
                  <w:vAlign w:val="center"/>
                </w:tcPr>
                <w:p w14:paraId="48200054">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3575ED8F">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18A9D395">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0.25</w:t>
                  </w:r>
                </w:p>
              </w:tc>
            </w:tr>
            <w:tr w14:paraId="3608981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1E8D0F72">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5489C1D5">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甲苯</w:t>
                  </w:r>
                </w:p>
              </w:tc>
              <w:tc>
                <w:tcPr>
                  <w:tcW w:w="969" w:type="pct"/>
                  <w:vMerge w:val="continue"/>
                  <w:noWrap/>
                  <w:vAlign w:val="center"/>
                </w:tcPr>
                <w:p w14:paraId="671BF938">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40C1CB4E">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2EB7CC4E">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w:t>
                  </w:r>
                </w:p>
              </w:tc>
            </w:tr>
            <w:tr w14:paraId="05F35A0A">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16A37F88">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45DFA4F2">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二甲苯</w:t>
                  </w:r>
                </w:p>
              </w:tc>
              <w:tc>
                <w:tcPr>
                  <w:tcW w:w="969" w:type="pct"/>
                  <w:vMerge w:val="continue"/>
                  <w:noWrap/>
                  <w:vAlign w:val="center"/>
                </w:tcPr>
                <w:p w14:paraId="16C0753B">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2C1797FE">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365C85E4">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0.25</w:t>
                  </w:r>
                </w:p>
              </w:tc>
            </w:tr>
            <w:tr w14:paraId="6C6B053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1C0DAC3D">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26F5D38C">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醋酸乙酯</w:t>
                  </w:r>
                </w:p>
              </w:tc>
              <w:tc>
                <w:tcPr>
                  <w:tcW w:w="969" w:type="pct"/>
                  <w:vMerge w:val="continue"/>
                  <w:noWrap/>
                  <w:vAlign w:val="center"/>
                </w:tcPr>
                <w:p w14:paraId="37FD31D6">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30A5D34C">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02B47F2D">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w:t>
                  </w:r>
                </w:p>
              </w:tc>
            </w:tr>
            <w:tr w14:paraId="1CE84D6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4E346CD8">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64C5F05F">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导热油</w:t>
                  </w:r>
                </w:p>
              </w:tc>
              <w:tc>
                <w:tcPr>
                  <w:tcW w:w="969" w:type="pct"/>
                  <w:vMerge w:val="continue"/>
                  <w:noWrap/>
                  <w:vAlign w:val="center"/>
                </w:tcPr>
                <w:p w14:paraId="1A214D30">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5B03A1EF">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桶装</w:t>
                  </w:r>
                </w:p>
              </w:tc>
              <w:tc>
                <w:tcPr>
                  <w:tcW w:w="987" w:type="pct"/>
                  <w:shd w:val="clear" w:color="auto" w:fill="auto"/>
                  <w:noWrap/>
                  <w:vAlign w:val="center"/>
                </w:tcPr>
                <w:p w14:paraId="74C94E38">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0.34</w:t>
                  </w:r>
                </w:p>
              </w:tc>
            </w:tr>
            <w:tr w14:paraId="7E927BD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39E4CF4">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6586D909">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cs="Times New Roman"/>
                      <w:b w:val="0"/>
                      <w:bCs w:val="0"/>
                      <w:color w:val="auto"/>
                      <w:w w:val="100"/>
                      <w:sz w:val="21"/>
                      <w:szCs w:val="21"/>
                      <w:highlight w:val="none"/>
                      <w:lang w:val="en-US" w:eastAsia="zh-CN"/>
                    </w:rPr>
                  </w:pPr>
                  <w:r>
                    <w:rPr>
                      <w:rFonts w:hint="eastAsia" w:cs="Times New Roman"/>
                      <w:b w:val="0"/>
                      <w:bCs w:val="0"/>
                      <w:color w:val="auto"/>
                      <w:w w:val="100"/>
                      <w:sz w:val="21"/>
                      <w:szCs w:val="21"/>
                      <w:highlight w:val="none"/>
                      <w:lang w:val="en-US" w:eastAsia="zh-CN"/>
                    </w:rPr>
                    <w:t>废胶水</w:t>
                  </w:r>
                </w:p>
              </w:tc>
              <w:tc>
                <w:tcPr>
                  <w:tcW w:w="969" w:type="pct"/>
                  <w:vMerge w:val="restart"/>
                  <w:noWrap/>
                  <w:vAlign w:val="center"/>
                </w:tcPr>
                <w:p w14:paraId="4EDE7BC4">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r>
                    <w:rPr>
                      <w:rFonts w:hint="default" w:ascii="Times New Roman" w:hAnsi="Times New Roman" w:eastAsia="宋体" w:cs="Times New Roman"/>
                      <w:color w:val="auto"/>
                      <w:kern w:val="2"/>
                      <w:sz w:val="21"/>
                      <w:szCs w:val="21"/>
                      <w:lang w:val="zh-CN" w:eastAsia="zh-CN" w:bidi="zh-CN"/>
                    </w:rPr>
                    <w:t>危废暂存库</w:t>
                  </w:r>
                </w:p>
              </w:tc>
              <w:tc>
                <w:tcPr>
                  <w:tcW w:w="965" w:type="pct"/>
                  <w:noWrap/>
                  <w:vAlign w:val="center"/>
                </w:tcPr>
                <w:p w14:paraId="231D129E">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34556287">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0.25</w:t>
                  </w:r>
                </w:p>
              </w:tc>
            </w:tr>
            <w:tr w14:paraId="66197DE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259A35E">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2B3D2E8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w w:val="100"/>
                      <w:sz w:val="21"/>
                      <w:szCs w:val="21"/>
                      <w:lang w:val="en-US" w:eastAsia="zh-CN"/>
                    </w:rPr>
                  </w:pPr>
                  <w:r>
                    <w:rPr>
                      <w:rFonts w:hint="eastAsia" w:cs="Times New Roman"/>
                      <w:b w:val="0"/>
                      <w:bCs w:val="0"/>
                      <w:color w:val="auto"/>
                      <w:w w:val="100"/>
                      <w:sz w:val="21"/>
                      <w:szCs w:val="21"/>
                      <w:highlight w:val="none"/>
                      <w:lang w:val="en-US" w:eastAsia="zh-CN"/>
                    </w:rPr>
                    <w:t>废清洗液</w:t>
                  </w:r>
                </w:p>
              </w:tc>
              <w:tc>
                <w:tcPr>
                  <w:tcW w:w="969" w:type="pct"/>
                  <w:vMerge w:val="continue"/>
                  <w:noWrap/>
                  <w:vAlign w:val="center"/>
                </w:tcPr>
                <w:p w14:paraId="38DF16D3">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53752FEA">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4CCD5DED">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1.0</w:t>
                  </w:r>
                </w:p>
              </w:tc>
            </w:tr>
            <w:tr w14:paraId="3E5806B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4E08FCDF">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2F6968AA">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lang w:val="en-US" w:eastAsia="zh-CN"/>
                    </w:rPr>
                    <w:t>废涂液</w:t>
                  </w:r>
                </w:p>
              </w:tc>
              <w:tc>
                <w:tcPr>
                  <w:tcW w:w="969" w:type="pct"/>
                  <w:vMerge w:val="continue"/>
                  <w:noWrap/>
                  <w:vAlign w:val="center"/>
                </w:tcPr>
                <w:p w14:paraId="44341AA8">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3C3C8F4C">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17FDD7BB">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2.5</w:t>
                  </w:r>
                </w:p>
              </w:tc>
            </w:tr>
            <w:tr w14:paraId="1E995CD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225213CB">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1DF460C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废渣</w:t>
                  </w:r>
                </w:p>
              </w:tc>
              <w:tc>
                <w:tcPr>
                  <w:tcW w:w="969" w:type="pct"/>
                  <w:vMerge w:val="continue"/>
                  <w:noWrap/>
                  <w:vAlign w:val="center"/>
                </w:tcPr>
                <w:p w14:paraId="7CD189CD">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7D00F191">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7BC42213">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5</w:t>
                  </w:r>
                </w:p>
              </w:tc>
            </w:tr>
            <w:tr w14:paraId="68CA29F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77F26792">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1C236153">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废活性炭</w:t>
                  </w:r>
                </w:p>
              </w:tc>
              <w:tc>
                <w:tcPr>
                  <w:tcW w:w="969" w:type="pct"/>
                  <w:vMerge w:val="continue"/>
                  <w:noWrap/>
                  <w:vAlign w:val="center"/>
                </w:tcPr>
                <w:p w14:paraId="3849888A">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55E2F575">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密封，袋装</w:t>
                  </w:r>
                </w:p>
              </w:tc>
              <w:tc>
                <w:tcPr>
                  <w:tcW w:w="987" w:type="pct"/>
                  <w:shd w:val="clear" w:color="auto" w:fill="auto"/>
                  <w:noWrap/>
                  <w:vAlign w:val="center"/>
                </w:tcPr>
                <w:p w14:paraId="6E73551E">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15</w:t>
                  </w:r>
                </w:p>
              </w:tc>
            </w:tr>
            <w:tr w14:paraId="7CC184F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7BD1D703">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14139C04">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水喷淋废水</w:t>
                  </w:r>
                </w:p>
              </w:tc>
              <w:tc>
                <w:tcPr>
                  <w:tcW w:w="969" w:type="pct"/>
                  <w:vMerge w:val="continue"/>
                  <w:noWrap/>
                  <w:vAlign w:val="center"/>
                </w:tcPr>
                <w:p w14:paraId="17F085D5">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756565C0">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7F31B1E6">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w:t>
                  </w:r>
                </w:p>
              </w:tc>
            </w:tr>
            <w:tr w14:paraId="327C467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4FEA8683">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7C83B409">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废机油</w:t>
                  </w:r>
                </w:p>
              </w:tc>
              <w:tc>
                <w:tcPr>
                  <w:tcW w:w="969" w:type="pct"/>
                  <w:vMerge w:val="continue"/>
                  <w:noWrap/>
                  <w:vAlign w:val="center"/>
                </w:tcPr>
                <w:p w14:paraId="166DA0B2">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6BD05BBE">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2DE68012">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0.125</w:t>
                  </w:r>
                </w:p>
              </w:tc>
            </w:tr>
            <w:tr w14:paraId="04EBB1A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22BA3C5D">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2359C0B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废油桶</w:t>
                  </w:r>
                </w:p>
              </w:tc>
              <w:tc>
                <w:tcPr>
                  <w:tcW w:w="969" w:type="pct"/>
                  <w:vMerge w:val="continue"/>
                  <w:noWrap/>
                  <w:vAlign w:val="center"/>
                </w:tcPr>
                <w:p w14:paraId="36B58FC5">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18985384">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w:t>
                  </w:r>
                </w:p>
              </w:tc>
              <w:tc>
                <w:tcPr>
                  <w:tcW w:w="987" w:type="pct"/>
                  <w:shd w:val="clear" w:color="auto" w:fill="auto"/>
                  <w:noWrap/>
                  <w:vAlign w:val="center"/>
                </w:tcPr>
                <w:p w14:paraId="25F22204">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0.125</w:t>
                  </w:r>
                </w:p>
              </w:tc>
            </w:tr>
            <w:tr w14:paraId="65032E1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2B68134B">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6A56684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废桶</w:t>
                  </w:r>
                </w:p>
              </w:tc>
              <w:tc>
                <w:tcPr>
                  <w:tcW w:w="969" w:type="pct"/>
                  <w:vMerge w:val="continue"/>
                  <w:noWrap/>
                  <w:vAlign w:val="center"/>
                </w:tcPr>
                <w:p w14:paraId="15FFCD76">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1DDB0BFA">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w:t>
                  </w:r>
                </w:p>
              </w:tc>
              <w:tc>
                <w:tcPr>
                  <w:tcW w:w="987" w:type="pct"/>
                  <w:shd w:val="clear" w:color="auto" w:fill="auto"/>
                  <w:noWrap/>
                  <w:vAlign w:val="center"/>
                </w:tcPr>
                <w:p w14:paraId="5ACE1902">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0.875</w:t>
                  </w:r>
                </w:p>
              </w:tc>
            </w:tr>
            <w:tr w14:paraId="3616912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vMerge w:val="continue"/>
                  <w:noWrap/>
                  <w:vAlign w:val="center"/>
                </w:tcPr>
                <w:p w14:paraId="31FEF300">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sz w:val="21"/>
                      <w:szCs w:val="21"/>
                    </w:rPr>
                  </w:pPr>
                </w:p>
              </w:tc>
              <w:tc>
                <w:tcPr>
                  <w:tcW w:w="1401" w:type="pct"/>
                  <w:shd w:val="clear" w:color="auto" w:fill="auto"/>
                  <w:noWrap/>
                  <w:vAlign w:val="center"/>
                </w:tcPr>
                <w:p w14:paraId="373B012E">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废导热油</w:t>
                  </w:r>
                </w:p>
              </w:tc>
              <w:tc>
                <w:tcPr>
                  <w:tcW w:w="969" w:type="pct"/>
                  <w:vMerge w:val="continue"/>
                  <w:noWrap/>
                  <w:vAlign w:val="center"/>
                </w:tcPr>
                <w:p w14:paraId="1FE99AEC">
                  <w:pPr>
                    <w:keepNext w:val="0"/>
                    <w:keepLines w:val="0"/>
                    <w:pageBreakBefore w:val="0"/>
                    <w:widowControl w:val="0"/>
                    <w:kinsoku/>
                    <w:wordWrap/>
                    <w:overflowPunct/>
                    <w:topLinePunct w:val="0"/>
                    <w:bidi w:val="0"/>
                    <w:spacing w:line="360" w:lineRule="atLeast"/>
                    <w:jc w:val="center"/>
                    <w:textAlignment w:val="auto"/>
                    <w:rPr>
                      <w:rFonts w:hint="default" w:ascii="Times New Roman" w:hAnsi="Times New Roman" w:eastAsia="宋体" w:cs="Times New Roman"/>
                      <w:color w:val="auto"/>
                      <w:kern w:val="2"/>
                      <w:sz w:val="21"/>
                      <w:szCs w:val="21"/>
                      <w:lang w:val="zh-CN" w:eastAsia="zh-CN" w:bidi="zh-CN"/>
                    </w:rPr>
                  </w:pPr>
                </w:p>
              </w:tc>
              <w:tc>
                <w:tcPr>
                  <w:tcW w:w="965" w:type="pct"/>
                  <w:noWrap/>
                  <w:vAlign w:val="center"/>
                </w:tcPr>
                <w:p w14:paraId="0966A17A">
                  <w:pPr>
                    <w:keepNext w:val="0"/>
                    <w:keepLines w:val="0"/>
                    <w:pageBreakBefore w:val="0"/>
                    <w:widowControl w:val="0"/>
                    <w:kinsoku/>
                    <w:wordWrap/>
                    <w:overflowPunct/>
                    <w:topLinePunct w:val="0"/>
                    <w:autoSpaceDE w:val="0"/>
                    <w:autoSpaceDN w:val="0"/>
                    <w:bidi w:val="0"/>
                    <w:adjustRightInd w:val="0"/>
                    <w:spacing w:line="360" w:lineRule="atLeast"/>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bidi="ar-SA"/>
                    </w:rPr>
                    <w:t>密封，桶装</w:t>
                  </w:r>
                </w:p>
              </w:tc>
              <w:tc>
                <w:tcPr>
                  <w:tcW w:w="987" w:type="pct"/>
                  <w:shd w:val="clear" w:color="auto" w:fill="auto"/>
                  <w:noWrap/>
                  <w:vAlign w:val="center"/>
                </w:tcPr>
                <w:p w14:paraId="69B5E88A">
                  <w:pPr>
                    <w:keepNext w:val="0"/>
                    <w:keepLines w:val="0"/>
                    <w:pageBreakBefore w:val="0"/>
                    <w:widowControl w:val="0"/>
                    <w:kinsoku/>
                    <w:wordWrap/>
                    <w:overflowPunct/>
                    <w:topLinePunct w:val="0"/>
                    <w:bidi w:val="0"/>
                    <w:snapToGrid/>
                    <w:spacing w:line="360" w:lineRule="atLeast"/>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0.</w:t>
                  </w:r>
                  <w:r>
                    <w:rPr>
                      <w:rFonts w:hint="eastAsia" w:ascii="Times New Roman" w:hAnsi="Times New Roman" w:eastAsia="宋体" w:cs="Times New Roman"/>
                      <w:color w:val="auto"/>
                      <w:sz w:val="21"/>
                      <w:szCs w:val="21"/>
                      <w:lang w:val="en-US" w:eastAsia="zh-CN"/>
                    </w:rPr>
                    <w:t>17</w:t>
                  </w:r>
                </w:p>
              </w:tc>
            </w:tr>
            <w:tr w14:paraId="340F708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noWrap/>
                  <w:vAlign w:val="center"/>
                </w:tcPr>
                <w:p w14:paraId="6EE1A3CA">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环境影响途径及危害后果（大气、地表水地下水等）</w:t>
                  </w:r>
                </w:p>
              </w:tc>
              <w:tc>
                <w:tcPr>
                  <w:tcW w:w="4324" w:type="pct"/>
                  <w:gridSpan w:val="4"/>
                  <w:noWrap/>
                  <w:vAlign w:val="center"/>
                </w:tcPr>
                <w:p w14:paraId="1778CCE3">
                  <w:pPr>
                    <w:keepNext w:val="0"/>
                    <w:keepLines w:val="0"/>
                    <w:pageBreakBefore w:val="0"/>
                    <w:widowControl w:val="0"/>
                    <w:kinsoku/>
                    <w:wordWrap/>
                    <w:overflowPunct/>
                    <w:topLinePunct w:val="0"/>
                    <w:autoSpaceDE w:val="0"/>
                    <w:autoSpaceDN w:val="0"/>
                    <w:bidi w:val="0"/>
                    <w:adjustRightInd w:val="0"/>
                    <w:snapToGrid w:val="0"/>
                    <w:spacing w:line="360" w:lineRule="atLeas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项目存在的潜在环境风险主要来自</w:t>
                  </w:r>
                  <w:r>
                    <w:rPr>
                      <w:rFonts w:hint="default" w:ascii="Times New Roman" w:hAnsi="Times New Roman" w:eastAsia="宋体" w:cs="Times New Roman"/>
                      <w:color w:val="auto"/>
                      <w:sz w:val="21"/>
                      <w:szCs w:val="21"/>
                      <w:lang w:val="en-US" w:eastAsia="zh-CN"/>
                    </w:rPr>
                    <w:t>原料环烷油、涂料、乙醇、</w:t>
                  </w:r>
                  <w:r>
                    <w:rPr>
                      <w:rFonts w:hint="eastAsia" w:cs="Times New Roman"/>
                      <w:color w:val="auto"/>
                      <w:sz w:val="21"/>
                      <w:szCs w:val="21"/>
                      <w:lang w:val="en-US" w:eastAsia="zh-CN"/>
                    </w:rPr>
                    <w:t>甲苯、</w:t>
                  </w:r>
                  <w:r>
                    <w:rPr>
                      <w:rFonts w:hint="default" w:ascii="Times New Roman" w:hAnsi="Times New Roman" w:eastAsia="宋体" w:cs="Times New Roman"/>
                      <w:color w:val="auto"/>
                      <w:sz w:val="21"/>
                      <w:szCs w:val="21"/>
                      <w:lang w:val="en-US" w:eastAsia="zh-CN"/>
                    </w:rPr>
                    <w:t>二甲苯、</w:t>
                  </w:r>
                  <w:r>
                    <w:rPr>
                      <w:rFonts w:hint="eastAsia" w:cs="Times New Roman"/>
                      <w:color w:val="auto"/>
                      <w:sz w:val="21"/>
                      <w:szCs w:val="21"/>
                      <w:lang w:val="en-US" w:eastAsia="zh-CN"/>
                    </w:rPr>
                    <w:t>美沙克灵、</w:t>
                  </w:r>
                  <w:r>
                    <w:rPr>
                      <w:rFonts w:hint="default" w:ascii="Times New Roman" w:hAnsi="Times New Roman" w:eastAsia="宋体" w:cs="Times New Roman"/>
                      <w:color w:val="auto"/>
                      <w:sz w:val="21"/>
                      <w:szCs w:val="21"/>
                      <w:lang w:val="en-US" w:eastAsia="zh-CN"/>
                    </w:rPr>
                    <w:t>醋酸乙酯、导热油等的泄漏，污染周围土壤及水环境；原料橡胶、环烷油、硫磺粉、硬脂酸、导电剂、涂料、乙醇、</w:t>
                  </w:r>
                  <w:r>
                    <w:rPr>
                      <w:rFonts w:hint="eastAsia" w:cs="Times New Roman"/>
                      <w:color w:val="auto"/>
                      <w:sz w:val="21"/>
                      <w:szCs w:val="21"/>
                      <w:lang w:val="en-US" w:eastAsia="zh-CN"/>
                    </w:rPr>
                    <w:t>甲苯、</w:t>
                  </w:r>
                  <w:r>
                    <w:rPr>
                      <w:rFonts w:hint="default" w:ascii="Times New Roman" w:hAnsi="Times New Roman" w:eastAsia="宋体" w:cs="Times New Roman"/>
                      <w:color w:val="auto"/>
                      <w:sz w:val="21"/>
                      <w:szCs w:val="21"/>
                      <w:lang w:val="en-US" w:eastAsia="zh-CN"/>
                    </w:rPr>
                    <w:t>二甲苯、醋酸乙酯、导热油等遇明火发生火灾，污染周边大气环境；危废间内危险废物泄漏，造成周边污染；明火管理不当、电器设备及线路老化等引起的火灾事故，火灾一旦发生，对周围环境影响严重。</w:t>
                  </w:r>
                </w:p>
              </w:tc>
            </w:tr>
            <w:tr w14:paraId="5FA107A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454" w:hRule="atLeast"/>
                <w:jc w:val="center"/>
              </w:trPr>
              <w:tc>
                <w:tcPr>
                  <w:tcW w:w="675" w:type="pct"/>
                  <w:noWrap/>
                  <w:vAlign w:val="center"/>
                </w:tcPr>
                <w:p w14:paraId="6FC4BA2E">
                  <w:pPr>
                    <w:keepNext w:val="0"/>
                    <w:keepLines w:val="0"/>
                    <w:pageBreakBefore w:val="0"/>
                    <w:widowControl w:val="0"/>
                    <w:kinsoku/>
                    <w:wordWrap/>
                    <w:overflowPunct/>
                    <w:topLinePunct w:val="0"/>
                    <w:autoSpaceDE w:val="0"/>
                    <w:autoSpaceDN w:val="0"/>
                    <w:bidi w:val="0"/>
                    <w:spacing w:line="360" w:lineRule="atLeast"/>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风险防范措施要求</w:t>
                  </w:r>
                </w:p>
              </w:tc>
              <w:tc>
                <w:tcPr>
                  <w:tcW w:w="4324" w:type="pct"/>
                  <w:gridSpan w:val="4"/>
                  <w:noWrap/>
                  <w:vAlign w:val="center"/>
                </w:tcPr>
                <w:p w14:paraId="0129D446">
                  <w:pPr>
                    <w:keepNext w:val="0"/>
                    <w:keepLines w:val="0"/>
                    <w:pageBreakBefore w:val="0"/>
                    <w:widowControl w:val="0"/>
                    <w:tabs>
                      <w:tab w:val="left" w:pos="637"/>
                    </w:tabs>
                    <w:kinsoku/>
                    <w:wordWrap/>
                    <w:overflowPunct/>
                    <w:topLinePunct w:val="0"/>
                    <w:bidi w:val="0"/>
                    <w:spacing w:line="360" w:lineRule="atLeast"/>
                    <w:jc w:val="left"/>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⑴成立专门的责任机构，保证事故发生时组织相关力量及时控制事故的危害，在第一时间，有序有效地控制事故污染，把事故危害减小到最少。</w:t>
                  </w:r>
                </w:p>
                <w:p w14:paraId="61634A54">
                  <w:pPr>
                    <w:keepNext w:val="0"/>
                    <w:keepLines w:val="0"/>
                    <w:pageBreakBefore w:val="0"/>
                    <w:widowControl w:val="0"/>
                    <w:tabs>
                      <w:tab w:val="left" w:pos="637"/>
                    </w:tabs>
                    <w:kinsoku/>
                    <w:wordWrap/>
                    <w:overflowPunct/>
                    <w:topLinePunct w:val="0"/>
                    <w:bidi w:val="0"/>
                    <w:spacing w:line="360" w:lineRule="atLeast"/>
                    <w:jc w:val="left"/>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⑵健全各项制度，强化安全管理意识，加强用电设备及线路的检修和管理。</w:t>
                  </w:r>
                </w:p>
                <w:p w14:paraId="17EFBF14">
                  <w:pPr>
                    <w:keepNext w:val="0"/>
                    <w:keepLines w:val="0"/>
                    <w:pageBreakBefore w:val="0"/>
                    <w:widowControl w:val="0"/>
                    <w:kinsoku/>
                    <w:wordWrap/>
                    <w:overflowPunct/>
                    <w:topLinePunct w:val="0"/>
                    <w:autoSpaceDE w:val="0"/>
                    <w:autoSpaceDN w:val="0"/>
                    <w:bidi w:val="0"/>
                    <w:adjustRightInd w:val="0"/>
                    <w:snapToGrid w:val="0"/>
                    <w:spacing w:line="360" w:lineRule="atLeast"/>
                    <w:jc w:val="lef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⑶严格按照消防安全部门要求，配置消防设施。</w:t>
                  </w:r>
                </w:p>
              </w:tc>
            </w:tr>
          </w:tbl>
          <w:p w14:paraId="51052EED">
            <w:pPr>
              <w:keepNext w:val="0"/>
              <w:keepLines w:val="0"/>
              <w:pageBreakBefore w:val="0"/>
              <w:widowControl w:val="0"/>
              <w:kinsoku/>
              <w:wordWrap/>
              <w:overflowPunct/>
              <w:topLinePunct w:val="0"/>
              <w:bidi w:val="0"/>
              <w:adjustRightInd w:val="0"/>
              <w:snapToGrid w:val="0"/>
              <w:spacing w:after="0" w:afterLines="0" w:line="500" w:lineRule="exact"/>
              <w:ind w:left="0" w:leftChars="0" w:firstLine="440" w:firstLineChars="200"/>
              <w:jc w:val="both"/>
              <w:textAlignment w:val="auto"/>
              <w:rPr>
                <w:rFonts w:hint="default" w:ascii="Times New Roman" w:hAnsi="Times New Roman" w:eastAsia="宋体" w:cs="Times New Roman"/>
                <w:color w:val="auto"/>
                <w:w w:val="100"/>
                <w:kern w:val="2"/>
                <w:sz w:val="22"/>
                <w:szCs w:val="22"/>
                <w:lang w:val="en-US" w:eastAsia="zh-CN" w:bidi="ar-SA"/>
              </w:rPr>
            </w:pPr>
          </w:p>
        </w:tc>
      </w:tr>
    </w:tbl>
    <w:p w14:paraId="4075205E">
      <w:pPr>
        <w:pStyle w:val="6"/>
        <w:rPr>
          <w:rFonts w:hint="eastAsia"/>
          <w:color w:val="auto"/>
        </w:rPr>
        <w:sectPr>
          <w:pgSz w:w="11907" w:h="16840"/>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p w14:paraId="133F2B41">
      <w:pPr>
        <w:keepNext w:val="0"/>
        <w:keepLines w:val="0"/>
        <w:pageBreakBefore/>
        <w:widowControl w:val="0"/>
        <w:kinsoku/>
        <w:wordWrap/>
        <w:overflowPunct/>
        <w:topLinePunct w:val="0"/>
        <w:autoSpaceDE/>
        <w:autoSpaceDN/>
        <w:bidi w:val="0"/>
        <w:adjustRightInd w:val="0"/>
        <w:snapToGrid w:val="0"/>
        <w:spacing w:before="0" w:beforeAutospacing="0" w:after="0" w:afterAutospacing="0" w:line="500" w:lineRule="exact"/>
        <w:jc w:val="center"/>
        <w:textAlignment w:val="auto"/>
        <w:outlineLvl w:val="0"/>
        <w:rPr>
          <w:rFonts w:hint="default" w:ascii="Times New Roman" w:hAnsi="Times New Roman" w:eastAsia="宋体" w:cs="Times New Roman"/>
          <w:b/>
          <w:bCs/>
          <w:snapToGrid w:val="0"/>
          <w:color w:val="auto"/>
          <w:kern w:val="0"/>
          <w:sz w:val="28"/>
          <w:szCs w:val="28"/>
          <w:lang w:val="en-US" w:eastAsia="zh-CN" w:bidi="ar-SA"/>
        </w:rPr>
      </w:pPr>
      <w:bookmarkStart w:id="46" w:name="_Toc8658"/>
      <w:bookmarkStart w:id="47" w:name="_Toc5104"/>
      <w:r>
        <w:rPr>
          <w:rFonts w:hint="default" w:ascii="Times New Roman" w:hAnsi="Times New Roman" w:eastAsia="宋体" w:cs="Times New Roman"/>
          <w:b/>
          <w:bCs/>
          <w:snapToGrid w:val="0"/>
          <w:color w:val="auto"/>
          <w:kern w:val="0"/>
          <w:sz w:val="28"/>
          <w:szCs w:val="28"/>
          <w:lang w:val="en-US" w:eastAsia="zh-CN" w:bidi="ar-SA"/>
        </w:rPr>
        <w:t>五、环境保护措施监督检查清单</w:t>
      </w:r>
      <w:bookmarkEnd w:id="46"/>
      <w:bookmarkEnd w:id="47"/>
    </w:p>
    <w:tbl>
      <w:tblPr>
        <w:tblStyle w:val="43"/>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57" w:type="dxa"/>
          <w:bottom w:w="0" w:type="dxa"/>
          <w:right w:w="57" w:type="dxa"/>
        </w:tblCellMar>
      </w:tblPr>
      <w:tblGrid>
        <w:gridCol w:w="1255"/>
        <w:gridCol w:w="627"/>
        <w:gridCol w:w="878"/>
        <w:gridCol w:w="1787"/>
        <w:gridCol w:w="2651"/>
        <w:gridCol w:w="2533"/>
      </w:tblGrid>
      <w:tr w14:paraId="787DB29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848" w:hRule="atLeast"/>
          <w:jc w:val="center"/>
        </w:trPr>
        <w:tc>
          <w:tcPr>
            <w:tcW w:w="645" w:type="pct"/>
            <w:tcBorders>
              <w:tl2br w:val="nil"/>
              <w:tr2bl w:val="nil"/>
            </w:tcBorders>
          </w:tcPr>
          <w:p w14:paraId="686B1739">
            <w:pPr>
              <w:keepNext w:val="0"/>
              <w:keepLines w:val="0"/>
              <w:pageBreakBefore w:val="0"/>
              <w:kinsoku/>
              <w:overflowPunct/>
              <w:topLinePunct w:val="0"/>
              <w:bidi w:val="0"/>
              <w:adjustRightInd w:val="0"/>
              <w:snapToGrid w:val="0"/>
              <w:spacing w:line="360" w:lineRule="atLeast"/>
              <w:ind w:left="0" w:right="0" w:firstLine="630" w:firstLineChars="300"/>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sz w:val="21"/>
                <w:szCs w:val="21"/>
              </w:rPr>
              <mc:AlternateContent>
                <mc:Choice Requires="wps">
                  <w:drawing>
                    <wp:anchor distT="0" distB="0" distL="114300" distR="114300" simplePos="0" relativeHeight="251667456" behindDoc="0" locked="0" layoutInCell="1" allowOverlap="1">
                      <wp:simplePos x="0" y="0"/>
                      <wp:positionH relativeFrom="column">
                        <wp:posOffset>-49530</wp:posOffset>
                      </wp:positionH>
                      <wp:positionV relativeFrom="paragraph">
                        <wp:posOffset>-17780</wp:posOffset>
                      </wp:positionV>
                      <wp:extent cx="817880" cy="559435"/>
                      <wp:effectExtent l="2540" t="3810" r="17780" b="8255"/>
                      <wp:wrapNone/>
                      <wp:docPr id="22" name="直接连接符 22"/>
                      <wp:cNvGraphicFramePr/>
                      <a:graphic xmlns:a="http://schemas.openxmlformats.org/drawingml/2006/main">
                        <a:graphicData uri="http://schemas.microsoft.com/office/word/2010/wordprocessingShape">
                          <wps:wsp>
                            <wps:cNvCnPr/>
                            <wps:spPr>
                              <a:xfrm>
                                <a:off x="828040" y="1234440"/>
                                <a:ext cx="817880" cy="559435"/>
                              </a:xfrm>
                              <a:prstGeom prst="line">
                                <a:avLst/>
                              </a:prstGeom>
                              <a:noFill/>
                              <a:ln w="3175"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3.9pt;margin-top:-1.4pt;height:44.05pt;width:64.4pt;z-index:251667456;mso-width-relative:page;mso-height-relative:page;" filled="f" stroked="t" coordsize="21600,21600" o:gfxdata="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zqasENQAAAAIAQAADwAAAAAAAAABACAAAAAiAAAAZHJzL2Rvd25yZXYueG1sUEsBAhQA&#10;FAAAAAgAh07iQBwOfvf2AQAA0AMAAA4AAAAAAAAAAQAgAAAAIwEAAGRycy9lMm9Eb2MueG1sUEsF&#10;BgAAAAAGAAYAWQEAAIsFAAAAAA==&#10;">
                      <v:fill on="f" focussize="0,0"/>
                      <v:stroke weight="0.25pt" color="#000000" miterlimit="8" joinstyle="miter"/>
                      <v:imagedata o:title=""/>
                      <o:lock v:ext="edit" aspectratio="f"/>
                    </v:line>
                  </w:pict>
                </mc:Fallback>
              </mc:AlternateContent>
            </w:r>
            <w:r>
              <w:rPr>
                <w:rFonts w:hint="default" w:ascii="Times New Roman" w:hAnsi="Times New Roman" w:eastAsia="宋体" w:cs="Times New Roman"/>
                <w:b/>
                <w:bCs/>
                <w:color w:val="auto"/>
                <w:sz w:val="21"/>
                <w:szCs w:val="21"/>
              </w:rPr>
              <w:t>内容</w:t>
            </w:r>
          </w:p>
          <w:p w14:paraId="1EC1891F">
            <w:pPr>
              <w:keepNext w:val="0"/>
              <w:keepLines w:val="0"/>
              <w:pageBreakBefore w:val="0"/>
              <w:kinsoku/>
              <w:overflowPunct/>
              <w:topLinePunct w:val="0"/>
              <w:bidi w:val="0"/>
              <w:adjustRightInd w:val="0"/>
              <w:snapToGrid w:val="0"/>
              <w:spacing w:line="360" w:lineRule="atLeast"/>
              <w:ind w:left="0" w:right="0"/>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要素</w:t>
            </w:r>
          </w:p>
        </w:tc>
        <w:tc>
          <w:tcPr>
            <w:tcW w:w="773" w:type="pct"/>
            <w:gridSpan w:val="2"/>
            <w:tcBorders>
              <w:tl2br w:val="nil"/>
              <w:tr2bl w:val="nil"/>
            </w:tcBorders>
            <w:vAlign w:val="center"/>
          </w:tcPr>
          <w:p w14:paraId="1F50872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排放口</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编号、名称</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/污染源</w:t>
            </w:r>
          </w:p>
        </w:tc>
        <w:tc>
          <w:tcPr>
            <w:tcW w:w="918" w:type="pct"/>
            <w:tcBorders>
              <w:tl2br w:val="nil"/>
              <w:tr2bl w:val="nil"/>
            </w:tcBorders>
            <w:vAlign w:val="center"/>
          </w:tcPr>
          <w:p w14:paraId="21DDC72E">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污染物项目</w:t>
            </w:r>
          </w:p>
        </w:tc>
        <w:tc>
          <w:tcPr>
            <w:tcW w:w="1362" w:type="pct"/>
            <w:tcBorders>
              <w:tl2br w:val="nil"/>
              <w:tr2bl w:val="nil"/>
            </w:tcBorders>
            <w:vAlign w:val="center"/>
          </w:tcPr>
          <w:p w14:paraId="2D39505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环境保护措施</w:t>
            </w:r>
          </w:p>
        </w:tc>
        <w:tc>
          <w:tcPr>
            <w:tcW w:w="1300" w:type="pct"/>
            <w:tcBorders>
              <w:tl2br w:val="nil"/>
              <w:tr2bl w:val="nil"/>
            </w:tcBorders>
            <w:vAlign w:val="center"/>
          </w:tcPr>
          <w:p w14:paraId="56823DBC">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执行标准</w:t>
            </w:r>
          </w:p>
        </w:tc>
      </w:tr>
      <w:tr w14:paraId="75A548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restart"/>
            <w:tcBorders>
              <w:tl2br w:val="nil"/>
              <w:tr2bl w:val="nil"/>
            </w:tcBorders>
            <w:vAlign w:val="center"/>
          </w:tcPr>
          <w:p w14:paraId="2A50AD17">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大气环境</w:t>
            </w:r>
          </w:p>
        </w:tc>
        <w:tc>
          <w:tcPr>
            <w:tcW w:w="773" w:type="pct"/>
            <w:gridSpan w:val="2"/>
            <w:tcBorders>
              <w:tl2br w:val="nil"/>
              <w:tr2bl w:val="nil"/>
            </w:tcBorders>
            <w:vAlign w:val="center"/>
          </w:tcPr>
          <w:p w14:paraId="251A0B4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DA001</w:t>
            </w:r>
          </w:p>
        </w:tc>
        <w:tc>
          <w:tcPr>
            <w:tcW w:w="918" w:type="pct"/>
            <w:tcBorders>
              <w:tl2br w:val="nil"/>
              <w:tr2bl w:val="nil"/>
            </w:tcBorders>
            <w:vAlign w:val="center"/>
          </w:tcPr>
          <w:p w14:paraId="46F00CE6">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eastAsia="zh-CN"/>
              </w:rPr>
              <w:t>颗粒物、</w:t>
            </w:r>
            <w:r>
              <w:rPr>
                <w:rFonts w:hint="eastAsia" w:cs="Times New Roman"/>
                <w:color w:val="auto"/>
                <w:kern w:val="0"/>
                <w:sz w:val="21"/>
                <w:szCs w:val="21"/>
                <w:lang w:val="en-US" w:eastAsia="zh-CN"/>
              </w:rPr>
              <w:t>挥发性有机物</w:t>
            </w:r>
            <w:r>
              <w:rPr>
                <w:rFonts w:hint="default" w:ascii="Times New Roman" w:hAnsi="Times New Roman" w:eastAsia="宋体" w:cs="Times New Roman"/>
                <w:color w:val="auto"/>
                <w:kern w:val="0"/>
                <w:sz w:val="21"/>
                <w:szCs w:val="21"/>
              </w:rPr>
              <w:t>和臭气浓度</w:t>
            </w:r>
          </w:p>
        </w:tc>
        <w:tc>
          <w:tcPr>
            <w:tcW w:w="1362" w:type="pct"/>
            <w:tcBorders>
              <w:tl2br w:val="nil"/>
              <w:tr2bl w:val="nil"/>
            </w:tcBorders>
            <w:vAlign w:val="center"/>
          </w:tcPr>
          <w:p w14:paraId="51A60F7D">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eastAsia" w:cs="Times New Roman"/>
                <w:color w:val="auto"/>
                <w:sz w:val="21"/>
                <w:szCs w:val="21"/>
                <w:lang w:eastAsia="zh-CN"/>
              </w:rPr>
              <w:t>密闭车间</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eastAsia="zh-CN"/>
              </w:rPr>
              <w:t>二级活性炭吸附装置”</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rPr>
              <w:t>米</w:t>
            </w:r>
            <w:r>
              <w:rPr>
                <w:rFonts w:hint="default" w:ascii="Times New Roman" w:hAnsi="Times New Roman" w:eastAsia="宋体" w:cs="Times New Roman"/>
                <w:color w:val="auto"/>
                <w:sz w:val="21"/>
                <w:szCs w:val="21"/>
                <w:lang w:eastAsia="zh-CN"/>
              </w:rPr>
              <w:t>高</w:t>
            </w:r>
            <w:r>
              <w:rPr>
                <w:rFonts w:hint="default" w:ascii="Times New Roman" w:hAnsi="Times New Roman" w:eastAsia="宋体" w:cs="Times New Roman"/>
                <w:color w:val="auto"/>
                <w:sz w:val="21"/>
                <w:szCs w:val="21"/>
              </w:rPr>
              <w:t>排气筒（DA001）排放</w:t>
            </w:r>
          </w:p>
        </w:tc>
        <w:tc>
          <w:tcPr>
            <w:tcW w:w="1300" w:type="pct"/>
            <w:tcBorders>
              <w:tl2br w:val="nil"/>
              <w:tr2bl w:val="nil"/>
            </w:tcBorders>
            <w:vAlign w:val="center"/>
          </w:tcPr>
          <w:p w14:paraId="4B288EAC">
            <w:pPr>
              <w:keepNext w:val="0"/>
              <w:keepLines w:val="0"/>
              <w:pageBreakBefore w:val="0"/>
              <w:kinsoku/>
              <w:wordWrap w:val="0"/>
              <w:overflowPunct/>
              <w:topLinePunct w:val="0"/>
              <w:bidi w:val="0"/>
              <w:spacing w:line="360" w:lineRule="atLeast"/>
              <w:ind w:left="0" w:right="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lang w:val="en-US" w:eastAsia="zh-CN"/>
              </w:rPr>
              <w:t>《橡胶制品工业污染物排放标准》（GB27632-2011）</w:t>
            </w:r>
            <w:r>
              <w:rPr>
                <w:rFonts w:hint="default" w:ascii="Times New Roman" w:hAnsi="Times New Roman" w:eastAsia="宋体" w:cs="Times New Roman"/>
                <w:color w:val="auto"/>
                <w:sz w:val="21"/>
                <w:szCs w:val="21"/>
              </w:rPr>
              <w:t>、《恶臭污染物排放标准》（GB14554-93）</w:t>
            </w:r>
          </w:p>
        </w:tc>
      </w:tr>
      <w:tr w14:paraId="6EF7F3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49962F0F">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41A58947">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DA002</w:t>
            </w:r>
          </w:p>
        </w:tc>
        <w:tc>
          <w:tcPr>
            <w:tcW w:w="918" w:type="pct"/>
            <w:tcBorders>
              <w:tl2br w:val="nil"/>
              <w:tr2bl w:val="nil"/>
            </w:tcBorders>
            <w:vAlign w:val="center"/>
          </w:tcPr>
          <w:p w14:paraId="5065E46A">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挥发性有机物</w:t>
            </w:r>
            <w:r>
              <w:rPr>
                <w:rFonts w:hint="default" w:ascii="Times New Roman" w:hAnsi="Times New Roman" w:eastAsia="宋体" w:cs="Times New Roman"/>
                <w:color w:val="auto"/>
                <w:kern w:val="0"/>
                <w:sz w:val="21"/>
                <w:szCs w:val="21"/>
                <w:lang w:eastAsia="zh-CN"/>
              </w:rPr>
              <w:t>、</w:t>
            </w:r>
            <w:r>
              <w:rPr>
                <w:rFonts w:hint="eastAsia" w:ascii="Times New Roman" w:hAnsi="Times New Roman" w:cs="Times New Roman"/>
                <w:color w:val="auto"/>
                <w:kern w:val="0"/>
                <w:sz w:val="21"/>
                <w:szCs w:val="21"/>
                <w:lang w:eastAsia="zh-CN"/>
              </w:rPr>
              <w:t>二甲苯、</w:t>
            </w:r>
            <w:r>
              <w:rPr>
                <w:rFonts w:hint="default" w:ascii="Times New Roman" w:hAnsi="Times New Roman" w:eastAsia="宋体" w:cs="Times New Roman"/>
                <w:color w:val="auto"/>
                <w:kern w:val="0"/>
                <w:sz w:val="21"/>
                <w:szCs w:val="21"/>
                <w:lang w:eastAsia="zh-CN"/>
              </w:rPr>
              <w:t>硫化氢和臭气浓度</w:t>
            </w:r>
          </w:p>
        </w:tc>
        <w:tc>
          <w:tcPr>
            <w:tcW w:w="1362" w:type="pct"/>
            <w:tcBorders>
              <w:tl2br w:val="nil"/>
              <w:tr2bl w:val="nil"/>
            </w:tcBorders>
            <w:vAlign w:val="center"/>
          </w:tcPr>
          <w:p w14:paraId="73F3F97C">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密闭车间</w:t>
            </w:r>
            <w:r>
              <w:rPr>
                <w:rFonts w:hint="eastAsia" w:cs="Times New Roman"/>
                <w:color w:val="auto"/>
                <w:sz w:val="21"/>
                <w:szCs w:val="21"/>
                <w:lang w:val="en-US" w:eastAsia="zh-CN"/>
              </w:rPr>
              <w:t>/管道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“水喷淋</w:t>
            </w:r>
            <w:r>
              <w:rPr>
                <w:rFonts w:hint="default" w:ascii="Times New Roman" w:hAnsi="Times New Roman" w:eastAsia="宋体" w:cs="Times New Roman"/>
                <w:color w:val="auto"/>
                <w:sz w:val="21"/>
                <w:szCs w:val="21"/>
                <w:lang w:val="en-US" w:eastAsia="zh-CN"/>
              </w:rPr>
              <w:t>+二级活性炭吸附装置</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rPr>
              <w:t>米</w:t>
            </w:r>
            <w:r>
              <w:rPr>
                <w:rFonts w:hint="default" w:ascii="Times New Roman" w:hAnsi="Times New Roman" w:eastAsia="宋体" w:cs="Times New Roman"/>
                <w:color w:val="auto"/>
                <w:sz w:val="21"/>
                <w:szCs w:val="21"/>
                <w:lang w:eastAsia="zh-CN"/>
              </w:rPr>
              <w:t>高</w:t>
            </w:r>
            <w:r>
              <w:rPr>
                <w:rFonts w:hint="default" w:ascii="Times New Roman" w:hAnsi="Times New Roman" w:eastAsia="宋体" w:cs="Times New Roman"/>
                <w:color w:val="auto"/>
                <w:sz w:val="21"/>
                <w:szCs w:val="21"/>
              </w:rPr>
              <w:t>排气筒（DA002）排放</w:t>
            </w:r>
          </w:p>
        </w:tc>
        <w:tc>
          <w:tcPr>
            <w:tcW w:w="1300" w:type="pct"/>
            <w:tcBorders>
              <w:tl2br w:val="nil"/>
              <w:tr2bl w:val="nil"/>
            </w:tcBorders>
            <w:vAlign w:val="center"/>
          </w:tcPr>
          <w:p w14:paraId="7436DE7A">
            <w:pPr>
              <w:keepNext w:val="0"/>
              <w:keepLines w:val="0"/>
              <w:pageBreakBefore w:val="0"/>
              <w:kinsoku/>
              <w:wordWrap w:val="0"/>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《橡胶制品工业污染物排放标准》（GB27632-2011）</w:t>
            </w:r>
            <w:r>
              <w:rPr>
                <w:rFonts w:hint="default" w:ascii="Times New Roman" w:hAnsi="Times New Roman" w:eastAsia="宋体" w:cs="Times New Roman"/>
                <w:color w:val="auto"/>
                <w:sz w:val="21"/>
                <w:szCs w:val="21"/>
              </w:rPr>
              <w:t>、《恶臭污染物排放标准》（GB14554-93）</w:t>
            </w:r>
          </w:p>
        </w:tc>
      </w:tr>
      <w:tr w14:paraId="5E9332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43FDBA7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4B10BD08">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DA003</w:t>
            </w:r>
          </w:p>
        </w:tc>
        <w:tc>
          <w:tcPr>
            <w:tcW w:w="918" w:type="pct"/>
            <w:tcBorders>
              <w:tl2br w:val="nil"/>
              <w:tr2bl w:val="nil"/>
            </w:tcBorders>
            <w:vAlign w:val="center"/>
          </w:tcPr>
          <w:p w14:paraId="12F8ABEB">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cs="Times New Roman"/>
                <w:color w:val="auto"/>
                <w:kern w:val="0"/>
                <w:sz w:val="21"/>
                <w:szCs w:val="21"/>
                <w:lang w:val="en-US" w:eastAsia="zh-CN"/>
              </w:rPr>
              <w:t>挥发性有机物</w:t>
            </w:r>
          </w:p>
        </w:tc>
        <w:tc>
          <w:tcPr>
            <w:tcW w:w="1362" w:type="pct"/>
            <w:tcBorders>
              <w:tl2br w:val="nil"/>
              <w:tr2bl w:val="nil"/>
            </w:tcBorders>
            <w:vAlign w:val="center"/>
          </w:tcPr>
          <w:p w14:paraId="73FB3E9E">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密闭车间</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“水喷淋</w:t>
            </w:r>
            <w:r>
              <w:rPr>
                <w:rFonts w:hint="default" w:ascii="Times New Roman" w:hAnsi="Times New Roman" w:eastAsia="宋体" w:cs="Times New Roman"/>
                <w:color w:val="auto"/>
                <w:sz w:val="21"/>
                <w:szCs w:val="21"/>
                <w:lang w:val="en-US" w:eastAsia="zh-CN"/>
              </w:rPr>
              <w:t>+</w:t>
            </w:r>
            <w:r>
              <w:rPr>
                <w:rFonts w:hint="eastAsia" w:cs="Times New Roman"/>
                <w:color w:val="auto"/>
                <w:sz w:val="21"/>
                <w:szCs w:val="21"/>
                <w:lang w:val="en-US" w:eastAsia="zh-CN"/>
              </w:rPr>
              <w:t>活性炭吸附脱附+</w:t>
            </w:r>
            <w:r>
              <w:rPr>
                <w:rFonts w:hint="default" w:ascii="Times New Roman" w:hAnsi="Times New Roman" w:eastAsia="宋体" w:cs="Times New Roman"/>
                <w:color w:val="auto"/>
                <w:sz w:val="21"/>
                <w:szCs w:val="21"/>
                <w:lang w:val="en-US" w:eastAsia="zh-CN"/>
              </w:rPr>
              <w:t>RCO装置</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rPr>
              <w:t>米</w:t>
            </w:r>
            <w:r>
              <w:rPr>
                <w:rFonts w:hint="default" w:ascii="Times New Roman" w:hAnsi="Times New Roman" w:eastAsia="宋体" w:cs="Times New Roman"/>
                <w:color w:val="auto"/>
                <w:sz w:val="21"/>
                <w:szCs w:val="21"/>
                <w:lang w:eastAsia="zh-CN"/>
              </w:rPr>
              <w:t>高</w:t>
            </w:r>
            <w:r>
              <w:rPr>
                <w:rFonts w:hint="default" w:ascii="Times New Roman" w:hAnsi="Times New Roman" w:eastAsia="宋体" w:cs="Times New Roman"/>
                <w:color w:val="auto"/>
                <w:sz w:val="21"/>
                <w:szCs w:val="21"/>
              </w:rPr>
              <w:t>排气筒（DA00</w:t>
            </w:r>
            <w:r>
              <w:rPr>
                <w:rFonts w:hint="default"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rPr>
              <w:t>）排放</w:t>
            </w:r>
          </w:p>
        </w:tc>
        <w:tc>
          <w:tcPr>
            <w:tcW w:w="1300" w:type="pct"/>
            <w:tcBorders>
              <w:tl2br w:val="nil"/>
              <w:tr2bl w:val="nil"/>
            </w:tcBorders>
            <w:vAlign w:val="center"/>
          </w:tcPr>
          <w:p w14:paraId="7143CA72">
            <w:pPr>
              <w:keepNext w:val="0"/>
              <w:keepLines w:val="0"/>
              <w:pageBreakBefore w:val="0"/>
              <w:kinsoku/>
              <w:wordWrap w:val="0"/>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《橡胶制品工业污染物排放标准》（GB27632-2011）</w:t>
            </w:r>
          </w:p>
        </w:tc>
      </w:tr>
      <w:tr w14:paraId="3CD527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74D8EA8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5F62589B">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DA00</w:t>
            </w:r>
            <w:r>
              <w:rPr>
                <w:rFonts w:hint="eastAsia" w:ascii="Times New Roman" w:hAnsi="Times New Roman" w:cs="Times New Roman"/>
                <w:color w:val="auto"/>
                <w:sz w:val="21"/>
                <w:szCs w:val="21"/>
                <w:lang w:val="en-US" w:eastAsia="zh-CN"/>
              </w:rPr>
              <w:t>4</w:t>
            </w:r>
          </w:p>
        </w:tc>
        <w:tc>
          <w:tcPr>
            <w:tcW w:w="918" w:type="pct"/>
            <w:tcBorders>
              <w:tl2br w:val="nil"/>
              <w:tr2bl w:val="nil"/>
            </w:tcBorders>
            <w:vAlign w:val="center"/>
          </w:tcPr>
          <w:p w14:paraId="6CA56211">
            <w:pPr>
              <w:keepNext w:val="0"/>
              <w:keepLines w:val="0"/>
              <w:pageBreakBefore w:val="0"/>
              <w:widowControl/>
              <w:kinsoku/>
              <w:overflowPunct/>
              <w:topLinePunct w:val="0"/>
              <w:bidi w:val="0"/>
              <w:spacing w:line="360" w:lineRule="atLeast"/>
              <w:ind w:left="0" w:right="0"/>
              <w:jc w:val="center"/>
              <w:textAlignment w:val="center"/>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eastAsia="zh-CN"/>
              </w:rPr>
              <w:t>颗粒物</w:t>
            </w:r>
          </w:p>
        </w:tc>
        <w:tc>
          <w:tcPr>
            <w:tcW w:w="1362" w:type="pct"/>
            <w:tcBorders>
              <w:tl2br w:val="nil"/>
              <w:tr2bl w:val="nil"/>
            </w:tcBorders>
            <w:vAlign w:val="center"/>
          </w:tcPr>
          <w:p w14:paraId="49B393EC">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eastAsia"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default" w:ascii="Times New Roman" w:hAnsi="Times New Roman" w:eastAsia="宋体" w:cs="Times New Roman"/>
                <w:color w:val="auto"/>
                <w:sz w:val="21"/>
                <w:szCs w:val="21"/>
                <w:lang w:val="en-US" w:eastAsia="zh-CN"/>
              </w:rPr>
              <w:t>4</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5F30AC44">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37FFAC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2F0A4444">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1A3A7B6C">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DA00</w:t>
            </w:r>
            <w:r>
              <w:rPr>
                <w:rFonts w:hint="eastAsia" w:ascii="Times New Roman" w:hAnsi="Times New Roman" w:cs="Times New Roman"/>
                <w:color w:val="auto"/>
                <w:sz w:val="21"/>
                <w:szCs w:val="21"/>
                <w:lang w:val="en-US" w:eastAsia="zh-CN"/>
              </w:rPr>
              <w:t>5</w:t>
            </w:r>
          </w:p>
        </w:tc>
        <w:tc>
          <w:tcPr>
            <w:tcW w:w="918" w:type="pct"/>
            <w:tcBorders>
              <w:tl2br w:val="nil"/>
              <w:tr2bl w:val="nil"/>
            </w:tcBorders>
            <w:vAlign w:val="center"/>
          </w:tcPr>
          <w:p w14:paraId="0CF8F6EC">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ascii="Times New Roman" w:hAnsi="Times New Roman" w:cs="Times New Roman"/>
                <w:color w:val="auto"/>
                <w:kern w:val="0"/>
                <w:sz w:val="21"/>
                <w:szCs w:val="21"/>
                <w:lang w:eastAsia="zh-CN"/>
              </w:rPr>
              <w:t>颗粒物</w:t>
            </w:r>
          </w:p>
        </w:tc>
        <w:tc>
          <w:tcPr>
            <w:tcW w:w="1362" w:type="pct"/>
            <w:tcBorders>
              <w:tl2br w:val="nil"/>
              <w:tr2bl w:val="nil"/>
            </w:tcBorders>
            <w:vAlign w:val="center"/>
          </w:tcPr>
          <w:p w14:paraId="161BA23D">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eastAsia" w:ascii="Times New Roman" w:hAnsi="Times New Roman" w:cs="Times New Roman"/>
                <w:color w:val="auto"/>
                <w:sz w:val="21"/>
                <w:szCs w:val="21"/>
                <w:lang w:val="en-US" w:eastAsia="zh-CN"/>
              </w:rPr>
              <w:t>5</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1E4020D1">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4AEB90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6F878633">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08C372E0">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DA00</w:t>
            </w:r>
            <w:r>
              <w:rPr>
                <w:rFonts w:hint="eastAsia" w:ascii="Times New Roman" w:hAnsi="Times New Roman" w:cs="Times New Roman"/>
                <w:color w:val="auto"/>
                <w:sz w:val="21"/>
                <w:szCs w:val="21"/>
                <w:lang w:val="en-US" w:eastAsia="zh-CN"/>
              </w:rPr>
              <w:t>6</w:t>
            </w:r>
          </w:p>
        </w:tc>
        <w:tc>
          <w:tcPr>
            <w:tcW w:w="918" w:type="pct"/>
            <w:tcBorders>
              <w:tl2br w:val="nil"/>
              <w:tr2bl w:val="nil"/>
            </w:tcBorders>
            <w:vAlign w:val="center"/>
          </w:tcPr>
          <w:p w14:paraId="04D8ACD3">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ascii="Times New Roman" w:hAnsi="Times New Roman" w:cs="Times New Roman"/>
                <w:color w:val="auto"/>
                <w:kern w:val="0"/>
                <w:sz w:val="21"/>
                <w:szCs w:val="21"/>
                <w:lang w:eastAsia="zh-CN"/>
              </w:rPr>
              <w:t>颗粒物</w:t>
            </w:r>
          </w:p>
        </w:tc>
        <w:tc>
          <w:tcPr>
            <w:tcW w:w="1362" w:type="pct"/>
            <w:tcBorders>
              <w:tl2br w:val="nil"/>
              <w:tr2bl w:val="nil"/>
            </w:tcBorders>
            <w:vAlign w:val="center"/>
          </w:tcPr>
          <w:p w14:paraId="63134A9D">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eastAsia" w:ascii="Times New Roman" w:hAnsi="Times New Roman" w:cs="Times New Roman"/>
                <w:color w:val="auto"/>
                <w:sz w:val="21"/>
                <w:szCs w:val="21"/>
                <w:lang w:val="en-US" w:eastAsia="zh-CN"/>
              </w:rPr>
              <w:t>6</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44D5E43C">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5B5C4B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43CC40C5">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153B73A9">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DA00</w:t>
            </w:r>
            <w:r>
              <w:rPr>
                <w:rFonts w:hint="eastAsia" w:ascii="Times New Roman" w:hAnsi="Times New Roman" w:cs="Times New Roman"/>
                <w:color w:val="auto"/>
                <w:sz w:val="21"/>
                <w:szCs w:val="21"/>
                <w:lang w:val="en-US" w:eastAsia="zh-CN"/>
              </w:rPr>
              <w:t>7</w:t>
            </w:r>
          </w:p>
        </w:tc>
        <w:tc>
          <w:tcPr>
            <w:tcW w:w="918" w:type="pct"/>
            <w:tcBorders>
              <w:tl2br w:val="nil"/>
              <w:tr2bl w:val="nil"/>
            </w:tcBorders>
            <w:vAlign w:val="center"/>
          </w:tcPr>
          <w:p w14:paraId="293945CE">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ascii="Times New Roman" w:hAnsi="Times New Roman" w:cs="Times New Roman"/>
                <w:color w:val="auto"/>
                <w:kern w:val="0"/>
                <w:sz w:val="21"/>
                <w:szCs w:val="21"/>
                <w:lang w:eastAsia="zh-CN"/>
              </w:rPr>
              <w:t>颗粒物</w:t>
            </w:r>
          </w:p>
        </w:tc>
        <w:tc>
          <w:tcPr>
            <w:tcW w:w="1362" w:type="pct"/>
            <w:tcBorders>
              <w:tl2br w:val="nil"/>
              <w:tr2bl w:val="nil"/>
            </w:tcBorders>
            <w:vAlign w:val="center"/>
          </w:tcPr>
          <w:p w14:paraId="09B0AF20">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eastAsia" w:ascii="Times New Roman" w:hAnsi="Times New Roman" w:cs="Times New Roman"/>
                <w:color w:val="auto"/>
                <w:sz w:val="21"/>
                <w:szCs w:val="21"/>
                <w:lang w:val="en-US" w:eastAsia="zh-CN"/>
              </w:rPr>
              <w:t>7</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23963764">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301E65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0C4A9B3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28906747">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DA00</w:t>
            </w:r>
            <w:r>
              <w:rPr>
                <w:rFonts w:hint="eastAsia" w:ascii="Times New Roman" w:hAnsi="Times New Roman" w:cs="Times New Roman"/>
                <w:color w:val="auto"/>
                <w:sz w:val="21"/>
                <w:szCs w:val="21"/>
                <w:lang w:val="en-US" w:eastAsia="zh-CN"/>
              </w:rPr>
              <w:t>8</w:t>
            </w:r>
          </w:p>
        </w:tc>
        <w:tc>
          <w:tcPr>
            <w:tcW w:w="918" w:type="pct"/>
            <w:tcBorders>
              <w:tl2br w:val="nil"/>
              <w:tr2bl w:val="nil"/>
            </w:tcBorders>
            <w:vAlign w:val="center"/>
          </w:tcPr>
          <w:p w14:paraId="65B5B53E">
            <w:pPr>
              <w:keepNext w:val="0"/>
              <w:keepLines w:val="0"/>
              <w:pageBreakBefore w:val="0"/>
              <w:widowControl/>
              <w:kinsoku/>
              <w:overflowPunct/>
              <w:topLinePunct w:val="0"/>
              <w:bidi w:val="0"/>
              <w:spacing w:line="360" w:lineRule="atLeast"/>
              <w:ind w:left="0" w:right="0"/>
              <w:jc w:val="center"/>
              <w:textAlignment w:val="center"/>
              <w:rPr>
                <w:rFonts w:hint="default" w:ascii="Times New Roman" w:hAnsi="Times New Roman" w:eastAsia="宋体" w:cs="Times New Roman"/>
                <w:color w:val="auto"/>
                <w:kern w:val="0"/>
                <w:sz w:val="21"/>
                <w:szCs w:val="21"/>
              </w:rPr>
            </w:pPr>
            <w:r>
              <w:rPr>
                <w:rFonts w:hint="eastAsia" w:ascii="Times New Roman" w:hAnsi="Times New Roman" w:cs="Times New Roman"/>
                <w:color w:val="auto"/>
                <w:kern w:val="0"/>
                <w:sz w:val="21"/>
                <w:szCs w:val="21"/>
                <w:lang w:eastAsia="zh-CN"/>
              </w:rPr>
              <w:t>颗粒物</w:t>
            </w:r>
          </w:p>
        </w:tc>
        <w:tc>
          <w:tcPr>
            <w:tcW w:w="1362" w:type="pct"/>
            <w:tcBorders>
              <w:tl2br w:val="nil"/>
              <w:tr2bl w:val="nil"/>
            </w:tcBorders>
            <w:vAlign w:val="center"/>
          </w:tcPr>
          <w:p w14:paraId="2E5A176A">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eastAsia" w:ascii="Times New Roman" w:hAnsi="Times New Roman" w:cs="Times New Roman"/>
                <w:color w:val="auto"/>
                <w:sz w:val="21"/>
                <w:szCs w:val="21"/>
                <w:lang w:val="en-US" w:eastAsia="zh-CN"/>
              </w:rPr>
              <w:t>8</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71906150">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5AD1CDB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103D3CDD">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vMerge w:val="restart"/>
            <w:tcBorders>
              <w:tl2br w:val="nil"/>
              <w:tr2bl w:val="nil"/>
            </w:tcBorders>
            <w:vAlign w:val="center"/>
          </w:tcPr>
          <w:p w14:paraId="0ADCF666">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DA00</w:t>
            </w:r>
            <w:r>
              <w:rPr>
                <w:rFonts w:hint="eastAsia" w:cs="Times New Roman"/>
                <w:color w:val="auto"/>
                <w:sz w:val="21"/>
                <w:szCs w:val="21"/>
                <w:lang w:val="en-US" w:eastAsia="zh-CN"/>
              </w:rPr>
              <w:t>9</w:t>
            </w:r>
          </w:p>
        </w:tc>
        <w:tc>
          <w:tcPr>
            <w:tcW w:w="918" w:type="pct"/>
            <w:tcBorders>
              <w:tl2br w:val="nil"/>
              <w:tr2bl w:val="nil"/>
            </w:tcBorders>
            <w:vAlign w:val="center"/>
          </w:tcPr>
          <w:p w14:paraId="1FC43328">
            <w:pPr>
              <w:keepNext w:val="0"/>
              <w:keepLines w:val="0"/>
              <w:pageBreakBefore w:val="0"/>
              <w:widowControl/>
              <w:kinsoku/>
              <w:overflowPunct/>
              <w:topLinePunct w:val="0"/>
              <w:bidi w:val="0"/>
              <w:spacing w:line="360" w:lineRule="atLeast"/>
              <w:ind w:left="0" w:right="0"/>
              <w:jc w:val="center"/>
              <w:textAlignment w:val="center"/>
              <w:rPr>
                <w:rFonts w:hint="eastAsia" w:ascii="Times New Roman" w:hAnsi="Times New Roman" w:cs="Times New Roman"/>
                <w:color w:val="auto"/>
                <w:kern w:val="0"/>
                <w:sz w:val="21"/>
                <w:szCs w:val="21"/>
                <w:lang w:eastAsia="zh-CN"/>
              </w:rPr>
            </w:pPr>
            <w:r>
              <w:rPr>
                <w:rFonts w:hint="eastAsia" w:ascii="Times New Roman" w:hAnsi="Times New Roman" w:cs="Times New Roman"/>
                <w:color w:val="auto"/>
                <w:kern w:val="0"/>
                <w:sz w:val="21"/>
                <w:szCs w:val="21"/>
                <w:lang w:eastAsia="zh-CN"/>
              </w:rPr>
              <w:t>颗粒物</w:t>
            </w:r>
          </w:p>
        </w:tc>
        <w:tc>
          <w:tcPr>
            <w:tcW w:w="1362" w:type="pct"/>
            <w:tcBorders>
              <w:tl2br w:val="nil"/>
              <w:tr2bl w:val="nil"/>
            </w:tcBorders>
            <w:shd w:val="clear" w:color="auto" w:fill="auto"/>
            <w:vAlign w:val="center"/>
          </w:tcPr>
          <w:p w14:paraId="552B228D">
            <w:pPr>
              <w:keepNext w:val="0"/>
              <w:keepLines w:val="0"/>
              <w:pageBreakBefore w:val="0"/>
              <w:kinsoku/>
              <w:overflowPunct/>
              <w:topLinePunct w:val="0"/>
              <w:bidi w:val="0"/>
              <w:snapToGrid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密闭管道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“布袋除尘器”+</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lang w:eastAsia="zh-CN"/>
              </w:rPr>
              <w:t>米高排气筒（DA00</w:t>
            </w:r>
            <w:r>
              <w:rPr>
                <w:rFonts w:hint="eastAsia" w:cs="Times New Roman"/>
                <w:color w:val="auto"/>
                <w:sz w:val="21"/>
                <w:szCs w:val="21"/>
                <w:lang w:val="en-US" w:eastAsia="zh-CN"/>
              </w:rPr>
              <w:t>9</w:t>
            </w:r>
            <w:r>
              <w:rPr>
                <w:rFonts w:hint="default" w:ascii="Times New Roman" w:hAnsi="Times New Roman" w:eastAsia="宋体" w:cs="Times New Roman"/>
                <w:color w:val="auto"/>
                <w:sz w:val="21"/>
                <w:szCs w:val="21"/>
                <w:lang w:eastAsia="zh-CN"/>
              </w:rPr>
              <w:t>）排放</w:t>
            </w:r>
          </w:p>
        </w:tc>
        <w:tc>
          <w:tcPr>
            <w:tcW w:w="1300" w:type="pct"/>
            <w:tcBorders>
              <w:tl2br w:val="nil"/>
              <w:tr2bl w:val="nil"/>
            </w:tcBorders>
            <w:shd w:val="clear" w:color="auto" w:fill="auto"/>
            <w:vAlign w:val="center"/>
          </w:tcPr>
          <w:p w14:paraId="3B10FA9F">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color w:val="auto"/>
                <w:w w:val="100"/>
                <w:kern w:val="2"/>
                <w:sz w:val="21"/>
                <w:szCs w:val="21"/>
                <w:highlight w:val="none"/>
                <w:lang w:val="en-US" w:eastAsia="zh-CN" w:bidi="ar-SA"/>
              </w:rPr>
            </w:pPr>
            <w:r>
              <w:rPr>
                <w:rFonts w:hint="default" w:ascii="Times New Roman" w:hAnsi="Times New Roman" w:eastAsia="宋体" w:cs="Times New Roman"/>
                <w:color w:val="auto"/>
                <w:w w:val="100"/>
                <w:sz w:val="21"/>
                <w:szCs w:val="21"/>
                <w:highlight w:val="none"/>
                <w:lang w:val="en-US" w:eastAsia="zh-CN"/>
              </w:rPr>
              <w:t>《大气污染物综合排放标准》（DB32/4041-2021</w:t>
            </w:r>
            <w:r>
              <w:rPr>
                <w:rFonts w:hint="eastAsia" w:cs="Times New Roman"/>
                <w:color w:val="auto"/>
                <w:w w:val="100"/>
                <w:sz w:val="21"/>
                <w:szCs w:val="21"/>
                <w:highlight w:val="none"/>
                <w:lang w:val="en-US" w:eastAsia="zh-CN"/>
              </w:rPr>
              <w:t>）</w:t>
            </w:r>
          </w:p>
        </w:tc>
      </w:tr>
      <w:tr w14:paraId="14E6FC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4B043C1F">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vMerge w:val="continue"/>
            <w:tcBorders>
              <w:tl2br w:val="nil"/>
              <w:tr2bl w:val="nil"/>
            </w:tcBorders>
            <w:vAlign w:val="center"/>
          </w:tcPr>
          <w:p w14:paraId="38B558A3">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lang w:val="en-US" w:eastAsia="zh-CN"/>
              </w:rPr>
            </w:pPr>
          </w:p>
        </w:tc>
        <w:tc>
          <w:tcPr>
            <w:tcW w:w="918" w:type="pct"/>
            <w:tcBorders>
              <w:tl2br w:val="nil"/>
              <w:tr2bl w:val="nil"/>
            </w:tcBorders>
            <w:vAlign w:val="center"/>
          </w:tcPr>
          <w:p w14:paraId="1610EF52">
            <w:pPr>
              <w:keepNext w:val="0"/>
              <w:keepLines w:val="0"/>
              <w:pageBreakBefore w:val="0"/>
              <w:widowControl/>
              <w:kinsoku/>
              <w:overflowPunct/>
              <w:topLinePunct w:val="0"/>
              <w:bidi w:val="0"/>
              <w:spacing w:line="360" w:lineRule="atLeast"/>
              <w:ind w:left="0" w:right="0"/>
              <w:jc w:val="center"/>
              <w:textAlignment w:val="center"/>
              <w:rPr>
                <w:rFonts w:hint="eastAsia" w:ascii="Times New Roman" w:hAnsi="Times New Roman" w:cs="Times New Roman"/>
                <w:color w:val="auto"/>
                <w:kern w:val="0"/>
                <w:sz w:val="21"/>
                <w:szCs w:val="21"/>
                <w:lang w:eastAsia="zh-CN"/>
              </w:rPr>
            </w:pPr>
            <w:r>
              <w:rPr>
                <w:rFonts w:hint="eastAsia" w:cs="Times New Roman"/>
                <w:color w:val="auto"/>
                <w:kern w:val="0"/>
                <w:sz w:val="21"/>
                <w:szCs w:val="21"/>
                <w:lang w:val="en-US" w:eastAsia="zh-CN"/>
              </w:rPr>
              <w:t>挥发性有机物</w:t>
            </w:r>
            <w:r>
              <w:rPr>
                <w:rFonts w:hint="default" w:ascii="Times New Roman" w:hAnsi="Times New Roman" w:eastAsia="宋体" w:cs="Times New Roman"/>
                <w:color w:val="auto"/>
                <w:kern w:val="0"/>
                <w:sz w:val="21"/>
                <w:szCs w:val="21"/>
                <w:lang w:eastAsia="zh-CN"/>
              </w:rPr>
              <w:t>、</w:t>
            </w:r>
            <w:r>
              <w:rPr>
                <w:rFonts w:hint="eastAsia" w:ascii="Times New Roman" w:hAnsi="Times New Roman" w:cs="Times New Roman"/>
                <w:color w:val="auto"/>
                <w:kern w:val="0"/>
                <w:sz w:val="21"/>
                <w:szCs w:val="21"/>
                <w:lang w:eastAsia="zh-CN"/>
              </w:rPr>
              <w:t>甲苯、</w:t>
            </w:r>
            <w:r>
              <w:rPr>
                <w:rFonts w:hint="default" w:ascii="Times New Roman" w:hAnsi="Times New Roman" w:eastAsia="宋体" w:cs="Times New Roman"/>
                <w:color w:val="auto"/>
                <w:kern w:val="0"/>
                <w:sz w:val="21"/>
                <w:szCs w:val="21"/>
                <w:lang w:eastAsia="zh-CN"/>
              </w:rPr>
              <w:t>硫化氢和臭气浓度</w:t>
            </w:r>
          </w:p>
        </w:tc>
        <w:tc>
          <w:tcPr>
            <w:tcW w:w="1362" w:type="pct"/>
            <w:tcBorders>
              <w:tl2br w:val="nil"/>
              <w:tr2bl w:val="nil"/>
            </w:tcBorders>
            <w:shd w:val="clear" w:color="auto" w:fill="auto"/>
            <w:vAlign w:val="center"/>
          </w:tcPr>
          <w:p w14:paraId="724875F7">
            <w:pPr>
              <w:keepNext w:val="0"/>
              <w:keepLines w:val="0"/>
              <w:pageBreakBefore w:val="0"/>
              <w:kinsoku/>
              <w:overflowPunct/>
              <w:topLinePunct w:val="0"/>
              <w:bidi w:val="0"/>
              <w:snapToGrid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密闭车间</w:t>
            </w:r>
            <w:r>
              <w:rPr>
                <w:rFonts w:hint="eastAsia" w:cs="Times New Roman"/>
                <w:color w:val="auto"/>
                <w:sz w:val="21"/>
                <w:szCs w:val="21"/>
                <w:lang w:val="en-US" w:eastAsia="zh-CN"/>
              </w:rPr>
              <w:t>/管道</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二级活性炭吸附装置</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15</w:t>
            </w:r>
            <w:r>
              <w:rPr>
                <w:rFonts w:hint="default" w:ascii="Times New Roman" w:hAnsi="Times New Roman" w:eastAsia="宋体" w:cs="Times New Roman"/>
                <w:color w:val="auto"/>
                <w:sz w:val="21"/>
                <w:szCs w:val="21"/>
              </w:rPr>
              <w:t>米</w:t>
            </w:r>
            <w:r>
              <w:rPr>
                <w:rFonts w:hint="default" w:ascii="Times New Roman" w:hAnsi="Times New Roman" w:eastAsia="宋体" w:cs="Times New Roman"/>
                <w:color w:val="auto"/>
                <w:sz w:val="21"/>
                <w:szCs w:val="21"/>
                <w:lang w:eastAsia="zh-CN"/>
              </w:rPr>
              <w:t>高</w:t>
            </w:r>
            <w:r>
              <w:rPr>
                <w:rFonts w:hint="default" w:ascii="Times New Roman" w:hAnsi="Times New Roman" w:eastAsia="宋体" w:cs="Times New Roman"/>
                <w:color w:val="auto"/>
                <w:sz w:val="21"/>
                <w:szCs w:val="21"/>
              </w:rPr>
              <w:t>排气筒（DA00</w:t>
            </w:r>
            <w:r>
              <w:rPr>
                <w:rFonts w:hint="eastAsia" w:cs="Times New Roman"/>
                <w:color w:val="auto"/>
                <w:sz w:val="21"/>
                <w:szCs w:val="21"/>
                <w:lang w:val="en-US" w:eastAsia="zh-CN"/>
              </w:rPr>
              <w:t>9</w:t>
            </w:r>
            <w:r>
              <w:rPr>
                <w:rFonts w:hint="default" w:ascii="Times New Roman" w:hAnsi="Times New Roman" w:eastAsia="宋体" w:cs="Times New Roman"/>
                <w:color w:val="auto"/>
                <w:sz w:val="21"/>
                <w:szCs w:val="21"/>
              </w:rPr>
              <w:t>）排放</w:t>
            </w:r>
          </w:p>
        </w:tc>
        <w:tc>
          <w:tcPr>
            <w:tcW w:w="1300" w:type="pct"/>
            <w:tcBorders>
              <w:tl2br w:val="nil"/>
              <w:tr2bl w:val="nil"/>
            </w:tcBorders>
            <w:shd w:val="clear" w:color="auto" w:fill="auto"/>
            <w:vAlign w:val="center"/>
          </w:tcPr>
          <w:p w14:paraId="6147D1E0">
            <w:pPr>
              <w:keepNext w:val="0"/>
              <w:keepLines w:val="0"/>
              <w:pageBreakBefore w:val="0"/>
              <w:kinsoku/>
              <w:wordWrap w:val="0"/>
              <w:overflowPunct/>
              <w:topLinePunct w:val="0"/>
              <w:bidi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《橡胶制品工业污染物排放标准》（GB27632-2011）</w:t>
            </w:r>
            <w:r>
              <w:rPr>
                <w:rFonts w:hint="default" w:ascii="Times New Roman" w:hAnsi="Times New Roman" w:eastAsia="宋体" w:cs="Times New Roman"/>
                <w:color w:val="auto"/>
                <w:sz w:val="21"/>
                <w:szCs w:val="21"/>
              </w:rPr>
              <w:t>、《恶臭污染物排放标准》（GB14554-93）</w:t>
            </w:r>
          </w:p>
        </w:tc>
      </w:tr>
      <w:tr w14:paraId="1D5A52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610566F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322" w:type="pct"/>
            <w:vMerge w:val="restart"/>
            <w:tcBorders>
              <w:tl2br w:val="nil"/>
              <w:tr2bl w:val="nil"/>
            </w:tcBorders>
            <w:vAlign w:val="center"/>
          </w:tcPr>
          <w:p w14:paraId="70C9CC9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无组织废气</w:t>
            </w:r>
          </w:p>
        </w:tc>
        <w:tc>
          <w:tcPr>
            <w:tcW w:w="451" w:type="pct"/>
            <w:tcBorders>
              <w:tl2br w:val="nil"/>
              <w:tr2bl w:val="nil"/>
            </w:tcBorders>
            <w:vAlign w:val="center"/>
          </w:tcPr>
          <w:p w14:paraId="509AC86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厂界内</w:t>
            </w:r>
          </w:p>
        </w:tc>
        <w:tc>
          <w:tcPr>
            <w:tcW w:w="918" w:type="pct"/>
            <w:tcBorders>
              <w:tl2br w:val="nil"/>
              <w:tr2bl w:val="nil"/>
            </w:tcBorders>
            <w:vAlign w:val="center"/>
          </w:tcPr>
          <w:p w14:paraId="476514A8">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eastAsia" w:cs="Times New Roman"/>
                <w:color w:val="auto"/>
                <w:kern w:val="0"/>
                <w:sz w:val="21"/>
                <w:szCs w:val="21"/>
                <w:lang w:val="en-US" w:eastAsia="zh-CN"/>
              </w:rPr>
              <w:t>挥发性有机物</w:t>
            </w:r>
          </w:p>
        </w:tc>
        <w:tc>
          <w:tcPr>
            <w:tcW w:w="1362" w:type="pct"/>
            <w:tcBorders>
              <w:tl2br w:val="nil"/>
              <w:tr2bl w:val="nil"/>
            </w:tcBorders>
            <w:vAlign w:val="center"/>
          </w:tcPr>
          <w:p w14:paraId="5B1BD2EF">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加强通风等</w:t>
            </w:r>
          </w:p>
        </w:tc>
        <w:tc>
          <w:tcPr>
            <w:tcW w:w="1300" w:type="pct"/>
            <w:tcBorders>
              <w:tl2br w:val="nil"/>
              <w:tr2bl w:val="nil"/>
            </w:tcBorders>
            <w:vAlign w:val="center"/>
          </w:tcPr>
          <w:p w14:paraId="03F9AE6E">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Cs/>
                <w:color w:val="auto"/>
                <w:sz w:val="21"/>
                <w:szCs w:val="21"/>
              </w:rPr>
              <w:t>《大气污染物综合排放标准》（DB32/4041-2021）</w:t>
            </w:r>
          </w:p>
        </w:tc>
      </w:tr>
      <w:tr w14:paraId="664003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0B10D3C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322" w:type="pct"/>
            <w:vMerge w:val="continue"/>
            <w:tcBorders>
              <w:tl2br w:val="nil"/>
              <w:tr2bl w:val="nil"/>
            </w:tcBorders>
            <w:vAlign w:val="center"/>
          </w:tcPr>
          <w:p w14:paraId="2E770B47">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451" w:type="pct"/>
            <w:tcBorders>
              <w:tl2br w:val="nil"/>
              <w:tr2bl w:val="nil"/>
            </w:tcBorders>
            <w:vAlign w:val="center"/>
          </w:tcPr>
          <w:p w14:paraId="68804E1C">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厂界外</w:t>
            </w:r>
          </w:p>
        </w:tc>
        <w:tc>
          <w:tcPr>
            <w:tcW w:w="918" w:type="pct"/>
            <w:tcBorders>
              <w:tl2br w:val="nil"/>
              <w:tr2bl w:val="nil"/>
            </w:tcBorders>
            <w:vAlign w:val="center"/>
          </w:tcPr>
          <w:p w14:paraId="49BC8BA3">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颗粒物、</w:t>
            </w:r>
            <w:r>
              <w:rPr>
                <w:rFonts w:hint="eastAsia" w:cs="Times New Roman"/>
                <w:color w:val="auto"/>
                <w:kern w:val="0"/>
                <w:sz w:val="21"/>
                <w:szCs w:val="21"/>
                <w:lang w:val="en-US" w:eastAsia="zh-CN"/>
              </w:rPr>
              <w:t>挥发性有机物</w:t>
            </w:r>
            <w:r>
              <w:rPr>
                <w:rFonts w:hint="default" w:ascii="Times New Roman" w:hAnsi="Times New Roman" w:eastAsia="宋体" w:cs="Times New Roman"/>
                <w:color w:val="auto"/>
                <w:kern w:val="0"/>
                <w:sz w:val="21"/>
                <w:szCs w:val="21"/>
              </w:rPr>
              <w:t>、</w:t>
            </w:r>
            <w:r>
              <w:rPr>
                <w:rFonts w:hint="eastAsia" w:cs="Times New Roman"/>
                <w:color w:val="auto"/>
                <w:kern w:val="0"/>
                <w:sz w:val="21"/>
                <w:szCs w:val="21"/>
                <w:lang w:eastAsia="zh-CN"/>
              </w:rPr>
              <w:t>乙醇、甲苯、</w:t>
            </w:r>
            <w:r>
              <w:rPr>
                <w:rFonts w:hint="eastAsia" w:ascii="Times New Roman" w:hAnsi="Times New Roman" w:cs="Times New Roman"/>
                <w:color w:val="auto"/>
                <w:kern w:val="0"/>
                <w:sz w:val="21"/>
                <w:szCs w:val="21"/>
                <w:lang w:eastAsia="zh-CN"/>
              </w:rPr>
              <w:t>二甲苯</w:t>
            </w:r>
            <w:r>
              <w:rPr>
                <w:rFonts w:hint="default" w:ascii="Times New Roman" w:hAnsi="Times New Roman" w:eastAsia="宋体" w:cs="Times New Roman"/>
                <w:color w:val="auto"/>
                <w:kern w:val="0"/>
                <w:sz w:val="21"/>
                <w:szCs w:val="21"/>
              </w:rPr>
              <w:t>、</w:t>
            </w:r>
            <w:r>
              <w:rPr>
                <w:rFonts w:hint="eastAsia" w:ascii="Times New Roman" w:hAnsi="Times New Roman" w:cs="Times New Roman"/>
                <w:color w:val="auto"/>
                <w:kern w:val="0"/>
                <w:sz w:val="21"/>
                <w:szCs w:val="21"/>
                <w:lang w:eastAsia="zh-CN"/>
              </w:rPr>
              <w:t>硫化氢和</w:t>
            </w:r>
            <w:r>
              <w:rPr>
                <w:rFonts w:hint="default" w:ascii="Times New Roman" w:hAnsi="Times New Roman" w:eastAsia="宋体" w:cs="Times New Roman"/>
                <w:color w:val="auto"/>
                <w:kern w:val="0"/>
                <w:sz w:val="21"/>
                <w:szCs w:val="21"/>
              </w:rPr>
              <w:t>臭气浓度</w:t>
            </w:r>
          </w:p>
        </w:tc>
        <w:tc>
          <w:tcPr>
            <w:tcW w:w="1362" w:type="pct"/>
            <w:tcBorders>
              <w:tl2br w:val="nil"/>
              <w:tr2bl w:val="nil"/>
            </w:tcBorders>
            <w:vAlign w:val="center"/>
          </w:tcPr>
          <w:p w14:paraId="3739811C">
            <w:pPr>
              <w:keepNext w:val="0"/>
              <w:keepLines w:val="0"/>
              <w:pageBreakBefore w:val="0"/>
              <w:kinsoku/>
              <w:overflowPunct/>
              <w:topLinePunct w:val="0"/>
              <w:bidi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加强管理，以</w:t>
            </w:r>
            <w:r>
              <w:rPr>
                <w:rFonts w:hint="default" w:ascii="Times New Roman" w:hAnsi="Times New Roman" w:eastAsia="宋体" w:cs="Times New Roman"/>
                <w:color w:val="auto"/>
                <w:sz w:val="21"/>
                <w:szCs w:val="21"/>
                <w:lang w:val="en-US" w:eastAsia="zh-CN"/>
              </w:rPr>
              <w:t>混炼、硫化车间</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喷涂、加热车间</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涂胶和平板硫化车间</w:t>
            </w:r>
            <w:r>
              <w:rPr>
                <w:rFonts w:hint="default" w:ascii="Times New Roman" w:hAnsi="Times New Roman" w:eastAsia="宋体" w:cs="Times New Roman"/>
                <w:color w:val="auto"/>
                <w:sz w:val="21"/>
                <w:szCs w:val="21"/>
              </w:rPr>
              <w:t>边界设置100米卫生防护距离</w:t>
            </w:r>
            <w:r>
              <w:rPr>
                <w:rFonts w:hint="default" w:ascii="Times New Roman" w:hAnsi="Times New Roman" w:eastAsia="宋体" w:cs="Times New Roman"/>
                <w:color w:val="auto"/>
                <w:sz w:val="21"/>
                <w:szCs w:val="21"/>
                <w:lang w:eastAsia="zh-CN"/>
              </w:rPr>
              <w:t>，以</w:t>
            </w:r>
            <w:r>
              <w:rPr>
                <w:rFonts w:hint="default" w:ascii="Times New Roman" w:hAnsi="Times New Roman" w:eastAsia="宋体" w:cs="Times New Roman"/>
                <w:color w:val="auto"/>
                <w:sz w:val="21"/>
                <w:szCs w:val="21"/>
                <w:lang w:val="en-US" w:eastAsia="zh-CN"/>
              </w:rPr>
              <w:t>精磨、细磨车间边界设置50米卫生防护距离</w:t>
            </w:r>
          </w:p>
        </w:tc>
        <w:tc>
          <w:tcPr>
            <w:tcW w:w="1300" w:type="pct"/>
            <w:tcBorders>
              <w:tl2br w:val="nil"/>
              <w:tr2bl w:val="nil"/>
            </w:tcBorders>
            <w:vAlign w:val="center"/>
          </w:tcPr>
          <w:p w14:paraId="026D0AC9">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lang w:val="en-US" w:eastAsia="zh-CN"/>
              </w:rPr>
              <w:t>《橡胶制品工业污染物排放标准》（GB27632-2011）</w:t>
            </w:r>
            <w:r>
              <w:rPr>
                <w:rFonts w:hint="default" w:ascii="Times New Roman" w:hAnsi="Times New Roman" w:eastAsia="宋体" w:cs="Times New Roman"/>
                <w:bCs/>
                <w:color w:val="auto"/>
                <w:sz w:val="21"/>
                <w:szCs w:val="21"/>
              </w:rPr>
              <w:t>、《恶臭污染物排放标准》（GB14554-93）</w:t>
            </w:r>
          </w:p>
        </w:tc>
      </w:tr>
      <w:tr w14:paraId="4EE043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088AF68E">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地表水环境</w:t>
            </w:r>
          </w:p>
        </w:tc>
        <w:tc>
          <w:tcPr>
            <w:tcW w:w="773" w:type="pct"/>
            <w:gridSpan w:val="2"/>
            <w:tcBorders>
              <w:tl2br w:val="nil"/>
              <w:tr2bl w:val="nil"/>
            </w:tcBorders>
            <w:vAlign w:val="center"/>
          </w:tcPr>
          <w:p w14:paraId="44E080CA">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w:t>
            </w:r>
          </w:p>
        </w:tc>
        <w:tc>
          <w:tcPr>
            <w:tcW w:w="918" w:type="pct"/>
            <w:tcBorders>
              <w:tl2br w:val="nil"/>
              <w:tr2bl w:val="nil"/>
            </w:tcBorders>
            <w:vAlign w:val="center"/>
          </w:tcPr>
          <w:p w14:paraId="2BF3200B">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COD、SS、TN、 NH</w:t>
            </w:r>
            <w:r>
              <w:rPr>
                <w:rFonts w:hint="default" w:ascii="Times New Roman" w:hAnsi="Times New Roman" w:eastAsia="宋体" w:cs="Times New Roman"/>
                <w:color w:val="auto"/>
                <w:sz w:val="21"/>
                <w:szCs w:val="21"/>
                <w:vertAlign w:val="subscript"/>
              </w:rPr>
              <w:t>3</w:t>
            </w:r>
            <w:r>
              <w:rPr>
                <w:rFonts w:hint="default" w:ascii="Times New Roman" w:hAnsi="Times New Roman" w:eastAsia="宋体" w:cs="Times New Roman"/>
                <w:color w:val="auto"/>
                <w:sz w:val="21"/>
                <w:szCs w:val="21"/>
              </w:rPr>
              <w:t>-N、TP</w:t>
            </w:r>
          </w:p>
        </w:tc>
        <w:tc>
          <w:tcPr>
            <w:tcW w:w="1362" w:type="pct"/>
            <w:tcBorders>
              <w:tl2br w:val="nil"/>
              <w:tr2bl w:val="nil"/>
            </w:tcBorders>
            <w:vAlign w:val="center"/>
          </w:tcPr>
          <w:p w14:paraId="086770A6">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三格式化粪池</w:t>
            </w:r>
          </w:p>
        </w:tc>
        <w:tc>
          <w:tcPr>
            <w:tcW w:w="1300" w:type="pct"/>
            <w:tcBorders>
              <w:tl2br w:val="nil"/>
              <w:tr2bl w:val="nil"/>
            </w:tcBorders>
            <w:vAlign w:val="center"/>
          </w:tcPr>
          <w:p w14:paraId="6E3E23E7">
            <w:pPr>
              <w:keepNext w:val="0"/>
              <w:keepLines w:val="0"/>
              <w:pageBreakBefore w:val="0"/>
              <w:kinsoku/>
              <w:overflowPunct/>
              <w:topLinePunct w:val="0"/>
              <w:bidi w:val="0"/>
              <w:spacing w:line="360" w:lineRule="atLeast"/>
              <w:ind w:left="0" w:right="0"/>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徐溜镇污水处理厂</w:t>
            </w:r>
          </w:p>
        </w:tc>
      </w:tr>
      <w:tr w14:paraId="627D5E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4EAAFD0F">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声环境</w:t>
            </w:r>
          </w:p>
        </w:tc>
        <w:tc>
          <w:tcPr>
            <w:tcW w:w="773" w:type="pct"/>
            <w:gridSpan w:val="2"/>
            <w:tcBorders>
              <w:tl2br w:val="nil"/>
              <w:tr2bl w:val="nil"/>
            </w:tcBorders>
            <w:vAlign w:val="center"/>
          </w:tcPr>
          <w:p w14:paraId="59D673CA">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生产设备、辅 助设施等</w:t>
            </w:r>
          </w:p>
        </w:tc>
        <w:tc>
          <w:tcPr>
            <w:tcW w:w="918" w:type="pct"/>
            <w:tcBorders>
              <w:tl2br w:val="nil"/>
              <w:tr2bl w:val="nil"/>
            </w:tcBorders>
            <w:vAlign w:val="center"/>
          </w:tcPr>
          <w:p w14:paraId="3A4D983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1362" w:type="pct"/>
            <w:tcBorders>
              <w:tl2br w:val="nil"/>
              <w:tr2bl w:val="nil"/>
            </w:tcBorders>
            <w:vAlign w:val="center"/>
          </w:tcPr>
          <w:p w14:paraId="38B73A1D">
            <w:pPr>
              <w:keepNext w:val="0"/>
              <w:keepLines w:val="0"/>
              <w:pageBreakBefore w:val="0"/>
              <w:kinsoku/>
              <w:overflowPunct/>
              <w:topLinePunct w:val="0"/>
              <w:bidi w:val="0"/>
              <w:adjustRightInd w:val="0"/>
              <w:snapToGrid w:val="0"/>
              <w:spacing w:line="360" w:lineRule="atLeast"/>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优化平面布局，选用低噪声设备、基础减振，车间墙体、门窗隔声，加强绿化</w:t>
            </w:r>
          </w:p>
        </w:tc>
        <w:tc>
          <w:tcPr>
            <w:tcW w:w="1300" w:type="pct"/>
            <w:tcBorders>
              <w:tl2br w:val="nil"/>
              <w:tr2bl w:val="nil"/>
            </w:tcBorders>
            <w:vAlign w:val="center"/>
          </w:tcPr>
          <w:p w14:paraId="0ABACC50">
            <w:pPr>
              <w:keepNext w:val="0"/>
              <w:keepLines w:val="0"/>
              <w:pageBreakBefore w:val="0"/>
              <w:kinsoku/>
              <w:wordWrap w:val="0"/>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《工业企业厂界环境噪声排放标准》（GB12348-2008）的</w:t>
            </w:r>
            <w:r>
              <w:rPr>
                <w:rFonts w:hint="eastAsia" w:ascii="Times New Roman" w:hAnsi="Times New Roman" w:cs="Times New Roman"/>
                <w:color w:val="auto"/>
                <w:sz w:val="21"/>
                <w:szCs w:val="21"/>
                <w:lang w:val="en-US" w:eastAsia="zh-CN"/>
              </w:rPr>
              <w:t>3</w:t>
            </w:r>
            <w:r>
              <w:rPr>
                <w:rFonts w:hint="default" w:ascii="Times New Roman" w:hAnsi="Times New Roman" w:eastAsia="宋体" w:cs="Times New Roman"/>
                <w:color w:val="auto"/>
                <w:sz w:val="21"/>
                <w:szCs w:val="21"/>
              </w:rPr>
              <w:t>类标准</w:t>
            </w:r>
          </w:p>
        </w:tc>
      </w:tr>
      <w:tr w14:paraId="111E16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031CA54A">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电磁辐射</w:t>
            </w:r>
          </w:p>
        </w:tc>
        <w:tc>
          <w:tcPr>
            <w:tcW w:w="4354" w:type="pct"/>
            <w:gridSpan w:val="5"/>
            <w:tcBorders>
              <w:tl2br w:val="nil"/>
              <w:tr2bl w:val="nil"/>
            </w:tcBorders>
            <w:vAlign w:val="center"/>
          </w:tcPr>
          <w:p w14:paraId="6D665140">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774806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restart"/>
            <w:tcBorders>
              <w:tl2br w:val="nil"/>
              <w:tr2bl w:val="nil"/>
            </w:tcBorders>
            <w:vAlign w:val="center"/>
          </w:tcPr>
          <w:p w14:paraId="0910D957">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固体废物</w:t>
            </w:r>
          </w:p>
        </w:tc>
        <w:tc>
          <w:tcPr>
            <w:tcW w:w="773" w:type="pct"/>
            <w:gridSpan w:val="2"/>
            <w:tcBorders>
              <w:tl2br w:val="nil"/>
              <w:tr2bl w:val="nil"/>
            </w:tcBorders>
            <w:vAlign w:val="center"/>
          </w:tcPr>
          <w:p w14:paraId="6F20686F">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危险废物</w:t>
            </w:r>
          </w:p>
          <w:p w14:paraId="74B0AF8B">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r>
              <w:rPr>
                <w:rFonts w:hint="eastAsia" w:ascii="Times New Roman" w:hAnsi="Times New Roman" w:cs="Times New Roman"/>
                <w:color w:val="auto"/>
                <w:sz w:val="21"/>
                <w:szCs w:val="21"/>
                <w:lang w:eastAsia="zh-CN"/>
              </w:rPr>
              <w:t>厂区西南</w:t>
            </w:r>
            <w:r>
              <w:rPr>
                <w:rFonts w:hint="default" w:ascii="Times New Roman" w:hAnsi="Times New Roman" w:eastAsia="宋体" w:cs="Times New Roman"/>
                <w:color w:val="auto"/>
                <w:sz w:val="21"/>
                <w:szCs w:val="21"/>
              </w:rPr>
              <w:t>角</w:t>
            </w:r>
            <w:r>
              <w:rPr>
                <w:rFonts w:hint="eastAsia" w:ascii="Times New Roman" w:hAnsi="Times New Roman" w:cs="Times New Roman"/>
                <w:color w:val="auto"/>
                <w:sz w:val="21"/>
                <w:szCs w:val="21"/>
                <w:lang w:val="en-US" w:eastAsia="zh-CN"/>
              </w:rPr>
              <w:t>17.5</w:t>
            </w:r>
            <w:r>
              <w:rPr>
                <w:rFonts w:hint="default" w:ascii="Times New Roman" w:hAnsi="Times New Roman" w:eastAsia="宋体" w:cs="Times New Roman"/>
                <w:color w:val="auto"/>
                <w:sz w:val="21"/>
                <w:szCs w:val="21"/>
              </w:rPr>
              <w:t>m</w:t>
            </w:r>
            <w:r>
              <w:rPr>
                <w:rFonts w:hint="default" w:ascii="Times New Roman" w:hAnsi="Times New Roman" w:eastAsia="宋体" w:cs="Times New Roman"/>
                <w:color w:val="auto"/>
                <w:sz w:val="21"/>
                <w:szCs w:val="21"/>
                <w:vertAlign w:val="superscript"/>
              </w:rPr>
              <w:t>2</w:t>
            </w:r>
            <w:r>
              <w:rPr>
                <w:rFonts w:hint="default" w:ascii="Times New Roman" w:hAnsi="Times New Roman" w:eastAsia="宋体" w:cs="Times New Roman"/>
                <w:color w:val="auto"/>
                <w:sz w:val="21"/>
                <w:szCs w:val="21"/>
              </w:rPr>
              <w:t>）</w:t>
            </w:r>
          </w:p>
        </w:tc>
        <w:tc>
          <w:tcPr>
            <w:tcW w:w="918" w:type="pct"/>
            <w:tcBorders>
              <w:tl2br w:val="nil"/>
              <w:tr2bl w:val="nil"/>
            </w:tcBorders>
            <w:shd w:val="clear" w:color="auto" w:fill="auto"/>
            <w:vAlign w:val="center"/>
          </w:tcPr>
          <w:p w14:paraId="502CC92F">
            <w:pPr>
              <w:keepNext w:val="0"/>
              <w:keepLines w:val="0"/>
              <w:pageBreakBefore w:val="0"/>
              <w:widowControl w:val="0"/>
              <w:kinsoku/>
              <w:wordWrap/>
              <w:overflowPunct/>
              <w:topLinePunct w:val="0"/>
              <w:autoSpaceDE w:val="0"/>
              <w:autoSpaceDN w:val="0"/>
              <w:bidi w:val="0"/>
              <w:adjustRightInd w:val="0"/>
              <w:snapToGrid/>
              <w:spacing w:line="360" w:lineRule="atLeast"/>
              <w:ind w:left="0" w:right="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olor w:val="auto"/>
                <w:lang w:val="en-US" w:eastAsia="zh-CN"/>
              </w:rPr>
              <w:t>废胶水、</w:t>
            </w:r>
            <w:r>
              <w:rPr>
                <w:rFonts w:hint="default" w:ascii="Times New Roman" w:hAnsi="Times New Roman" w:eastAsia="宋体" w:cs="Times New Roman"/>
                <w:b w:val="0"/>
                <w:bCs w:val="0"/>
                <w:color w:val="auto"/>
                <w:w w:val="100"/>
                <w:sz w:val="21"/>
                <w:szCs w:val="21"/>
                <w:lang w:val="en-US" w:eastAsia="zh-CN"/>
              </w:rPr>
              <w:t>废清洗液</w:t>
            </w:r>
            <w:r>
              <w:rPr>
                <w:rFonts w:hint="eastAsia" w:ascii="Times New Roman" w:hAnsi="Times New Roman" w:cs="Times New Roman"/>
                <w:b w:val="0"/>
                <w:bCs w:val="0"/>
                <w:color w:val="auto"/>
                <w:w w:val="100"/>
                <w:sz w:val="21"/>
                <w:szCs w:val="21"/>
                <w:lang w:val="en-US" w:eastAsia="zh-CN"/>
              </w:rPr>
              <w:t>、</w:t>
            </w:r>
            <w:r>
              <w:rPr>
                <w:rFonts w:hint="eastAsia" w:cs="Times New Roman"/>
                <w:b w:val="0"/>
                <w:bCs w:val="0"/>
                <w:color w:val="auto"/>
                <w:w w:val="100"/>
                <w:sz w:val="21"/>
                <w:szCs w:val="21"/>
                <w:highlight w:val="none"/>
                <w:lang w:val="en-US" w:eastAsia="zh-CN"/>
              </w:rPr>
              <w:t>废涂液</w:t>
            </w:r>
            <w:r>
              <w:rPr>
                <w:rFonts w:hint="eastAsia" w:ascii="Times New Roman" w:hAnsi="Times New Roman" w:cs="Times New Roman"/>
                <w:b w:val="0"/>
                <w:bCs w:val="0"/>
                <w:color w:val="auto"/>
                <w:w w:val="100"/>
                <w:sz w:val="21"/>
                <w:szCs w:val="21"/>
                <w:highlight w:val="none"/>
                <w:lang w:val="en-US" w:eastAsia="zh-CN"/>
              </w:rPr>
              <w:t>、</w:t>
            </w:r>
            <w:r>
              <w:rPr>
                <w:rFonts w:hint="default" w:ascii="Times New Roman" w:hAnsi="Times New Roman" w:eastAsia="宋体" w:cs="Times New Roman"/>
                <w:b w:val="0"/>
                <w:bCs w:val="0"/>
                <w:color w:val="auto"/>
                <w:kern w:val="2"/>
                <w:sz w:val="21"/>
                <w:szCs w:val="21"/>
                <w:lang w:val="en-US" w:eastAsia="zh-CN" w:bidi="ar-SA"/>
              </w:rPr>
              <w:t>废渣</w:t>
            </w:r>
            <w:r>
              <w:rPr>
                <w:rFonts w:hint="eastAsia" w:ascii="Times New Roman" w:hAnsi="Times New Roman" w:cs="Times New Roman"/>
                <w:b w:val="0"/>
                <w:bCs w:val="0"/>
                <w:color w:val="auto"/>
                <w:kern w:val="2"/>
                <w:sz w:val="21"/>
                <w:szCs w:val="21"/>
                <w:lang w:val="en-US" w:eastAsia="zh-CN" w:bidi="ar-SA"/>
              </w:rPr>
              <w:t>、</w:t>
            </w:r>
            <w:r>
              <w:rPr>
                <w:rFonts w:hint="default" w:ascii="Times New Roman" w:hAnsi="Times New Roman" w:eastAsia="宋体" w:cs="Times New Roman"/>
                <w:b w:val="0"/>
                <w:bCs w:val="0"/>
                <w:color w:val="auto"/>
                <w:sz w:val="21"/>
                <w:szCs w:val="21"/>
                <w:lang w:val="en-US" w:eastAsia="zh-CN" w:bidi="ar-SA"/>
              </w:rPr>
              <w:t>废活性炭</w:t>
            </w:r>
            <w:r>
              <w:rPr>
                <w:rFonts w:hint="eastAsia" w:ascii="Times New Roman" w:hAnsi="Times New Roman" w:cs="Times New Roman"/>
                <w:b w:val="0"/>
                <w:bCs w:val="0"/>
                <w:color w:val="auto"/>
                <w:sz w:val="21"/>
                <w:szCs w:val="21"/>
                <w:lang w:val="en-US" w:eastAsia="zh-CN" w:bidi="ar-SA"/>
              </w:rPr>
              <w:t>、</w:t>
            </w:r>
            <w:r>
              <w:rPr>
                <w:rFonts w:hint="default" w:ascii="Times New Roman" w:hAnsi="Times New Roman" w:eastAsia="宋体" w:cs="Times New Roman"/>
                <w:b w:val="0"/>
                <w:bCs w:val="0"/>
                <w:color w:val="auto"/>
                <w:kern w:val="2"/>
                <w:sz w:val="21"/>
                <w:szCs w:val="21"/>
                <w:lang w:val="en-US" w:eastAsia="zh-CN" w:bidi="ar-SA"/>
              </w:rPr>
              <w:t>水喷淋废水</w:t>
            </w:r>
            <w:r>
              <w:rPr>
                <w:rFonts w:hint="eastAsia" w:ascii="Times New Roman" w:hAnsi="Times New Roman" w:cs="Times New Roman"/>
                <w:b w:val="0"/>
                <w:bCs w:val="0"/>
                <w:color w:val="auto"/>
                <w:kern w:val="2"/>
                <w:sz w:val="21"/>
                <w:szCs w:val="21"/>
                <w:lang w:val="en-US" w:eastAsia="zh-CN" w:bidi="ar-SA"/>
              </w:rPr>
              <w:t>、</w:t>
            </w:r>
            <w:r>
              <w:rPr>
                <w:rFonts w:hint="default" w:ascii="Times New Roman" w:hAnsi="Times New Roman" w:eastAsia="宋体" w:cs="Times New Roman"/>
                <w:b w:val="0"/>
                <w:bCs w:val="0"/>
                <w:color w:val="auto"/>
                <w:sz w:val="21"/>
                <w:szCs w:val="21"/>
                <w:lang w:val="en-US" w:eastAsia="zh-CN" w:bidi="ar-SA"/>
              </w:rPr>
              <w:t>废机油</w:t>
            </w:r>
            <w:r>
              <w:rPr>
                <w:rFonts w:hint="eastAsia" w:ascii="Times New Roman" w:hAnsi="Times New Roman" w:cs="Times New Roman"/>
                <w:b w:val="0"/>
                <w:bCs w:val="0"/>
                <w:color w:val="auto"/>
                <w:sz w:val="21"/>
                <w:szCs w:val="21"/>
                <w:lang w:val="en-US" w:eastAsia="zh-CN" w:bidi="ar-SA"/>
              </w:rPr>
              <w:t>、</w:t>
            </w:r>
            <w:r>
              <w:rPr>
                <w:rFonts w:hint="default" w:ascii="Times New Roman" w:hAnsi="Times New Roman" w:eastAsia="宋体" w:cs="Times New Roman"/>
                <w:b w:val="0"/>
                <w:bCs w:val="0"/>
                <w:color w:val="auto"/>
                <w:sz w:val="21"/>
                <w:szCs w:val="21"/>
                <w:lang w:val="en-US" w:eastAsia="zh-CN" w:bidi="ar-SA"/>
              </w:rPr>
              <w:t>废</w:t>
            </w:r>
            <w:r>
              <w:rPr>
                <w:rFonts w:hint="eastAsia" w:ascii="Times New Roman" w:hAnsi="Times New Roman" w:eastAsia="宋体" w:cs="Times New Roman"/>
                <w:b w:val="0"/>
                <w:bCs w:val="0"/>
                <w:color w:val="auto"/>
                <w:sz w:val="21"/>
                <w:szCs w:val="21"/>
                <w:lang w:val="en-US" w:eastAsia="zh-CN" w:bidi="ar-SA"/>
              </w:rPr>
              <w:t>油</w:t>
            </w:r>
            <w:r>
              <w:rPr>
                <w:rFonts w:hint="default" w:ascii="Times New Roman" w:hAnsi="Times New Roman" w:eastAsia="宋体" w:cs="Times New Roman"/>
                <w:b w:val="0"/>
                <w:bCs w:val="0"/>
                <w:color w:val="auto"/>
                <w:sz w:val="21"/>
                <w:szCs w:val="21"/>
                <w:lang w:val="en-US" w:eastAsia="zh-CN" w:bidi="ar-SA"/>
              </w:rPr>
              <w:t>桶</w:t>
            </w:r>
            <w:r>
              <w:rPr>
                <w:rFonts w:hint="eastAsia" w:ascii="Times New Roman" w:hAnsi="Times New Roman" w:cs="Times New Roman"/>
                <w:b w:val="0"/>
                <w:bCs w:val="0"/>
                <w:color w:val="auto"/>
                <w:sz w:val="21"/>
                <w:szCs w:val="21"/>
                <w:lang w:val="en-US" w:eastAsia="zh-CN" w:bidi="ar-SA"/>
              </w:rPr>
              <w:t>、</w:t>
            </w:r>
            <w:r>
              <w:rPr>
                <w:rFonts w:hint="eastAsia" w:cs="Times New Roman"/>
                <w:b w:val="0"/>
                <w:bCs w:val="0"/>
                <w:color w:val="auto"/>
                <w:sz w:val="21"/>
                <w:szCs w:val="21"/>
                <w:lang w:val="en-US" w:eastAsia="zh-CN" w:bidi="ar-SA"/>
              </w:rPr>
              <w:t>废桶和</w:t>
            </w:r>
            <w:r>
              <w:rPr>
                <w:rFonts w:hint="default" w:ascii="Times New Roman" w:hAnsi="Times New Roman" w:eastAsia="宋体" w:cs="Times New Roman"/>
                <w:b w:val="0"/>
                <w:bCs w:val="0"/>
                <w:color w:val="auto"/>
                <w:w w:val="100"/>
                <w:sz w:val="21"/>
                <w:szCs w:val="21"/>
                <w:highlight w:val="none"/>
                <w:lang w:val="en-US" w:eastAsia="zh-CN"/>
              </w:rPr>
              <w:t>废导热油</w:t>
            </w:r>
            <w:r>
              <w:rPr>
                <w:rFonts w:hint="eastAsia" w:cs="Times New Roman"/>
                <w:b w:val="0"/>
                <w:bCs w:val="0"/>
                <w:color w:val="auto"/>
                <w:w w:val="100"/>
                <w:sz w:val="21"/>
                <w:szCs w:val="21"/>
                <w:highlight w:val="none"/>
                <w:lang w:val="en-US" w:eastAsia="zh-CN"/>
              </w:rPr>
              <w:t>等</w:t>
            </w:r>
          </w:p>
        </w:tc>
        <w:tc>
          <w:tcPr>
            <w:tcW w:w="1362" w:type="pct"/>
            <w:tcBorders>
              <w:tl2br w:val="nil"/>
              <w:tr2bl w:val="nil"/>
            </w:tcBorders>
            <w:vAlign w:val="center"/>
          </w:tcPr>
          <w:p w14:paraId="75486397">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定期委托有资质单位安全处置并严格执行转移联单制度</w:t>
            </w:r>
          </w:p>
        </w:tc>
        <w:tc>
          <w:tcPr>
            <w:tcW w:w="1300" w:type="pct"/>
            <w:tcBorders>
              <w:tl2br w:val="nil"/>
              <w:tr2bl w:val="nil"/>
            </w:tcBorders>
            <w:vAlign w:val="center"/>
          </w:tcPr>
          <w:p w14:paraId="04F23C65">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满足《危险废物贮存污染控制标准》（GB18597-2023）要求</w:t>
            </w:r>
          </w:p>
        </w:tc>
      </w:tr>
      <w:tr w14:paraId="7A64E7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3C24EFF0">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tcBorders>
              <w:tl2br w:val="nil"/>
              <w:tr2bl w:val="nil"/>
            </w:tcBorders>
            <w:vAlign w:val="center"/>
          </w:tcPr>
          <w:p w14:paraId="0B80F181">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一般工业固废（</w:t>
            </w:r>
            <w:r>
              <w:rPr>
                <w:rFonts w:hint="eastAsia" w:ascii="Times New Roman" w:hAnsi="Times New Roman" w:cs="Times New Roman"/>
                <w:color w:val="auto"/>
                <w:sz w:val="21"/>
                <w:szCs w:val="21"/>
                <w:lang w:eastAsia="zh-CN"/>
              </w:rPr>
              <w:t>厂区西北</w:t>
            </w:r>
            <w:r>
              <w:rPr>
                <w:rFonts w:hint="default" w:ascii="Times New Roman" w:hAnsi="Times New Roman" w:eastAsia="宋体" w:cs="Times New Roman"/>
                <w:color w:val="auto"/>
                <w:sz w:val="21"/>
                <w:szCs w:val="21"/>
              </w:rPr>
              <w:t>角</w:t>
            </w:r>
            <w:r>
              <w:rPr>
                <w:rFonts w:hint="eastAsia" w:ascii="Times New Roman" w:hAnsi="Times New Roman" w:cs="Times New Roman"/>
                <w:color w:val="auto"/>
                <w:sz w:val="21"/>
                <w:szCs w:val="21"/>
                <w:lang w:val="en-US" w:eastAsia="zh-CN"/>
              </w:rPr>
              <w:t>100</w:t>
            </w:r>
            <w:r>
              <w:rPr>
                <w:rFonts w:hint="default" w:ascii="Times New Roman" w:hAnsi="Times New Roman" w:eastAsia="宋体" w:cs="Times New Roman"/>
                <w:color w:val="auto"/>
                <w:sz w:val="21"/>
                <w:szCs w:val="21"/>
              </w:rPr>
              <w:t>m</w:t>
            </w:r>
            <w:r>
              <w:rPr>
                <w:rFonts w:hint="default" w:ascii="Times New Roman" w:hAnsi="Times New Roman" w:eastAsia="宋体" w:cs="Times New Roman"/>
                <w:color w:val="auto"/>
                <w:sz w:val="21"/>
                <w:szCs w:val="21"/>
                <w:vertAlign w:val="superscript"/>
              </w:rPr>
              <w:t>2</w:t>
            </w:r>
            <w:r>
              <w:rPr>
                <w:rFonts w:hint="default" w:ascii="Times New Roman" w:hAnsi="Times New Roman" w:eastAsia="宋体" w:cs="Times New Roman"/>
                <w:color w:val="auto"/>
                <w:sz w:val="21"/>
                <w:szCs w:val="21"/>
              </w:rPr>
              <w:t>）</w:t>
            </w:r>
          </w:p>
        </w:tc>
        <w:tc>
          <w:tcPr>
            <w:tcW w:w="918" w:type="pct"/>
            <w:tcBorders>
              <w:tl2br w:val="nil"/>
              <w:tr2bl w:val="nil"/>
            </w:tcBorders>
            <w:vAlign w:val="center"/>
          </w:tcPr>
          <w:p w14:paraId="24A12A25">
            <w:pPr>
              <w:keepNext w:val="0"/>
              <w:keepLines w:val="0"/>
              <w:pageBreakBefore w:val="0"/>
              <w:kinsoku/>
              <w:overflowPunct/>
              <w:topLinePunct w:val="0"/>
              <w:bidi w:val="0"/>
              <w:spacing w:line="360" w:lineRule="atLeast"/>
              <w:ind w:left="0" w:right="0"/>
              <w:jc w:val="center"/>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杂质</w:t>
            </w:r>
            <w:r>
              <w:rPr>
                <w:rFonts w:hint="eastAsia" w:ascii="Times New Roman" w:hAnsi="Times New Roman" w:cs="Times New Roman"/>
                <w:color w:val="auto"/>
                <w:sz w:val="21"/>
                <w:szCs w:val="21"/>
                <w:lang w:eastAsia="zh-CN"/>
              </w:rPr>
              <w:t>、</w:t>
            </w:r>
            <w:r>
              <w:rPr>
                <w:rFonts w:hint="eastAsia"/>
                <w:color w:val="auto"/>
                <w:lang w:val="en-US" w:eastAsia="zh-CN"/>
              </w:rPr>
              <w:t>废布条、</w:t>
            </w:r>
            <w:r>
              <w:rPr>
                <w:rFonts w:hint="eastAsia" w:ascii="Times New Roman" w:hAnsi="Times New Roman" w:cs="Times New Roman"/>
                <w:color w:val="auto"/>
                <w:sz w:val="21"/>
                <w:szCs w:val="21"/>
                <w:lang w:val="en-US" w:eastAsia="zh-CN"/>
              </w:rPr>
              <w:t>废边角料、不合格产品、沉渣、除尘器收尘、废布袋和废包装物</w:t>
            </w:r>
            <w:r>
              <w:rPr>
                <w:rFonts w:hint="eastAsia" w:cs="Times New Roman"/>
                <w:color w:val="auto"/>
                <w:sz w:val="21"/>
                <w:szCs w:val="21"/>
                <w:lang w:val="en-US" w:eastAsia="zh-CN"/>
              </w:rPr>
              <w:t>等</w:t>
            </w:r>
          </w:p>
        </w:tc>
        <w:tc>
          <w:tcPr>
            <w:tcW w:w="1362" w:type="pct"/>
            <w:tcBorders>
              <w:tl2br w:val="nil"/>
              <w:tr2bl w:val="nil"/>
            </w:tcBorders>
            <w:vAlign w:val="center"/>
          </w:tcPr>
          <w:p w14:paraId="6D4C3B0F">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外售物资回收单位</w:t>
            </w:r>
          </w:p>
        </w:tc>
        <w:tc>
          <w:tcPr>
            <w:tcW w:w="1300" w:type="pct"/>
            <w:tcBorders>
              <w:tl2br w:val="nil"/>
              <w:tr2bl w:val="nil"/>
            </w:tcBorders>
            <w:vAlign w:val="center"/>
          </w:tcPr>
          <w:p w14:paraId="5D130D86">
            <w:pPr>
              <w:keepNext w:val="0"/>
              <w:keepLines w:val="0"/>
              <w:pageBreakBefore w:val="0"/>
              <w:widowControl w:val="0"/>
              <w:kinsoku/>
              <w:overflowPunct/>
              <w:topLinePunct w:val="0"/>
              <w:bidi w:val="0"/>
              <w:spacing w:before="0" w:beforeLines="0" w:after="0" w:afterLines="0" w:line="360" w:lineRule="atLeast"/>
              <w:ind w:left="0" w:right="0"/>
              <w:jc w:val="both"/>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满足《一般工业固体废物贮存和填埋污染控制标准》（GB18599-2020）的要求</w:t>
            </w:r>
          </w:p>
        </w:tc>
      </w:tr>
      <w:tr w14:paraId="4278B5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6DC0A6B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vMerge w:val="restart"/>
            <w:tcBorders>
              <w:tl2br w:val="nil"/>
              <w:tr2bl w:val="nil"/>
            </w:tcBorders>
            <w:vAlign w:val="center"/>
          </w:tcPr>
          <w:p w14:paraId="1B55CDC3">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生活垃圾</w:t>
            </w:r>
          </w:p>
        </w:tc>
        <w:tc>
          <w:tcPr>
            <w:tcW w:w="918" w:type="pct"/>
            <w:tcBorders>
              <w:tl2br w:val="nil"/>
              <w:tr2bl w:val="nil"/>
            </w:tcBorders>
            <w:vAlign w:val="center"/>
          </w:tcPr>
          <w:p w14:paraId="3A1A3406">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化粪池污泥</w:t>
            </w:r>
          </w:p>
        </w:tc>
        <w:tc>
          <w:tcPr>
            <w:tcW w:w="1362" w:type="pct"/>
            <w:vMerge w:val="restart"/>
            <w:tcBorders>
              <w:tl2br w:val="nil"/>
              <w:tr2bl w:val="nil"/>
            </w:tcBorders>
            <w:vAlign w:val="center"/>
          </w:tcPr>
          <w:p w14:paraId="06F03B9C">
            <w:pPr>
              <w:keepNext w:val="0"/>
              <w:keepLines w:val="0"/>
              <w:pageBreakBefore w:val="0"/>
              <w:kinsoku/>
              <w:overflowPunct/>
              <w:topLinePunct w:val="0"/>
              <w:bidi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环卫部门定期清运</w:t>
            </w:r>
          </w:p>
        </w:tc>
        <w:tc>
          <w:tcPr>
            <w:tcW w:w="1300" w:type="pct"/>
            <w:vMerge w:val="restart"/>
            <w:tcBorders>
              <w:tl2br w:val="nil"/>
              <w:tr2bl w:val="nil"/>
            </w:tcBorders>
            <w:vAlign w:val="center"/>
          </w:tcPr>
          <w:p w14:paraId="5AEC8644">
            <w:pPr>
              <w:keepNext w:val="0"/>
              <w:keepLines w:val="0"/>
              <w:pageBreakBefore w:val="0"/>
              <w:widowControl w:val="0"/>
              <w:kinsoku/>
              <w:overflowPunct/>
              <w:topLinePunct w:val="0"/>
              <w:bidi w:val="0"/>
              <w:adjustRightInd w:val="0"/>
              <w:snapToGrid w:val="0"/>
              <w:spacing w:before="0" w:beforeLines="0" w:after="0" w:afterLines="0"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合理处置</w:t>
            </w:r>
          </w:p>
        </w:tc>
      </w:tr>
      <w:tr w14:paraId="36BD02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vMerge w:val="continue"/>
            <w:tcBorders>
              <w:tl2br w:val="nil"/>
              <w:tr2bl w:val="nil"/>
            </w:tcBorders>
            <w:vAlign w:val="center"/>
          </w:tcPr>
          <w:p w14:paraId="1719F100">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p>
        </w:tc>
        <w:tc>
          <w:tcPr>
            <w:tcW w:w="773" w:type="pct"/>
            <w:gridSpan w:val="2"/>
            <w:vMerge w:val="continue"/>
            <w:tcBorders>
              <w:tl2br w:val="nil"/>
              <w:tr2bl w:val="nil"/>
            </w:tcBorders>
            <w:vAlign w:val="center"/>
          </w:tcPr>
          <w:p w14:paraId="3F644B57">
            <w:pPr>
              <w:keepNext w:val="0"/>
              <w:keepLines w:val="0"/>
              <w:pageBreakBefore w:val="0"/>
              <w:kinsoku/>
              <w:overflowPunct/>
              <w:topLinePunct w:val="0"/>
              <w:bidi w:val="0"/>
              <w:spacing w:line="360" w:lineRule="atLeast"/>
              <w:ind w:left="0" w:right="0"/>
              <w:jc w:val="center"/>
              <w:rPr>
                <w:rFonts w:hint="default" w:ascii="Times New Roman" w:hAnsi="Times New Roman" w:eastAsia="宋体" w:cs="Times New Roman"/>
                <w:color w:val="auto"/>
                <w:sz w:val="21"/>
                <w:szCs w:val="21"/>
              </w:rPr>
            </w:pPr>
          </w:p>
        </w:tc>
        <w:tc>
          <w:tcPr>
            <w:tcW w:w="918" w:type="pct"/>
            <w:tcBorders>
              <w:tl2br w:val="nil"/>
              <w:tr2bl w:val="nil"/>
            </w:tcBorders>
            <w:shd w:val="clear" w:color="auto" w:fill="auto"/>
            <w:vAlign w:val="center"/>
          </w:tcPr>
          <w:p w14:paraId="3C4A101E">
            <w:pPr>
              <w:keepNext w:val="0"/>
              <w:keepLines w:val="0"/>
              <w:pageBreakBefore w:val="0"/>
              <w:kinsoku/>
              <w:overflowPunct/>
              <w:topLinePunct w:val="0"/>
              <w:bidi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生活垃圾</w:t>
            </w:r>
          </w:p>
        </w:tc>
        <w:tc>
          <w:tcPr>
            <w:tcW w:w="1362" w:type="pct"/>
            <w:vMerge w:val="continue"/>
            <w:tcBorders>
              <w:tl2br w:val="nil"/>
              <w:tr2bl w:val="nil"/>
            </w:tcBorders>
            <w:shd w:val="clear" w:color="auto" w:fill="auto"/>
            <w:vAlign w:val="center"/>
          </w:tcPr>
          <w:p w14:paraId="02A43A6A">
            <w:pPr>
              <w:keepNext w:val="0"/>
              <w:keepLines w:val="0"/>
              <w:pageBreakBefore w:val="0"/>
              <w:kinsoku/>
              <w:overflowPunct/>
              <w:topLinePunct w:val="0"/>
              <w:bidi w:val="0"/>
              <w:spacing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p>
        </w:tc>
        <w:tc>
          <w:tcPr>
            <w:tcW w:w="1300" w:type="pct"/>
            <w:vMerge w:val="continue"/>
            <w:tcBorders>
              <w:tl2br w:val="nil"/>
              <w:tr2bl w:val="nil"/>
            </w:tcBorders>
            <w:shd w:val="clear" w:color="auto" w:fill="auto"/>
            <w:vAlign w:val="center"/>
          </w:tcPr>
          <w:p w14:paraId="19B25684">
            <w:pPr>
              <w:keepNext w:val="0"/>
              <w:keepLines w:val="0"/>
              <w:pageBreakBefore w:val="0"/>
              <w:widowControl w:val="0"/>
              <w:kinsoku/>
              <w:overflowPunct/>
              <w:topLinePunct w:val="0"/>
              <w:bidi w:val="0"/>
              <w:adjustRightInd w:val="0"/>
              <w:snapToGrid w:val="0"/>
              <w:spacing w:before="0" w:beforeLines="0" w:after="0" w:afterLines="0" w:line="360" w:lineRule="atLeast"/>
              <w:ind w:left="0" w:leftChars="0" w:right="0" w:rightChars="0"/>
              <w:jc w:val="center"/>
              <w:rPr>
                <w:rFonts w:hint="default" w:ascii="Times New Roman" w:hAnsi="Times New Roman" w:eastAsia="宋体" w:cs="Times New Roman"/>
                <w:color w:val="auto"/>
                <w:kern w:val="2"/>
                <w:sz w:val="21"/>
                <w:szCs w:val="21"/>
                <w:lang w:val="en-US" w:eastAsia="zh-CN" w:bidi="ar-SA"/>
              </w:rPr>
            </w:pPr>
          </w:p>
        </w:tc>
      </w:tr>
      <w:tr w14:paraId="5D3547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3B7125C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土壤及地下水污染防治措施</w:t>
            </w:r>
          </w:p>
        </w:tc>
        <w:tc>
          <w:tcPr>
            <w:tcW w:w="4354" w:type="pct"/>
            <w:gridSpan w:val="5"/>
            <w:tcBorders>
              <w:tl2br w:val="nil"/>
              <w:tr2bl w:val="nil"/>
            </w:tcBorders>
            <w:vAlign w:val="center"/>
          </w:tcPr>
          <w:p w14:paraId="2641A29D">
            <w:pPr>
              <w:keepNext w:val="0"/>
              <w:keepLines w:val="0"/>
              <w:pageBreakBefore w:val="0"/>
              <w:kinsoku/>
              <w:overflowPunct/>
              <w:topLinePunct w:val="0"/>
              <w:bidi w:val="0"/>
              <w:adjustRightInd w:val="0"/>
              <w:snapToGrid w:val="0"/>
              <w:spacing w:line="360" w:lineRule="atLeast"/>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项目应杜绝“跑、冒、滴、漏”现象发生，厂区对生产车间、原料存放区和危险废物暂存库等采取严格的防渗措施，防止废水下渗污染地下水和土壤环境。</w:t>
            </w:r>
          </w:p>
        </w:tc>
      </w:tr>
      <w:tr w14:paraId="17EF1F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6B13C362">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生态保护</w:t>
            </w:r>
          </w:p>
          <w:p w14:paraId="4E0091BE">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措施</w:t>
            </w:r>
          </w:p>
        </w:tc>
        <w:tc>
          <w:tcPr>
            <w:tcW w:w="4354" w:type="pct"/>
            <w:gridSpan w:val="5"/>
            <w:tcBorders>
              <w:tl2br w:val="nil"/>
              <w:tr2bl w:val="nil"/>
            </w:tcBorders>
            <w:vAlign w:val="center"/>
          </w:tcPr>
          <w:p w14:paraId="09538B01">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580902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10D2F4A0">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w:t>
            </w:r>
          </w:p>
          <w:p w14:paraId="60E6C05C">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防范措施</w:t>
            </w:r>
          </w:p>
        </w:tc>
        <w:tc>
          <w:tcPr>
            <w:tcW w:w="4354" w:type="pct"/>
            <w:gridSpan w:val="5"/>
            <w:tcBorders>
              <w:tl2br w:val="nil"/>
              <w:tr2bl w:val="nil"/>
            </w:tcBorders>
            <w:vAlign w:val="center"/>
          </w:tcPr>
          <w:p w14:paraId="6CBF61FF">
            <w:pPr>
              <w:keepNext w:val="0"/>
              <w:keepLines w:val="0"/>
              <w:pageBreakBefore w:val="0"/>
              <w:kinsoku/>
              <w:overflowPunct/>
              <w:topLinePunct w:val="0"/>
              <w:bidi w:val="0"/>
              <w:adjustRightInd w:val="0"/>
              <w:snapToGrid w:val="0"/>
              <w:spacing w:line="360" w:lineRule="atLeast"/>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⑴成立专门的责任机构，保证事故发生时组织相关力量及时控制事故的危害，在第一时间，有序有效地控制事故污染，把事故危害减小到最少。</w:t>
            </w:r>
          </w:p>
          <w:p w14:paraId="3A3C6AF3">
            <w:pPr>
              <w:keepNext w:val="0"/>
              <w:keepLines w:val="0"/>
              <w:pageBreakBefore w:val="0"/>
              <w:kinsoku/>
              <w:overflowPunct/>
              <w:topLinePunct w:val="0"/>
              <w:bidi w:val="0"/>
              <w:adjustRightInd w:val="0"/>
              <w:snapToGrid w:val="0"/>
              <w:spacing w:line="360" w:lineRule="atLeast"/>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⑵健全各项制度，强化安全管理意识，加强用电设备及线路的检修和管理。</w:t>
            </w:r>
          </w:p>
          <w:p w14:paraId="372C4A29">
            <w:pPr>
              <w:keepNext w:val="0"/>
              <w:keepLines w:val="0"/>
              <w:pageBreakBefore w:val="0"/>
              <w:kinsoku/>
              <w:overflowPunct/>
              <w:topLinePunct w:val="0"/>
              <w:bidi w:val="0"/>
              <w:adjustRightInd w:val="0"/>
              <w:snapToGrid w:val="0"/>
              <w:spacing w:line="360" w:lineRule="atLeast"/>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⑶严格按照消防安全部门要求，配置消防设施。</w:t>
            </w:r>
          </w:p>
        </w:tc>
      </w:tr>
      <w:tr w14:paraId="10F520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645" w:type="pct"/>
            <w:tcBorders>
              <w:tl2br w:val="nil"/>
              <w:tr2bl w:val="nil"/>
            </w:tcBorders>
            <w:vAlign w:val="center"/>
          </w:tcPr>
          <w:p w14:paraId="3C8D76C9">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pacing w:val="-8"/>
                <w:sz w:val="21"/>
                <w:szCs w:val="21"/>
              </w:rPr>
            </w:pPr>
            <w:r>
              <w:rPr>
                <w:rFonts w:hint="default" w:ascii="Times New Roman" w:hAnsi="Times New Roman" w:eastAsia="宋体" w:cs="Times New Roman"/>
                <w:color w:val="auto"/>
                <w:spacing w:val="-8"/>
                <w:sz w:val="21"/>
                <w:szCs w:val="21"/>
              </w:rPr>
              <w:t>其他环境</w:t>
            </w:r>
          </w:p>
          <w:p w14:paraId="2CF980AC">
            <w:pPr>
              <w:keepNext w:val="0"/>
              <w:keepLines w:val="0"/>
              <w:pageBreakBefore w:val="0"/>
              <w:kinsoku/>
              <w:overflowPunct/>
              <w:topLinePunct w:val="0"/>
              <w:bidi w:val="0"/>
              <w:adjustRightInd w:val="0"/>
              <w:snapToGrid w:val="0"/>
              <w:spacing w:line="360" w:lineRule="atLeast"/>
              <w:ind w:left="0" w:right="0"/>
              <w:jc w:val="center"/>
              <w:rPr>
                <w:rFonts w:hint="default" w:ascii="Times New Roman" w:hAnsi="Times New Roman" w:eastAsia="宋体" w:cs="Times New Roman"/>
                <w:color w:val="auto"/>
                <w:spacing w:val="-8"/>
                <w:sz w:val="21"/>
                <w:szCs w:val="21"/>
              </w:rPr>
            </w:pPr>
            <w:r>
              <w:rPr>
                <w:rFonts w:hint="default" w:ascii="Times New Roman" w:hAnsi="Times New Roman" w:eastAsia="宋体" w:cs="Times New Roman"/>
                <w:color w:val="auto"/>
                <w:spacing w:val="-8"/>
                <w:sz w:val="21"/>
                <w:szCs w:val="21"/>
              </w:rPr>
              <w:t>管理要求</w:t>
            </w:r>
          </w:p>
        </w:tc>
        <w:tc>
          <w:tcPr>
            <w:tcW w:w="4354" w:type="pct"/>
            <w:gridSpan w:val="5"/>
            <w:tcBorders>
              <w:tl2br w:val="nil"/>
              <w:tr2bl w:val="nil"/>
            </w:tcBorders>
          </w:tcPr>
          <w:p w14:paraId="71627C11">
            <w:pPr>
              <w:keepNext w:val="0"/>
              <w:keepLines w:val="0"/>
              <w:pageBreakBefore w:val="0"/>
              <w:kinsoku/>
              <w:overflowPunct/>
              <w:topLinePunct w:val="0"/>
              <w:bidi w:val="0"/>
              <w:adjustRightInd w:val="0"/>
              <w:snapToGrid w:val="0"/>
              <w:spacing w:line="360" w:lineRule="atLeast"/>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⑴废气排气筒按照要求安装标志牌、预留监测采样平台，并设置环境保护图形标志；噪声环境保护标志牌；固废设置专用的标志牌。</w:t>
            </w:r>
          </w:p>
          <w:p w14:paraId="32A20430">
            <w:pPr>
              <w:keepNext w:val="0"/>
              <w:keepLines w:val="0"/>
              <w:pageBreakBefore w:val="0"/>
              <w:kinsoku/>
              <w:overflowPunct/>
              <w:topLinePunct w:val="0"/>
              <w:bidi w:val="0"/>
              <w:adjustRightInd w:val="0"/>
              <w:snapToGrid w:val="0"/>
              <w:spacing w:line="360" w:lineRule="atLeast"/>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⑵严格执行“三同时”制度：在建设项目筹备、设计和施工建设不同阶段，均应严格执行“三同时”制度，确保污染处理设施能够与生产工艺设施“同时设计、同时施工、同时竣工”。</w:t>
            </w:r>
          </w:p>
          <w:p w14:paraId="0514A95F">
            <w:pPr>
              <w:keepNext w:val="0"/>
              <w:keepLines w:val="0"/>
              <w:pageBreakBefore w:val="0"/>
              <w:kinsoku/>
              <w:overflowPunct/>
              <w:topLinePunct w:val="0"/>
              <w:bidi w:val="0"/>
              <w:adjustRightInd w:val="0"/>
              <w:snapToGrid w:val="0"/>
              <w:spacing w:line="360" w:lineRule="atLeast"/>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⑶执行排污许可证制度：建设项目投产前，完善排污许可手续。</w:t>
            </w:r>
          </w:p>
        </w:tc>
      </w:tr>
    </w:tbl>
    <w:p w14:paraId="2CC70944">
      <w:pPr>
        <w:pStyle w:val="36"/>
        <w:outlineLvl w:val="9"/>
        <w:rPr>
          <w:color w:val="auto"/>
        </w:rPr>
        <w:sectPr>
          <w:pgSz w:w="11906" w:h="16838"/>
          <w:pgMar w:top="1134" w:right="1134" w:bottom="1134" w:left="1134" w:header="851" w:footer="992" w:gutter="0"/>
          <w:pgBorders>
            <w:top w:val="none" w:sz="0" w:space="0"/>
            <w:left w:val="none" w:sz="0" w:space="0"/>
            <w:bottom w:val="none" w:sz="0" w:space="0"/>
            <w:right w:val="none" w:sz="0" w:space="0"/>
          </w:pgBorders>
          <w:pgNumType w:fmt="decimal"/>
          <w:cols w:space="425" w:num="1"/>
          <w:docGrid w:type="lines" w:linePitch="312" w:charSpace="0"/>
        </w:sectPr>
      </w:pPr>
    </w:p>
    <w:p w14:paraId="4050F9B4">
      <w:pPr>
        <w:pStyle w:val="31"/>
        <w:keepNext w:val="0"/>
        <w:keepLines w:val="0"/>
        <w:pageBreakBefore/>
        <w:widowControl w:val="0"/>
        <w:kinsoku/>
        <w:wordWrap/>
        <w:overflowPunct/>
        <w:topLinePunct w:val="0"/>
        <w:autoSpaceDE/>
        <w:autoSpaceDN/>
        <w:bidi w:val="0"/>
        <w:adjustRightInd/>
        <w:snapToGrid/>
        <w:spacing w:before="0" w:beforeAutospacing="0" w:after="0" w:afterAutospacing="0" w:line="500" w:lineRule="exact"/>
        <w:jc w:val="center"/>
        <w:textAlignment w:val="auto"/>
        <w:outlineLvl w:val="0"/>
        <w:rPr>
          <w:rFonts w:hint="eastAsia" w:ascii="黑体" w:hAnsi="黑体" w:eastAsia="黑体"/>
          <w:snapToGrid w:val="0"/>
          <w:color w:val="auto"/>
          <w:sz w:val="30"/>
          <w:szCs w:val="30"/>
        </w:rPr>
      </w:pPr>
      <w:bookmarkStart w:id="48" w:name="_Toc12474"/>
      <w:r>
        <w:rPr>
          <w:rFonts w:hint="eastAsia" w:ascii="Times New Roman" w:hAnsi="Times New Roman" w:eastAsia="宋体" w:cs="Times New Roman"/>
          <w:b/>
          <w:bCs/>
          <w:snapToGrid w:val="0"/>
          <w:color w:val="auto"/>
          <w:kern w:val="0"/>
          <w:sz w:val="28"/>
          <w:szCs w:val="28"/>
          <w:lang w:val="en-US" w:eastAsia="zh-CN" w:bidi="ar-SA"/>
        </w:rPr>
        <w:t>六、结论</w:t>
      </w:r>
      <w:bookmarkEnd w:id="48"/>
    </w:p>
    <w:tbl>
      <w:tblPr>
        <w:tblStyle w:val="43"/>
        <w:tblW w:w="5000" w:type="pct"/>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854"/>
      </w:tblGrid>
      <w:tr w14:paraId="1E33E11C">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1991" w:hRule="atLeast"/>
          <w:jc w:val="center"/>
        </w:trPr>
        <w:tc>
          <w:tcPr>
            <w:tcW w:w="5000" w:type="pct"/>
            <w:tcBorders>
              <w:tl2br w:val="nil"/>
              <w:tr2bl w:val="nil"/>
            </w:tcBorders>
            <w:noWrap w:val="0"/>
            <w:vAlign w:val="top"/>
          </w:tcPr>
          <w:p w14:paraId="5C63CCC3">
            <w:pPr>
              <w:pStyle w:val="68"/>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0" w:right="0" w:rightChars="0" w:firstLine="440" w:firstLineChars="200"/>
              <w:jc w:val="left"/>
              <w:textAlignment w:val="auto"/>
              <w:rPr>
                <w:rFonts w:ascii="宋体" w:cs="宋体"/>
                <w:color w:val="auto"/>
                <w:sz w:val="24"/>
              </w:rPr>
            </w:pPr>
            <w:r>
              <w:rPr>
                <w:rFonts w:hint="eastAsia" w:ascii="Times New Roman" w:hAnsi="Times New Roman" w:cs="Times New Roman"/>
                <w:color w:val="auto"/>
                <w:sz w:val="22"/>
                <w:szCs w:val="22"/>
                <w:lang w:val="en-US" w:eastAsia="zh-CN"/>
              </w:rPr>
              <w:t>该项目符合国家及地方产业政策，符合区域规划要求，选址合理。项目正常生产期间产生的废气、噪声经采取合理有效的治理措施后，均可达标排放，废水、固体废弃物能够合理处置不排放，不会降低区域功能类别，并能满足总量控制要求。因此，在认真落实各项污染治理措施、切实做好“三同时”、排污许可及日常环保管理工作后，从环保角度看，项目的建设是可行的。</w:t>
            </w:r>
          </w:p>
        </w:tc>
      </w:tr>
    </w:tbl>
    <w:p w14:paraId="2DD6D7DB">
      <w:pPr>
        <w:rPr>
          <w:rFonts w:ascii="宋体"/>
          <w:color w:val="auto"/>
        </w:rPr>
        <w:sectPr>
          <w:pgSz w:w="11906" w:h="16838"/>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pPr>
    </w:p>
    <w:p w14:paraId="67CE0883">
      <w:pPr>
        <w:pStyle w:val="31"/>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textAlignment w:val="auto"/>
        <w:outlineLvl w:val="0"/>
        <w:rPr>
          <w:rFonts w:ascii="黑体" w:hAnsi="黑体" w:eastAsia="黑体"/>
          <w:b/>
          <w:bCs/>
          <w:snapToGrid w:val="0"/>
          <w:color w:val="auto"/>
          <w:sz w:val="24"/>
          <w:szCs w:val="24"/>
        </w:rPr>
      </w:pPr>
      <w:bookmarkStart w:id="49" w:name="_Toc19142"/>
      <w:bookmarkStart w:id="50" w:name="_Toc4285"/>
      <w:r>
        <w:rPr>
          <w:rFonts w:hint="eastAsia" w:ascii="Times New Roman" w:hAnsi="Times New Roman" w:eastAsia="宋体" w:cs="Times New Roman"/>
          <w:b/>
          <w:bCs/>
          <w:snapToGrid w:val="0"/>
          <w:color w:val="auto"/>
          <w:kern w:val="0"/>
          <w:sz w:val="24"/>
          <w:szCs w:val="24"/>
          <w:lang w:val="en-US" w:eastAsia="zh-CN" w:bidi="ar-SA"/>
        </w:rPr>
        <w:t>附表</w:t>
      </w:r>
      <w:bookmarkEnd w:id="49"/>
      <w:bookmarkEnd w:id="50"/>
    </w:p>
    <w:p w14:paraId="7A199F76">
      <w:pPr>
        <w:pStyle w:val="31"/>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kern w:val="0"/>
          <w:sz w:val="24"/>
          <w:szCs w:val="24"/>
          <w:lang w:val="en-US" w:eastAsia="zh-CN" w:bidi="ar-SA"/>
        </w:rPr>
      </w:pPr>
      <w:bookmarkStart w:id="51" w:name="_Toc1623"/>
      <w:bookmarkStart w:id="52" w:name="_Toc4539"/>
      <w:r>
        <w:rPr>
          <w:rFonts w:hint="eastAsia" w:ascii="Times New Roman" w:hAnsi="Times New Roman" w:eastAsia="宋体" w:cs="Times New Roman"/>
          <w:b/>
          <w:bCs/>
          <w:snapToGrid w:val="0"/>
          <w:color w:val="auto"/>
          <w:kern w:val="0"/>
          <w:sz w:val="24"/>
          <w:szCs w:val="24"/>
          <w:lang w:val="en-US" w:eastAsia="zh-CN" w:bidi="ar-SA"/>
        </w:rPr>
        <w:t>建设项目污染物排放量汇总表</w:t>
      </w:r>
      <w:bookmarkEnd w:id="51"/>
      <w:bookmarkEnd w:id="52"/>
    </w:p>
    <w:tbl>
      <w:tblPr>
        <w:tblStyle w:val="43"/>
        <w:tblW w:w="4993"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78"/>
        <w:gridCol w:w="588"/>
        <w:gridCol w:w="1339"/>
        <w:gridCol w:w="1061"/>
        <w:gridCol w:w="1442"/>
        <w:gridCol w:w="1196"/>
        <w:gridCol w:w="1924"/>
        <w:gridCol w:w="1755"/>
        <w:gridCol w:w="2430"/>
        <w:gridCol w:w="1693"/>
      </w:tblGrid>
      <w:tr w14:paraId="460233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tcBorders>
              <w:tl2br w:val="single" w:color="auto" w:sz="4" w:space="0"/>
            </w:tcBorders>
            <w:tcMar>
              <w:left w:w="28" w:type="dxa"/>
              <w:right w:w="28" w:type="dxa"/>
            </w:tcMar>
            <w:vAlign w:val="center"/>
          </w:tcPr>
          <w:p w14:paraId="6B29EADF">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right"/>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项目</w:t>
            </w:r>
          </w:p>
          <w:p w14:paraId="27DC67D0">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left"/>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分类</w:t>
            </w:r>
          </w:p>
        </w:tc>
        <w:tc>
          <w:tcPr>
            <w:tcW w:w="659" w:type="pct"/>
            <w:gridSpan w:val="2"/>
            <w:tcMar>
              <w:left w:w="28" w:type="dxa"/>
              <w:right w:w="28" w:type="dxa"/>
            </w:tcMar>
            <w:vAlign w:val="center"/>
          </w:tcPr>
          <w:p w14:paraId="08D66562">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污染物名称</w:t>
            </w:r>
          </w:p>
        </w:tc>
        <w:tc>
          <w:tcPr>
            <w:tcW w:w="363" w:type="pct"/>
            <w:tcMar>
              <w:left w:w="28" w:type="dxa"/>
              <w:right w:w="28" w:type="dxa"/>
            </w:tcMar>
            <w:vAlign w:val="center"/>
          </w:tcPr>
          <w:p w14:paraId="6A5B92F0">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现有工程排放量</w:t>
            </w:r>
            <w:r>
              <w:rPr>
                <w:rFonts w:hint="default" w:ascii="Times New Roman" w:hAnsi="Times New Roman" w:eastAsia="宋体" w:cs="Times New Roman"/>
                <w:b/>
                <w:bCs/>
                <w:snapToGrid w:val="0"/>
                <w:color w:val="auto"/>
                <w:spacing w:val="-6"/>
                <w:kern w:val="21"/>
                <w:sz w:val="21"/>
                <w:szCs w:val="21"/>
                <w:lang w:val="zh-CN" w:eastAsia="zh-CN" w:bidi="zh-CN"/>
              </w:rPr>
              <w:fldChar w:fldCharType="begin"/>
            </w:r>
            <w:r>
              <w:rPr>
                <w:rFonts w:hint="default" w:ascii="Times New Roman" w:hAnsi="Times New Roman" w:eastAsia="宋体" w:cs="Times New Roman"/>
                <w:b/>
                <w:bCs/>
                <w:snapToGrid w:val="0"/>
                <w:color w:val="auto"/>
                <w:spacing w:val="-6"/>
                <w:kern w:val="21"/>
                <w:sz w:val="21"/>
                <w:szCs w:val="21"/>
                <w:lang w:val="zh-CN" w:eastAsia="zh-CN" w:bidi="zh-CN"/>
              </w:rPr>
              <w:instrText xml:space="preserve"> = 1 \* GB3 \* MERGEFORMAT </w:instrText>
            </w:r>
            <w:r>
              <w:rPr>
                <w:rFonts w:hint="default" w:ascii="Times New Roman" w:hAnsi="Times New Roman" w:eastAsia="宋体" w:cs="Times New Roman"/>
                <w:b/>
                <w:bCs/>
                <w:snapToGrid w:val="0"/>
                <w:color w:val="auto"/>
                <w:spacing w:val="-6"/>
                <w:kern w:val="21"/>
                <w:sz w:val="21"/>
                <w:szCs w:val="21"/>
                <w:lang w:val="zh-CN" w:eastAsia="zh-CN" w:bidi="zh-CN"/>
              </w:rPr>
              <w:fldChar w:fldCharType="separate"/>
            </w:r>
            <w:r>
              <w:rPr>
                <w:rFonts w:hint="default" w:ascii="Times New Roman" w:hAnsi="Times New Roman" w:eastAsia="宋体" w:cs="Times New Roman"/>
                <w:b/>
                <w:bCs/>
                <w:color w:val="auto"/>
                <w:kern w:val="2"/>
                <w:sz w:val="21"/>
                <w:szCs w:val="21"/>
                <w:lang w:val="zh-CN" w:eastAsia="zh-CN" w:bidi="zh-CN"/>
              </w:rPr>
              <w:t>①</w:t>
            </w:r>
            <w:r>
              <w:rPr>
                <w:rFonts w:hint="default" w:ascii="Times New Roman" w:hAnsi="Times New Roman" w:eastAsia="宋体" w:cs="Times New Roman"/>
                <w:b/>
                <w:bCs/>
                <w:snapToGrid w:val="0"/>
                <w:color w:val="auto"/>
                <w:spacing w:val="-6"/>
                <w:kern w:val="21"/>
                <w:sz w:val="21"/>
                <w:szCs w:val="21"/>
                <w:lang w:val="zh-CN" w:eastAsia="zh-CN" w:bidi="zh-CN"/>
              </w:rPr>
              <w:fldChar w:fldCharType="end"/>
            </w:r>
          </w:p>
        </w:tc>
        <w:tc>
          <w:tcPr>
            <w:tcW w:w="493" w:type="pct"/>
            <w:tcMar>
              <w:left w:w="28" w:type="dxa"/>
              <w:right w:w="28" w:type="dxa"/>
            </w:tcMar>
            <w:vAlign w:val="center"/>
          </w:tcPr>
          <w:p w14:paraId="4457F468">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现有工程</w:t>
            </w:r>
          </w:p>
          <w:p w14:paraId="6C66190A">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许可排放量</w:t>
            </w:r>
            <w:r>
              <w:rPr>
                <w:rFonts w:hint="default" w:ascii="Times New Roman" w:hAnsi="Times New Roman" w:eastAsia="宋体" w:cs="Times New Roman"/>
                <w:b/>
                <w:bCs/>
                <w:snapToGrid w:val="0"/>
                <w:color w:val="auto"/>
                <w:spacing w:val="-6"/>
                <w:kern w:val="21"/>
                <w:sz w:val="21"/>
                <w:szCs w:val="21"/>
                <w:lang w:val="zh-CN" w:eastAsia="zh-CN" w:bidi="zh-CN"/>
              </w:rPr>
              <w:fldChar w:fldCharType="begin"/>
            </w:r>
            <w:r>
              <w:rPr>
                <w:rFonts w:hint="default" w:ascii="Times New Roman" w:hAnsi="Times New Roman" w:eastAsia="宋体" w:cs="Times New Roman"/>
                <w:b/>
                <w:bCs/>
                <w:snapToGrid w:val="0"/>
                <w:color w:val="auto"/>
                <w:spacing w:val="-6"/>
                <w:kern w:val="21"/>
                <w:sz w:val="21"/>
                <w:szCs w:val="21"/>
                <w:lang w:val="zh-CN" w:eastAsia="zh-CN" w:bidi="zh-CN"/>
              </w:rPr>
              <w:instrText xml:space="preserve"> = 2 \* GB3 \* MERGEFORMAT </w:instrText>
            </w:r>
            <w:r>
              <w:rPr>
                <w:rFonts w:hint="default" w:ascii="Times New Roman" w:hAnsi="Times New Roman" w:eastAsia="宋体" w:cs="Times New Roman"/>
                <w:b/>
                <w:bCs/>
                <w:snapToGrid w:val="0"/>
                <w:color w:val="auto"/>
                <w:spacing w:val="-6"/>
                <w:kern w:val="21"/>
                <w:sz w:val="21"/>
                <w:szCs w:val="21"/>
                <w:lang w:val="zh-CN" w:eastAsia="zh-CN" w:bidi="zh-CN"/>
              </w:rPr>
              <w:fldChar w:fldCharType="separate"/>
            </w:r>
            <w:r>
              <w:rPr>
                <w:rFonts w:hint="default" w:ascii="Times New Roman" w:hAnsi="Times New Roman" w:eastAsia="宋体" w:cs="Times New Roman"/>
                <w:b/>
                <w:bCs/>
                <w:snapToGrid w:val="0"/>
                <w:color w:val="auto"/>
                <w:spacing w:val="-6"/>
                <w:kern w:val="21"/>
                <w:sz w:val="21"/>
                <w:szCs w:val="21"/>
                <w:lang w:val="zh-CN" w:eastAsia="zh-CN" w:bidi="zh-CN"/>
              </w:rPr>
              <w:t>②</w:t>
            </w:r>
            <w:r>
              <w:rPr>
                <w:rFonts w:hint="default" w:ascii="Times New Roman" w:hAnsi="Times New Roman" w:eastAsia="宋体" w:cs="Times New Roman"/>
                <w:b/>
                <w:bCs/>
                <w:snapToGrid w:val="0"/>
                <w:color w:val="auto"/>
                <w:spacing w:val="-6"/>
                <w:kern w:val="21"/>
                <w:sz w:val="21"/>
                <w:szCs w:val="21"/>
                <w:lang w:val="zh-CN" w:eastAsia="zh-CN" w:bidi="zh-CN"/>
              </w:rPr>
              <w:fldChar w:fldCharType="end"/>
            </w:r>
          </w:p>
        </w:tc>
        <w:tc>
          <w:tcPr>
            <w:tcW w:w="409" w:type="pct"/>
            <w:tcMar>
              <w:left w:w="28" w:type="dxa"/>
              <w:right w:w="28" w:type="dxa"/>
            </w:tcMar>
            <w:vAlign w:val="center"/>
          </w:tcPr>
          <w:p w14:paraId="789CF042">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在建工程排放量</w:t>
            </w:r>
            <w:r>
              <w:rPr>
                <w:rFonts w:hint="default" w:ascii="Times New Roman" w:hAnsi="Times New Roman" w:eastAsia="宋体" w:cs="Times New Roman"/>
                <w:b/>
                <w:bCs/>
                <w:snapToGrid w:val="0"/>
                <w:color w:val="auto"/>
                <w:spacing w:val="-6"/>
                <w:kern w:val="21"/>
                <w:sz w:val="21"/>
                <w:szCs w:val="21"/>
                <w:lang w:val="zh-CN" w:eastAsia="zh-CN" w:bidi="zh-CN"/>
              </w:rPr>
              <w:fldChar w:fldCharType="begin"/>
            </w:r>
            <w:r>
              <w:rPr>
                <w:rFonts w:hint="default" w:ascii="Times New Roman" w:hAnsi="Times New Roman" w:eastAsia="宋体" w:cs="Times New Roman"/>
                <w:b/>
                <w:bCs/>
                <w:snapToGrid w:val="0"/>
                <w:color w:val="auto"/>
                <w:spacing w:val="-6"/>
                <w:kern w:val="21"/>
                <w:sz w:val="21"/>
                <w:szCs w:val="21"/>
                <w:lang w:val="zh-CN" w:eastAsia="zh-CN" w:bidi="zh-CN"/>
              </w:rPr>
              <w:instrText xml:space="preserve"> = 3 \* GB3 \* MERGEFORMAT </w:instrText>
            </w:r>
            <w:r>
              <w:rPr>
                <w:rFonts w:hint="default" w:ascii="Times New Roman" w:hAnsi="Times New Roman" w:eastAsia="宋体" w:cs="Times New Roman"/>
                <w:b/>
                <w:bCs/>
                <w:snapToGrid w:val="0"/>
                <w:color w:val="auto"/>
                <w:spacing w:val="-6"/>
                <w:kern w:val="21"/>
                <w:sz w:val="21"/>
                <w:szCs w:val="21"/>
                <w:lang w:val="zh-CN" w:eastAsia="zh-CN" w:bidi="zh-CN"/>
              </w:rPr>
              <w:fldChar w:fldCharType="separate"/>
            </w:r>
            <w:r>
              <w:rPr>
                <w:rFonts w:hint="default" w:ascii="Times New Roman" w:hAnsi="Times New Roman" w:eastAsia="宋体" w:cs="Times New Roman"/>
                <w:b/>
                <w:bCs/>
                <w:color w:val="auto"/>
                <w:kern w:val="2"/>
                <w:sz w:val="21"/>
                <w:szCs w:val="21"/>
                <w:lang w:val="zh-CN" w:eastAsia="zh-CN" w:bidi="zh-CN"/>
              </w:rPr>
              <w:t>③</w:t>
            </w:r>
            <w:r>
              <w:rPr>
                <w:rFonts w:hint="default" w:ascii="Times New Roman" w:hAnsi="Times New Roman" w:eastAsia="宋体" w:cs="Times New Roman"/>
                <w:b/>
                <w:bCs/>
                <w:snapToGrid w:val="0"/>
                <w:color w:val="auto"/>
                <w:spacing w:val="-6"/>
                <w:kern w:val="21"/>
                <w:sz w:val="21"/>
                <w:szCs w:val="21"/>
                <w:lang w:val="zh-CN" w:eastAsia="zh-CN" w:bidi="zh-CN"/>
              </w:rPr>
              <w:fldChar w:fldCharType="end"/>
            </w:r>
          </w:p>
        </w:tc>
        <w:tc>
          <w:tcPr>
            <w:tcW w:w="658" w:type="pct"/>
            <w:tcMar>
              <w:left w:w="28" w:type="dxa"/>
              <w:right w:w="28" w:type="dxa"/>
            </w:tcMar>
            <w:vAlign w:val="center"/>
          </w:tcPr>
          <w:p w14:paraId="148432E2">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本项目排放量（固体废物产生量）</w:t>
            </w:r>
            <w:r>
              <w:rPr>
                <w:rFonts w:hint="default" w:ascii="Times New Roman" w:hAnsi="Times New Roman" w:eastAsia="宋体" w:cs="Times New Roman"/>
                <w:b/>
                <w:bCs/>
                <w:snapToGrid w:val="0"/>
                <w:color w:val="auto"/>
                <w:spacing w:val="-6"/>
                <w:kern w:val="21"/>
                <w:sz w:val="21"/>
                <w:szCs w:val="21"/>
                <w:lang w:val="zh-CN" w:eastAsia="zh-CN" w:bidi="zh-CN"/>
              </w:rPr>
              <w:fldChar w:fldCharType="begin"/>
            </w:r>
            <w:r>
              <w:rPr>
                <w:rFonts w:hint="default" w:ascii="Times New Roman" w:hAnsi="Times New Roman" w:eastAsia="宋体" w:cs="Times New Roman"/>
                <w:b/>
                <w:bCs/>
                <w:snapToGrid w:val="0"/>
                <w:color w:val="auto"/>
                <w:spacing w:val="-6"/>
                <w:kern w:val="21"/>
                <w:sz w:val="21"/>
                <w:szCs w:val="21"/>
                <w:lang w:val="zh-CN" w:eastAsia="zh-CN" w:bidi="zh-CN"/>
              </w:rPr>
              <w:instrText xml:space="preserve"> = 4 \* GB3 \* MERGEFORMAT </w:instrText>
            </w:r>
            <w:r>
              <w:rPr>
                <w:rFonts w:hint="default" w:ascii="Times New Roman" w:hAnsi="Times New Roman" w:eastAsia="宋体" w:cs="Times New Roman"/>
                <w:b/>
                <w:bCs/>
                <w:snapToGrid w:val="0"/>
                <w:color w:val="auto"/>
                <w:spacing w:val="-6"/>
                <w:kern w:val="21"/>
                <w:sz w:val="21"/>
                <w:szCs w:val="21"/>
                <w:lang w:val="zh-CN" w:eastAsia="zh-CN" w:bidi="zh-CN"/>
              </w:rPr>
              <w:fldChar w:fldCharType="separate"/>
            </w:r>
            <w:r>
              <w:rPr>
                <w:rFonts w:hint="default" w:ascii="Times New Roman" w:hAnsi="Times New Roman" w:eastAsia="宋体" w:cs="Times New Roman"/>
                <w:b/>
                <w:bCs/>
                <w:color w:val="auto"/>
                <w:kern w:val="2"/>
                <w:sz w:val="21"/>
                <w:szCs w:val="21"/>
                <w:lang w:val="zh-CN" w:eastAsia="zh-CN" w:bidi="zh-CN"/>
              </w:rPr>
              <w:t>④</w:t>
            </w:r>
            <w:r>
              <w:rPr>
                <w:rFonts w:hint="default" w:ascii="Times New Roman" w:hAnsi="Times New Roman" w:eastAsia="宋体" w:cs="Times New Roman"/>
                <w:b/>
                <w:bCs/>
                <w:snapToGrid w:val="0"/>
                <w:color w:val="auto"/>
                <w:spacing w:val="-6"/>
                <w:kern w:val="21"/>
                <w:sz w:val="21"/>
                <w:szCs w:val="21"/>
                <w:lang w:val="zh-CN" w:eastAsia="zh-CN" w:bidi="zh-CN"/>
              </w:rPr>
              <w:fldChar w:fldCharType="end"/>
            </w:r>
          </w:p>
        </w:tc>
        <w:tc>
          <w:tcPr>
            <w:tcW w:w="600" w:type="pct"/>
            <w:tcMar>
              <w:left w:w="28" w:type="dxa"/>
              <w:right w:w="28" w:type="dxa"/>
            </w:tcMar>
            <w:vAlign w:val="center"/>
          </w:tcPr>
          <w:p w14:paraId="54C06806">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16"/>
                <w:kern w:val="21"/>
                <w:sz w:val="21"/>
                <w:szCs w:val="21"/>
                <w:lang w:val="zh-CN" w:eastAsia="zh-CN" w:bidi="zh-CN"/>
              </w:rPr>
            </w:pPr>
            <w:r>
              <w:rPr>
                <w:rFonts w:hint="default" w:ascii="Times New Roman" w:hAnsi="Times New Roman" w:eastAsia="宋体" w:cs="Times New Roman"/>
                <w:b/>
                <w:bCs/>
                <w:snapToGrid w:val="0"/>
                <w:color w:val="auto"/>
                <w:spacing w:val="-16"/>
                <w:kern w:val="21"/>
                <w:sz w:val="21"/>
                <w:szCs w:val="21"/>
                <w:lang w:val="zh-CN" w:eastAsia="zh-CN" w:bidi="zh-CN"/>
              </w:rPr>
              <w:t>以新带老削减量（新建项目不填）</w:t>
            </w:r>
            <w:r>
              <w:rPr>
                <w:rFonts w:hint="default" w:ascii="Times New Roman" w:hAnsi="Times New Roman" w:eastAsia="宋体" w:cs="Times New Roman"/>
                <w:b/>
                <w:bCs/>
                <w:snapToGrid w:val="0"/>
                <w:color w:val="auto"/>
                <w:spacing w:val="-16"/>
                <w:kern w:val="21"/>
                <w:sz w:val="21"/>
                <w:szCs w:val="21"/>
                <w:lang w:val="zh-CN" w:eastAsia="zh-CN" w:bidi="zh-CN"/>
              </w:rPr>
              <w:fldChar w:fldCharType="begin"/>
            </w:r>
            <w:r>
              <w:rPr>
                <w:rFonts w:hint="default" w:ascii="Times New Roman" w:hAnsi="Times New Roman" w:eastAsia="宋体" w:cs="Times New Roman"/>
                <w:b/>
                <w:bCs/>
                <w:snapToGrid w:val="0"/>
                <w:color w:val="auto"/>
                <w:spacing w:val="-16"/>
                <w:kern w:val="21"/>
                <w:sz w:val="21"/>
                <w:szCs w:val="21"/>
                <w:lang w:val="zh-CN" w:eastAsia="zh-CN" w:bidi="zh-CN"/>
              </w:rPr>
              <w:instrText xml:space="preserve"> = 5 \* GB3 \* MERGEFORMAT </w:instrText>
            </w:r>
            <w:r>
              <w:rPr>
                <w:rFonts w:hint="default" w:ascii="Times New Roman" w:hAnsi="Times New Roman" w:eastAsia="宋体" w:cs="Times New Roman"/>
                <w:b/>
                <w:bCs/>
                <w:snapToGrid w:val="0"/>
                <w:color w:val="auto"/>
                <w:spacing w:val="-16"/>
                <w:kern w:val="21"/>
                <w:sz w:val="21"/>
                <w:szCs w:val="21"/>
                <w:lang w:val="zh-CN" w:eastAsia="zh-CN" w:bidi="zh-CN"/>
              </w:rPr>
              <w:fldChar w:fldCharType="separate"/>
            </w:r>
            <w:r>
              <w:rPr>
                <w:rFonts w:hint="default" w:ascii="Times New Roman" w:hAnsi="Times New Roman" w:eastAsia="宋体" w:cs="Times New Roman"/>
                <w:b/>
                <w:bCs/>
                <w:color w:val="auto"/>
                <w:kern w:val="2"/>
                <w:sz w:val="21"/>
                <w:szCs w:val="21"/>
                <w:lang w:val="zh-CN" w:eastAsia="zh-CN" w:bidi="zh-CN"/>
              </w:rPr>
              <w:t>⑤</w:t>
            </w:r>
            <w:r>
              <w:rPr>
                <w:rFonts w:hint="default" w:ascii="Times New Roman" w:hAnsi="Times New Roman" w:eastAsia="宋体" w:cs="Times New Roman"/>
                <w:b/>
                <w:bCs/>
                <w:snapToGrid w:val="0"/>
                <w:color w:val="auto"/>
                <w:spacing w:val="-16"/>
                <w:kern w:val="21"/>
                <w:sz w:val="21"/>
                <w:szCs w:val="21"/>
                <w:lang w:val="zh-CN" w:eastAsia="zh-CN" w:bidi="zh-CN"/>
              </w:rPr>
              <w:fldChar w:fldCharType="end"/>
            </w:r>
          </w:p>
        </w:tc>
        <w:tc>
          <w:tcPr>
            <w:tcW w:w="831" w:type="pct"/>
            <w:tcMar>
              <w:left w:w="28" w:type="dxa"/>
              <w:right w:w="28" w:type="dxa"/>
            </w:tcMar>
            <w:vAlign w:val="center"/>
          </w:tcPr>
          <w:p w14:paraId="07603B9A">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16"/>
                <w:kern w:val="21"/>
                <w:sz w:val="21"/>
                <w:szCs w:val="21"/>
                <w:lang w:val="zh-CN" w:eastAsia="zh-CN" w:bidi="zh-CN"/>
              </w:rPr>
            </w:pPr>
            <w:r>
              <w:rPr>
                <w:rFonts w:hint="default" w:ascii="Times New Roman" w:hAnsi="Times New Roman" w:eastAsia="宋体" w:cs="Times New Roman"/>
                <w:b/>
                <w:bCs/>
                <w:snapToGrid w:val="0"/>
                <w:color w:val="auto"/>
                <w:spacing w:val="-16"/>
                <w:kern w:val="21"/>
                <w:sz w:val="21"/>
                <w:szCs w:val="21"/>
                <w:lang w:val="zh-CN" w:eastAsia="zh-CN" w:bidi="zh-CN"/>
              </w:rPr>
              <w:t>本项目建成后全厂排放量（固体废物产生量）</w:t>
            </w:r>
            <w:r>
              <w:rPr>
                <w:rFonts w:hint="default" w:ascii="Times New Roman" w:hAnsi="Times New Roman" w:eastAsia="宋体" w:cs="Times New Roman"/>
                <w:b/>
                <w:bCs/>
                <w:snapToGrid w:val="0"/>
                <w:color w:val="auto"/>
                <w:spacing w:val="-16"/>
                <w:kern w:val="21"/>
                <w:sz w:val="21"/>
                <w:szCs w:val="21"/>
                <w:lang w:val="zh-CN" w:eastAsia="zh-CN" w:bidi="zh-CN"/>
              </w:rPr>
              <w:fldChar w:fldCharType="begin"/>
            </w:r>
            <w:r>
              <w:rPr>
                <w:rFonts w:hint="default" w:ascii="Times New Roman" w:hAnsi="Times New Roman" w:eastAsia="宋体" w:cs="Times New Roman"/>
                <w:b/>
                <w:bCs/>
                <w:snapToGrid w:val="0"/>
                <w:color w:val="auto"/>
                <w:spacing w:val="-16"/>
                <w:kern w:val="21"/>
                <w:sz w:val="21"/>
                <w:szCs w:val="21"/>
                <w:lang w:val="zh-CN" w:eastAsia="zh-CN" w:bidi="zh-CN"/>
              </w:rPr>
              <w:instrText xml:space="preserve"> = 6 \* GB3 \* MERGEFORMAT </w:instrText>
            </w:r>
            <w:r>
              <w:rPr>
                <w:rFonts w:hint="default" w:ascii="Times New Roman" w:hAnsi="Times New Roman" w:eastAsia="宋体" w:cs="Times New Roman"/>
                <w:b/>
                <w:bCs/>
                <w:snapToGrid w:val="0"/>
                <w:color w:val="auto"/>
                <w:spacing w:val="-16"/>
                <w:kern w:val="21"/>
                <w:sz w:val="21"/>
                <w:szCs w:val="21"/>
                <w:lang w:val="zh-CN" w:eastAsia="zh-CN" w:bidi="zh-CN"/>
              </w:rPr>
              <w:fldChar w:fldCharType="separate"/>
            </w:r>
            <w:r>
              <w:rPr>
                <w:rFonts w:hint="default" w:ascii="Times New Roman" w:hAnsi="Times New Roman" w:eastAsia="宋体" w:cs="Times New Roman"/>
                <w:b/>
                <w:bCs/>
                <w:snapToGrid w:val="0"/>
                <w:color w:val="auto"/>
                <w:spacing w:val="-16"/>
                <w:kern w:val="21"/>
                <w:sz w:val="21"/>
                <w:szCs w:val="21"/>
                <w:lang w:val="zh-CN" w:eastAsia="zh-CN" w:bidi="zh-CN"/>
              </w:rPr>
              <w:t>⑥</w:t>
            </w:r>
            <w:r>
              <w:rPr>
                <w:rFonts w:hint="default" w:ascii="Times New Roman" w:hAnsi="Times New Roman" w:eastAsia="宋体" w:cs="Times New Roman"/>
                <w:b/>
                <w:bCs/>
                <w:snapToGrid w:val="0"/>
                <w:color w:val="auto"/>
                <w:spacing w:val="-16"/>
                <w:kern w:val="21"/>
                <w:sz w:val="21"/>
                <w:szCs w:val="21"/>
                <w:lang w:val="zh-CN" w:eastAsia="zh-CN" w:bidi="zh-CN"/>
              </w:rPr>
              <w:fldChar w:fldCharType="end"/>
            </w:r>
          </w:p>
        </w:tc>
        <w:tc>
          <w:tcPr>
            <w:tcW w:w="579" w:type="pct"/>
            <w:tcMar>
              <w:left w:w="28" w:type="dxa"/>
              <w:right w:w="28" w:type="dxa"/>
            </w:tcMar>
            <w:vAlign w:val="center"/>
          </w:tcPr>
          <w:p w14:paraId="2FC54219">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
                <w:bCs/>
                <w:snapToGrid w:val="0"/>
                <w:color w:val="auto"/>
                <w:spacing w:val="-6"/>
                <w:kern w:val="21"/>
                <w:sz w:val="21"/>
                <w:szCs w:val="21"/>
                <w:lang w:val="zh-CN" w:eastAsia="zh-CN" w:bidi="zh-CN"/>
              </w:rPr>
            </w:pPr>
            <w:r>
              <w:rPr>
                <w:rFonts w:hint="default" w:ascii="Times New Roman" w:hAnsi="Times New Roman" w:eastAsia="宋体" w:cs="Times New Roman"/>
                <w:b/>
                <w:bCs/>
                <w:snapToGrid w:val="0"/>
                <w:color w:val="auto"/>
                <w:spacing w:val="-6"/>
                <w:kern w:val="21"/>
                <w:sz w:val="21"/>
                <w:szCs w:val="21"/>
                <w:lang w:val="zh-CN" w:eastAsia="zh-CN" w:bidi="zh-CN"/>
              </w:rPr>
              <w:t>变化量</w:t>
            </w:r>
            <w:r>
              <w:rPr>
                <w:rFonts w:hint="default" w:ascii="Times New Roman" w:hAnsi="Times New Roman" w:eastAsia="宋体" w:cs="Times New Roman"/>
                <w:b/>
                <w:bCs/>
                <w:snapToGrid w:val="0"/>
                <w:color w:val="auto"/>
                <w:spacing w:val="-6"/>
                <w:kern w:val="21"/>
                <w:sz w:val="21"/>
                <w:szCs w:val="21"/>
                <w:lang w:val="zh-CN" w:eastAsia="zh-CN" w:bidi="zh-CN"/>
              </w:rPr>
              <w:fldChar w:fldCharType="begin"/>
            </w:r>
            <w:r>
              <w:rPr>
                <w:rFonts w:hint="default" w:ascii="Times New Roman" w:hAnsi="Times New Roman" w:eastAsia="宋体" w:cs="Times New Roman"/>
                <w:b/>
                <w:bCs/>
                <w:snapToGrid w:val="0"/>
                <w:color w:val="auto"/>
                <w:spacing w:val="-6"/>
                <w:kern w:val="21"/>
                <w:sz w:val="21"/>
                <w:szCs w:val="21"/>
                <w:lang w:val="zh-CN" w:eastAsia="zh-CN" w:bidi="zh-CN"/>
              </w:rPr>
              <w:instrText xml:space="preserve"> = 7 \* GB3 \* MERGEFORMAT </w:instrText>
            </w:r>
            <w:r>
              <w:rPr>
                <w:rFonts w:hint="default" w:ascii="Times New Roman" w:hAnsi="Times New Roman" w:eastAsia="宋体" w:cs="Times New Roman"/>
                <w:b/>
                <w:bCs/>
                <w:snapToGrid w:val="0"/>
                <w:color w:val="auto"/>
                <w:spacing w:val="-6"/>
                <w:kern w:val="21"/>
                <w:sz w:val="21"/>
                <w:szCs w:val="21"/>
                <w:lang w:val="zh-CN" w:eastAsia="zh-CN" w:bidi="zh-CN"/>
              </w:rPr>
              <w:fldChar w:fldCharType="separate"/>
            </w:r>
            <w:r>
              <w:rPr>
                <w:rFonts w:hint="default" w:ascii="Times New Roman" w:hAnsi="Times New Roman" w:eastAsia="宋体" w:cs="Times New Roman"/>
                <w:b/>
                <w:bCs/>
                <w:color w:val="auto"/>
                <w:kern w:val="2"/>
                <w:sz w:val="21"/>
                <w:szCs w:val="21"/>
                <w:lang w:val="zh-CN" w:eastAsia="zh-CN" w:bidi="zh-CN"/>
              </w:rPr>
              <w:t>⑦</w:t>
            </w:r>
            <w:r>
              <w:rPr>
                <w:rFonts w:hint="default" w:ascii="Times New Roman" w:hAnsi="Times New Roman" w:eastAsia="宋体" w:cs="Times New Roman"/>
                <w:b/>
                <w:bCs/>
                <w:snapToGrid w:val="0"/>
                <w:color w:val="auto"/>
                <w:spacing w:val="-6"/>
                <w:kern w:val="21"/>
                <w:sz w:val="21"/>
                <w:szCs w:val="21"/>
                <w:lang w:val="zh-CN" w:eastAsia="zh-CN" w:bidi="zh-CN"/>
              </w:rPr>
              <w:fldChar w:fldCharType="end"/>
            </w:r>
          </w:p>
        </w:tc>
      </w:tr>
      <w:tr w14:paraId="762D9A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403" w:type="pct"/>
            <w:vMerge w:val="restart"/>
            <w:tcMar>
              <w:left w:w="28" w:type="dxa"/>
              <w:right w:w="28" w:type="dxa"/>
            </w:tcMar>
            <w:vAlign w:val="center"/>
          </w:tcPr>
          <w:p w14:paraId="34038CD9">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r>
              <w:rPr>
                <w:rFonts w:hint="default" w:ascii="Times New Roman" w:hAnsi="Times New Roman" w:eastAsia="宋体" w:cs="Times New Roman"/>
                <w:bCs/>
                <w:snapToGrid w:val="0"/>
                <w:color w:val="auto"/>
                <w:kern w:val="21"/>
                <w:sz w:val="21"/>
                <w:szCs w:val="21"/>
                <w:lang w:val="zh-CN" w:eastAsia="zh-CN" w:bidi="zh-CN"/>
              </w:rPr>
              <w:t>废气</w:t>
            </w:r>
          </w:p>
        </w:tc>
        <w:tc>
          <w:tcPr>
            <w:tcW w:w="201" w:type="pct"/>
            <w:vMerge w:val="restart"/>
            <w:tcBorders>
              <w:right w:val="single" w:color="000000" w:sz="6" w:space="0"/>
            </w:tcBorders>
            <w:tcMar>
              <w:left w:w="28" w:type="dxa"/>
              <w:right w:w="28" w:type="dxa"/>
            </w:tcMar>
            <w:vAlign w:val="center"/>
          </w:tcPr>
          <w:p w14:paraId="31BBAECC">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有组织</w:t>
            </w:r>
          </w:p>
        </w:tc>
        <w:tc>
          <w:tcPr>
            <w:tcW w:w="457" w:type="pct"/>
            <w:tcBorders>
              <w:left w:val="single" w:color="000000" w:sz="6" w:space="0"/>
            </w:tcBorders>
            <w:shd w:val="clear" w:color="auto" w:fill="auto"/>
            <w:tcMar>
              <w:left w:w="28" w:type="dxa"/>
              <w:right w:w="28" w:type="dxa"/>
            </w:tcMar>
            <w:vAlign w:val="center"/>
          </w:tcPr>
          <w:p w14:paraId="37BEE992">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color w:val="auto"/>
                <w:w w:val="100"/>
                <w:kern w:val="2"/>
                <w:sz w:val="21"/>
                <w:szCs w:val="21"/>
                <w:lang w:val="en-US" w:eastAsia="zh-CN"/>
              </w:rPr>
              <w:t>挥发性有机物</w:t>
            </w:r>
          </w:p>
        </w:tc>
        <w:tc>
          <w:tcPr>
            <w:tcW w:w="363" w:type="pct"/>
            <w:shd w:val="clear" w:color="auto" w:fill="auto"/>
            <w:tcMar>
              <w:left w:w="28" w:type="dxa"/>
              <w:right w:w="28" w:type="dxa"/>
            </w:tcMar>
            <w:vAlign w:val="center"/>
          </w:tcPr>
          <w:p w14:paraId="788EEED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1.46</w:t>
            </w:r>
          </w:p>
        </w:tc>
        <w:tc>
          <w:tcPr>
            <w:tcW w:w="493" w:type="pct"/>
            <w:shd w:val="clear" w:color="auto" w:fill="auto"/>
            <w:tcMar>
              <w:left w:w="28" w:type="dxa"/>
              <w:right w:w="28" w:type="dxa"/>
            </w:tcMar>
            <w:vAlign w:val="center"/>
          </w:tcPr>
          <w:p w14:paraId="09FC45FF">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1.46</w:t>
            </w:r>
          </w:p>
        </w:tc>
        <w:tc>
          <w:tcPr>
            <w:tcW w:w="409" w:type="pct"/>
            <w:tcMar>
              <w:left w:w="28" w:type="dxa"/>
              <w:right w:w="28" w:type="dxa"/>
            </w:tcMar>
            <w:vAlign w:val="center"/>
          </w:tcPr>
          <w:p w14:paraId="7B8B84E7">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2E8248A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2.910</w:t>
            </w:r>
          </w:p>
        </w:tc>
        <w:tc>
          <w:tcPr>
            <w:tcW w:w="600" w:type="pct"/>
            <w:shd w:val="clear" w:color="auto" w:fill="auto"/>
            <w:tcMar>
              <w:left w:w="28" w:type="dxa"/>
              <w:right w:w="28" w:type="dxa"/>
            </w:tcMar>
            <w:vAlign w:val="center"/>
          </w:tcPr>
          <w:p w14:paraId="16CD412A">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-1.45</w:t>
            </w:r>
          </w:p>
        </w:tc>
        <w:tc>
          <w:tcPr>
            <w:tcW w:w="831" w:type="pct"/>
            <w:shd w:val="clear" w:color="auto" w:fill="auto"/>
            <w:tcMar>
              <w:left w:w="28" w:type="dxa"/>
              <w:right w:w="28" w:type="dxa"/>
            </w:tcMar>
            <w:vAlign w:val="center"/>
          </w:tcPr>
          <w:p w14:paraId="12A15972">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2.910</w:t>
            </w:r>
          </w:p>
        </w:tc>
        <w:tc>
          <w:tcPr>
            <w:tcW w:w="579" w:type="pct"/>
            <w:shd w:val="clear" w:color="auto" w:fill="auto"/>
            <w:tcMar>
              <w:left w:w="28" w:type="dxa"/>
              <w:right w:w="28" w:type="dxa"/>
            </w:tcMar>
            <w:vAlign w:val="center"/>
          </w:tcPr>
          <w:p w14:paraId="738E292B">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1.45</w:t>
            </w:r>
          </w:p>
        </w:tc>
      </w:tr>
      <w:tr w14:paraId="65E46B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0C7B042">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1980059A">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7374A7ED">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乙醇</w:t>
            </w:r>
          </w:p>
        </w:tc>
        <w:tc>
          <w:tcPr>
            <w:tcW w:w="363" w:type="pct"/>
            <w:shd w:val="clear" w:color="auto" w:fill="auto"/>
            <w:tcMar>
              <w:left w:w="28" w:type="dxa"/>
              <w:right w:w="28" w:type="dxa"/>
            </w:tcMar>
            <w:vAlign w:val="center"/>
          </w:tcPr>
          <w:p w14:paraId="77C2991A">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93" w:type="pct"/>
            <w:shd w:val="clear" w:color="auto" w:fill="auto"/>
            <w:tcMar>
              <w:left w:w="28" w:type="dxa"/>
              <w:right w:w="28" w:type="dxa"/>
            </w:tcMar>
            <w:vAlign w:val="center"/>
          </w:tcPr>
          <w:p w14:paraId="2D898634">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shd w:val="clear" w:color="auto" w:fill="auto"/>
            <w:tcMar>
              <w:left w:w="28" w:type="dxa"/>
              <w:right w:w="28" w:type="dxa"/>
            </w:tcMar>
            <w:vAlign w:val="center"/>
          </w:tcPr>
          <w:p w14:paraId="27C097BA">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6DD85DB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0.171</w:t>
            </w:r>
          </w:p>
        </w:tc>
        <w:tc>
          <w:tcPr>
            <w:tcW w:w="600" w:type="pct"/>
            <w:shd w:val="clear" w:color="auto" w:fill="auto"/>
            <w:tcMar>
              <w:left w:w="28" w:type="dxa"/>
              <w:right w:w="28" w:type="dxa"/>
            </w:tcMar>
            <w:vAlign w:val="center"/>
          </w:tcPr>
          <w:p w14:paraId="572AB5A8">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-0.171</w:t>
            </w:r>
          </w:p>
        </w:tc>
        <w:tc>
          <w:tcPr>
            <w:tcW w:w="831" w:type="pct"/>
            <w:shd w:val="clear" w:color="auto" w:fill="auto"/>
            <w:tcMar>
              <w:left w:w="28" w:type="dxa"/>
              <w:right w:w="28" w:type="dxa"/>
            </w:tcMar>
            <w:vAlign w:val="center"/>
          </w:tcPr>
          <w:p w14:paraId="59D93CC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0.171</w:t>
            </w:r>
          </w:p>
        </w:tc>
        <w:tc>
          <w:tcPr>
            <w:tcW w:w="579" w:type="pct"/>
            <w:shd w:val="clear" w:color="auto" w:fill="auto"/>
            <w:tcMar>
              <w:left w:w="28" w:type="dxa"/>
              <w:right w:w="28" w:type="dxa"/>
            </w:tcMar>
            <w:vAlign w:val="center"/>
          </w:tcPr>
          <w:p w14:paraId="4B581447">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eastAsia"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0.171</w:t>
            </w:r>
          </w:p>
        </w:tc>
      </w:tr>
      <w:tr w14:paraId="52E9D59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A707F47">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1546EAA2">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7DA76D1A">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甲苯</w:t>
            </w:r>
          </w:p>
        </w:tc>
        <w:tc>
          <w:tcPr>
            <w:tcW w:w="363" w:type="pct"/>
            <w:shd w:val="clear" w:color="auto" w:fill="auto"/>
            <w:tcMar>
              <w:left w:w="28" w:type="dxa"/>
              <w:right w:w="28" w:type="dxa"/>
            </w:tcMar>
            <w:vAlign w:val="center"/>
          </w:tcPr>
          <w:p w14:paraId="148F4D4F">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93" w:type="pct"/>
            <w:shd w:val="clear" w:color="auto" w:fill="auto"/>
            <w:tcMar>
              <w:left w:w="28" w:type="dxa"/>
              <w:right w:w="28" w:type="dxa"/>
            </w:tcMar>
            <w:vAlign w:val="center"/>
          </w:tcPr>
          <w:p w14:paraId="35AF85CF">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shd w:val="clear" w:color="auto" w:fill="auto"/>
            <w:tcMar>
              <w:left w:w="28" w:type="dxa"/>
              <w:right w:w="28" w:type="dxa"/>
            </w:tcMar>
            <w:vAlign w:val="center"/>
          </w:tcPr>
          <w:p w14:paraId="6E00F4D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66CD412D">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0.385</w:t>
            </w:r>
          </w:p>
        </w:tc>
        <w:tc>
          <w:tcPr>
            <w:tcW w:w="600" w:type="pct"/>
            <w:shd w:val="clear" w:color="auto" w:fill="auto"/>
            <w:tcMar>
              <w:left w:w="28" w:type="dxa"/>
              <w:right w:w="28" w:type="dxa"/>
            </w:tcMar>
            <w:vAlign w:val="center"/>
          </w:tcPr>
          <w:p w14:paraId="200D0C6F">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-0.385</w:t>
            </w:r>
          </w:p>
        </w:tc>
        <w:tc>
          <w:tcPr>
            <w:tcW w:w="831" w:type="pct"/>
            <w:shd w:val="clear" w:color="auto" w:fill="auto"/>
            <w:tcMar>
              <w:left w:w="28" w:type="dxa"/>
              <w:right w:w="28" w:type="dxa"/>
            </w:tcMar>
            <w:vAlign w:val="center"/>
          </w:tcPr>
          <w:p w14:paraId="249C38F6">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0.385</w:t>
            </w:r>
          </w:p>
        </w:tc>
        <w:tc>
          <w:tcPr>
            <w:tcW w:w="579" w:type="pct"/>
            <w:shd w:val="clear" w:color="auto" w:fill="auto"/>
            <w:tcMar>
              <w:left w:w="28" w:type="dxa"/>
              <w:right w:w="28" w:type="dxa"/>
            </w:tcMar>
            <w:vAlign w:val="center"/>
          </w:tcPr>
          <w:p w14:paraId="6B791036">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eastAsia"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0.385</w:t>
            </w:r>
          </w:p>
        </w:tc>
      </w:tr>
      <w:tr w14:paraId="679884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25C2573E">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4B17AC22">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3B30A958">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363" w:type="pct"/>
            <w:shd w:val="clear" w:color="auto" w:fill="auto"/>
            <w:tcMar>
              <w:left w:w="28" w:type="dxa"/>
              <w:right w:w="28" w:type="dxa"/>
            </w:tcMar>
            <w:vAlign w:val="center"/>
          </w:tcPr>
          <w:p w14:paraId="4AFD34F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93" w:type="pct"/>
            <w:shd w:val="clear" w:color="auto" w:fill="auto"/>
            <w:tcMar>
              <w:left w:w="28" w:type="dxa"/>
              <w:right w:w="28" w:type="dxa"/>
            </w:tcMar>
            <w:vAlign w:val="center"/>
          </w:tcPr>
          <w:p w14:paraId="39E8549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Mar>
              <w:left w:w="28" w:type="dxa"/>
              <w:right w:w="28" w:type="dxa"/>
            </w:tcMar>
            <w:vAlign w:val="center"/>
          </w:tcPr>
          <w:p w14:paraId="117025CA">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85EADC2">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c>
          <w:tcPr>
            <w:tcW w:w="600" w:type="pct"/>
            <w:shd w:val="clear" w:color="auto" w:fill="auto"/>
            <w:tcMar>
              <w:left w:w="28" w:type="dxa"/>
              <w:right w:w="28" w:type="dxa"/>
            </w:tcMar>
            <w:vAlign w:val="center"/>
          </w:tcPr>
          <w:p w14:paraId="01705DA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-0.017</w:t>
            </w:r>
          </w:p>
        </w:tc>
        <w:tc>
          <w:tcPr>
            <w:tcW w:w="831" w:type="pct"/>
            <w:shd w:val="clear" w:color="auto" w:fill="auto"/>
            <w:tcMar>
              <w:left w:w="28" w:type="dxa"/>
              <w:right w:w="28" w:type="dxa"/>
            </w:tcMar>
            <w:vAlign w:val="center"/>
          </w:tcPr>
          <w:p w14:paraId="267D08D3">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c>
          <w:tcPr>
            <w:tcW w:w="579" w:type="pct"/>
            <w:shd w:val="clear" w:color="auto" w:fill="auto"/>
            <w:tcMar>
              <w:left w:w="28" w:type="dxa"/>
              <w:right w:w="28" w:type="dxa"/>
            </w:tcMar>
            <w:vAlign w:val="center"/>
          </w:tcPr>
          <w:p w14:paraId="22429EF6">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0.017</w:t>
            </w:r>
          </w:p>
        </w:tc>
      </w:tr>
      <w:tr w14:paraId="7AE6D4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12F43743">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3BF2BA73">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0A562E5B">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eastAsia"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363" w:type="pct"/>
            <w:shd w:val="clear" w:color="auto" w:fill="auto"/>
            <w:tcMar>
              <w:left w:w="28" w:type="dxa"/>
              <w:right w:w="28" w:type="dxa"/>
            </w:tcMar>
            <w:vAlign w:val="center"/>
          </w:tcPr>
          <w:p w14:paraId="6FA62465">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93" w:type="pct"/>
            <w:shd w:val="clear" w:color="auto" w:fill="auto"/>
            <w:tcMar>
              <w:left w:w="28" w:type="dxa"/>
              <w:right w:w="28" w:type="dxa"/>
            </w:tcMar>
            <w:vAlign w:val="center"/>
          </w:tcPr>
          <w:p w14:paraId="06BFBA9A">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sz w:val="21"/>
                <w:szCs w:val="21"/>
                <w:u w:val="none"/>
                <w:lang w:val="en-US" w:eastAsia="zh-CN"/>
              </w:rPr>
              <w:t>/</w:t>
            </w:r>
          </w:p>
        </w:tc>
        <w:tc>
          <w:tcPr>
            <w:tcW w:w="409" w:type="pct"/>
            <w:tcMar>
              <w:left w:w="28" w:type="dxa"/>
              <w:right w:w="28" w:type="dxa"/>
            </w:tcMar>
            <w:vAlign w:val="center"/>
          </w:tcPr>
          <w:p w14:paraId="1E7BABD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53E8944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c>
          <w:tcPr>
            <w:tcW w:w="600" w:type="pct"/>
            <w:shd w:val="clear" w:color="auto" w:fill="auto"/>
            <w:tcMar>
              <w:left w:w="28" w:type="dxa"/>
              <w:right w:w="28" w:type="dxa"/>
            </w:tcMar>
            <w:vAlign w:val="center"/>
          </w:tcPr>
          <w:p w14:paraId="3597F009">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-0.017</w:t>
            </w:r>
          </w:p>
        </w:tc>
        <w:tc>
          <w:tcPr>
            <w:tcW w:w="831" w:type="pct"/>
            <w:shd w:val="clear" w:color="auto" w:fill="auto"/>
            <w:tcMar>
              <w:left w:w="28" w:type="dxa"/>
              <w:right w:w="28" w:type="dxa"/>
            </w:tcMar>
            <w:vAlign w:val="center"/>
          </w:tcPr>
          <w:p w14:paraId="12EB1D3A">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0.017</w:t>
            </w:r>
          </w:p>
        </w:tc>
        <w:tc>
          <w:tcPr>
            <w:tcW w:w="579" w:type="pct"/>
            <w:shd w:val="clear" w:color="auto" w:fill="auto"/>
            <w:tcMar>
              <w:left w:w="28" w:type="dxa"/>
              <w:right w:w="28" w:type="dxa"/>
            </w:tcMar>
            <w:vAlign w:val="center"/>
          </w:tcPr>
          <w:p w14:paraId="7B0A7AAE">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0.017</w:t>
            </w:r>
          </w:p>
        </w:tc>
      </w:tr>
      <w:tr w14:paraId="31D6C8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40434AF5">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72D560FC">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05328C20">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cs="Times New Roman"/>
                <w:i w:val="0"/>
                <w:color w:val="auto"/>
                <w:kern w:val="2"/>
                <w:sz w:val="21"/>
                <w:szCs w:val="21"/>
                <w:u w:val="none"/>
                <w:lang w:val="en-US" w:eastAsia="zh-CN" w:bidi="ar-SA"/>
              </w:rPr>
              <w:t>颗粒物</w:t>
            </w:r>
          </w:p>
        </w:tc>
        <w:tc>
          <w:tcPr>
            <w:tcW w:w="363" w:type="pct"/>
            <w:shd w:val="clear" w:color="auto" w:fill="auto"/>
            <w:tcMar>
              <w:left w:w="28" w:type="dxa"/>
              <w:right w:w="28" w:type="dxa"/>
            </w:tcMar>
            <w:vAlign w:val="center"/>
          </w:tcPr>
          <w:p w14:paraId="5E16DA5F">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0.19</w:t>
            </w:r>
          </w:p>
        </w:tc>
        <w:tc>
          <w:tcPr>
            <w:tcW w:w="493" w:type="pct"/>
            <w:shd w:val="clear" w:color="auto" w:fill="auto"/>
            <w:tcMar>
              <w:left w:w="28" w:type="dxa"/>
              <w:right w:w="28" w:type="dxa"/>
            </w:tcMar>
            <w:vAlign w:val="center"/>
          </w:tcPr>
          <w:p w14:paraId="502AA0A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0.19</w:t>
            </w:r>
          </w:p>
        </w:tc>
        <w:tc>
          <w:tcPr>
            <w:tcW w:w="409" w:type="pct"/>
            <w:tcMar>
              <w:left w:w="28" w:type="dxa"/>
              <w:right w:w="28" w:type="dxa"/>
            </w:tcMar>
            <w:vAlign w:val="center"/>
          </w:tcPr>
          <w:p w14:paraId="6B9A8E1D">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0D4DF60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0.666</w:t>
            </w:r>
          </w:p>
        </w:tc>
        <w:tc>
          <w:tcPr>
            <w:tcW w:w="600" w:type="pct"/>
            <w:shd w:val="clear" w:color="auto" w:fill="auto"/>
            <w:tcMar>
              <w:left w:w="28" w:type="dxa"/>
              <w:right w:w="28" w:type="dxa"/>
            </w:tcMar>
            <w:vAlign w:val="center"/>
          </w:tcPr>
          <w:p w14:paraId="6BAF6ECD">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-0.476</w:t>
            </w:r>
          </w:p>
        </w:tc>
        <w:tc>
          <w:tcPr>
            <w:tcW w:w="831" w:type="pct"/>
            <w:shd w:val="clear" w:color="auto" w:fill="auto"/>
            <w:tcMar>
              <w:left w:w="28" w:type="dxa"/>
              <w:right w:w="28" w:type="dxa"/>
            </w:tcMar>
            <w:vAlign w:val="center"/>
          </w:tcPr>
          <w:p w14:paraId="1E6153E4">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0.666</w:t>
            </w:r>
          </w:p>
        </w:tc>
        <w:tc>
          <w:tcPr>
            <w:tcW w:w="579" w:type="pct"/>
            <w:shd w:val="clear" w:color="auto" w:fill="auto"/>
            <w:tcMar>
              <w:left w:w="28" w:type="dxa"/>
              <w:right w:w="28" w:type="dxa"/>
            </w:tcMar>
            <w:vAlign w:val="center"/>
          </w:tcPr>
          <w:p w14:paraId="68E79059">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0.476</w:t>
            </w:r>
          </w:p>
        </w:tc>
      </w:tr>
      <w:tr w14:paraId="4F64C0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43493045">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restart"/>
            <w:tcBorders>
              <w:right w:val="single" w:color="000000" w:sz="6" w:space="0"/>
            </w:tcBorders>
            <w:tcMar>
              <w:left w:w="28" w:type="dxa"/>
              <w:right w:w="28" w:type="dxa"/>
            </w:tcMar>
            <w:vAlign w:val="center"/>
          </w:tcPr>
          <w:p w14:paraId="5B12DE9C">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szCs w:val="21"/>
              </w:rPr>
              <w:t>无组织</w:t>
            </w:r>
          </w:p>
        </w:tc>
        <w:tc>
          <w:tcPr>
            <w:tcW w:w="457" w:type="pct"/>
            <w:tcBorders>
              <w:left w:val="single" w:color="000000" w:sz="6" w:space="0"/>
            </w:tcBorders>
            <w:shd w:val="clear" w:color="auto" w:fill="auto"/>
            <w:tcMar>
              <w:left w:w="28" w:type="dxa"/>
              <w:right w:w="28" w:type="dxa"/>
            </w:tcMar>
            <w:vAlign w:val="center"/>
          </w:tcPr>
          <w:p w14:paraId="13BC3329">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color w:val="auto"/>
                <w:w w:val="100"/>
                <w:kern w:val="2"/>
                <w:sz w:val="21"/>
                <w:szCs w:val="21"/>
                <w:lang w:val="en-US" w:eastAsia="zh-CN"/>
              </w:rPr>
              <w:t>挥发性有机物</w:t>
            </w:r>
          </w:p>
        </w:tc>
        <w:tc>
          <w:tcPr>
            <w:tcW w:w="363" w:type="pct"/>
            <w:shd w:val="clear" w:color="auto" w:fill="auto"/>
            <w:tcMar>
              <w:left w:w="28" w:type="dxa"/>
              <w:right w:w="28" w:type="dxa"/>
            </w:tcMar>
            <w:vAlign w:val="center"/>
          </w:tcPr>
          <w:p w14:paraId="616A415F">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1.54</w:t>
            </w:r>
          </w:p>
        </w:tc>
        <w:tc>
          <w:tcPr>
            <w:tcW w:w="493" w:type="pct"/>
            <w:shd w:val="clear" w:color="auto" w:fill="auto"/>
            <w:tcMar>
              <w:left w:w="28" w:type="dxa"/>
              <w:right w:w="28" w:type="dxa"/>
            </w:tcMar>
            <w:vAlign w:val="center"/>
          </w:tcPr>
          <w:p w14:paraId="67C8BD65">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1.54</w:t>
            </w:r>
          </w:p>
        </w:tc>
        <w:tc>
          <w:tcPr>
            <w:tcW w:w="409" w:type="pct"/>
            <w:tcMar>
              <w:left w:w="28" w:type="dxa"/>
              <w:right w:w="28" w:type="dxa"/>
            </w:tcMar>
            <w:vAlign w:val="center"/>
          </w:tcPr>
          <w:p w14:paraId="3582398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6DD286CC">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1.818</w:t>
            </w:r>
          </w:p>
        </w:tc>
        <w:tc>
          <w:tcPr>
            <w:tcW w:w="600" w:type="pct"/>
            <w:shd w:val="clear" w:color="auto" w:fill="auto"/>
            <w:tcMar>
              <w:left w:w="28" w:type="dxa"/>
              <w:right w:w="28" w:type="dxa"/>
            </w:tcMar>
            <w:vAlign w:val="center"/>
          </w:tcPr>
          <w:p w14:paraId="35F565F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-0.278</w:t>
            </w:r>
          </w:p>
        </w:tc>
        <w:tc>
          <w:tcPr>
            <w:tcW w:w="831" w:type="pct"/>
            <w:shd w:val="clear" w:color="auto" w:fill="auto"/>
            <w:tcMar>
              <w:left w:w="28" w:type="dxa"/>
              <w:right w:w="28" w:type="dxa"/>
            </w:tcMar>
            <w:vAlign w:val="center"/>
          </w:tcPr>
          <w:p w14:paraId="0849C6D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1.818</w:t>
            </w:r>
          </w:p>
        </w:tc>
        <w:tc>
          <w:tcPr>
            <w:tcW w:w="579" w:type="pct"/>
            <w:shd w:val="clear" w:color="auto" w:fill="auto"/>
            <w:tcMar>
              <w:left w:w="28" w:type="dxa"/>
              <w:right w:w="28" w:type="dxa"/>
            </w:tcMar>
            <w:vAlign w:val="center"/>
          </w:tcPr>
          <w:p w14:paraId="293695F5">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0.278</w:t>
            </w:r>
          </w:p>
        </w:tc>
      </w:tr>
      <w:tr w14:paraId="0FD3F4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4F0E0D62">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6B5D5349">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p>
        </w:tc>
        <w:tc>
          <w:tcPr>
            <w:tcW w:w="457" w:type="pct"/>
            <w:tcBorders>
              <w:left w:val="single" w:color="000000" w:sz="6" w:space="0"/>
            </w:tcBorders>
            <w:shd w:val="clear" w:color="auto" w:fill="auto"/>
            <w:tcMar>
              <w:left w:w="28" w:type="dxa"/>
              <w:right w:w="28" w:type="dxa"/>
            </w:tcMar>
            <w:vAlign w:val="center"/>
          </w:tcPr>
          <w:p w14:paraId="14F87D04">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乙醇</w:t>
            </w:r>
          </w:p>
        </w:tc>
        <w:tc>
          <w:tcPr>
            <w:tcW w:w="363" w:type="pct"/>
            <w:shd w:val="clear" w:color="auto" w:fill="auto"/>
            <w:tcMar>
              <w:left w:w="28" w:type="dxa"/>
              <w:right w:w="28" w:type="dxa"/>
            </w:tcMar>
            <w:vAlign w:val="center"/>
          </w:tcPr>
          <w:p w14:paraId="2759131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93" w:type="pct"/>
            <w:shd w:val="clear" w:color="auto" w:fill="auto"/>
            <w:tcMar>
              <w:left w:w="28" w:type="dxa"/>
              <w:right w:w="28" w:type="dxa"/>
            </w:tcMar>
            <w:vAlign w:val="center"/>
          </w:tcPr>
          <w:p w14:paraId="54D7820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shd w:val="clear" w:color="auto" w:fill="auto"/>
            <w:tcMar>
              <w:left w:w="28" w:type="dxa"/>
              <w:right w:w="28" w:type="dxa"/>
            </w:tcMar>
            <w:vAlign w:val="center"/>
          </w:tcPr>
          <w:p w14:paraId="0DF8414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 w:val="21"/>
                <w:szCs w:val="21"/>
                <w:lang w:val="en-US" w:eastAsia="zh-CN" w:bidi="ar-SA"/>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E51BDD5">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0.100</w:t>
            </w:r>
          </w:p>
        </w:tc>
        <w:tc>
          <w:tcPr>
            <w:tcW w:w="600" w:type="pct"/>
            <w:shd w:val="clear" w:color="auto" w:fill="auto"/>
            <w:tcMar>
              <w:left w:w="28" w:type="dxa"/>
              <w:right w:w="28" w:type="dxa"/>
            </w:tcMar>
            <w:vAlign w:val="center"/>
          </w:tcPr>
          <w:p w14:paraId="34B56820">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-0.1</w:t>
            </w:r>
          </w:p>
        </w:tc>
        <w:tc>
          <w:tcPr>
            <w:tcW w:w="831" w:type="pct"/>
            <w:shd w:val="clear" w:color="auto" w:fill="auto"/>
            <w:tcMar>
              <w:left w:w="28" w:type="dxa"/>
              <w:right w:w="28" w:type="dxa"/>
            </w:tcMar>
            <w:vAlign w:val="center"/>
          </w:tcPr>
          <w:p w14:paraId="7FC9B053">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0.100</w:t>
            </w:r>
          </w:p>
        </w:tc>
        <w:tc>
          <w:tcPr>
            <w:tcW w:w="579" w:type="pct"/>
            <w:shd w:val="clear" w:color="auto" w:fill="auto"/>
            <w:tcMar>
              <w:left w:w="28" w:type="dxa"/>
              <w:right w:w="28" w:type="dxa"/>
            </w:tcMar>
            <w:vAlign w:val="center"/>
          </w:tcPr>
          <w:p w14:paraId="01A04188">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eastAsia"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0.1</w:t>
            </w:r>
          </w:p>
        </w:tc>
      </w:tr>
      <w:tr w14:paraId="1D3A4B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FF27740">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7B5F930E">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p>
        </w:tc>
        <w:tc>
          <w:tcPr>
            <w:tcW w:w="457" w:type="pct"/>
            <w:tcBorders>
              <w:left w:val="single" w:color="000000" w:sz="6" w:space="0"/>
            </w:tcBorders>
            <w:shd w:val="clear" w:color="auto" w:fill="auto"/>
            <w:tcMar>
              <w:left w:w="28" w:type="dxa"/>
              <w:right w:w="28" w:type="dxa"/>
            </w:tcMar>
            <w:vAlign w:val="center"/>
          </w:tcPr>
          <w:p w14:paraId="0FC1C37F">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eastAsia="zh-CN"/>
              </w:rPr>
            </w:pPr>
            <w:r>
              <w:rPr>
                <w:rFonts w:hint="eastAsia" w:cs="Times New Roman"/>
                <w:color w:val="auto"/>
                <w:w w:val="100"/>
                <w:kern w:val="2"/>
                <w:sz w:val="21"/>
                <w:szCs w:val="21"/>
                <w:lang w:eastAsia="zh-CN"/>
              </w:rPr>
              <w:t>甲苯</w:t>
            </w:r>
          </w:p>
        </w:tc>
        <w:tc>
          <w:tcPr>
            <w:tcW w:w="363" w:type="pct"/>
            <w:shd w:val="clear" w:color="auto" w:fill="auto"/>
            <w:tcMar>
              <w:left w:w="28" w:type="dxa"/>
              <w:right w:w="28" w:type="dxa"/>
            </w:tcMar>
            <w:vAlign w:val="center"/>
          </w:tcPr>
          <w:p w14:paraId="5F9A9951">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93" w:type="pct"/>
            <w:shd w:val="clear" w:color="auto" w:fill="auto"/>
            <w:tcMar>
              <w:left w:w="28" w:type="dxa"/>
              <w:right w:w="28" w:type="dxa"/>
            </w:tcMar>
            <w:vAlign w:val="center"/>
          </w:tcPr>
          <w:p w14:paraId="741D24A2">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shd w:val="clear" w:color="auto" w:fill="auto"/>
            <w:tcMar>
              <w:left w:w="28" w:type="dxa"/>
              <w:right w:w="28" w:type="dxa"/>
            </w:tcMar>
            <w:vAlign w:val="center"/>
          </w:tcPr>
          <w:p w14:paraId="1189423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40EC144A">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0.225</w:t>
            </w:r>
          </w:p>
        </w:tc>
        <w:tc>
          <w:tcPr>
            <w:tcW w:w="600" w:type="pct"/>
            <w:shd w:val="clear" w:color="auto" w:fill="auto"/>
            <w:tcMar>
              <w:left w:w="28" w:type="dxa"/>
              <w:right w:w="28" w:type="dxa"/>
            </w:tcMar>
            <w:vAlign w:val="center"/>
          </w:tcPr>
          <w:p w14:paraId="402E7388">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val="en-US" w:eastAsia="zh-CN"/>
              </w:rPr>
              <w:t>-0.225</w:t>
            </w:r>
          </w:p>
        </w:tc>
        <w:tc>
          <w:tcPr>
            <w:tcW w:w="831" w:type="pct"/>
            <w:shd w:val="clear" w:color="auto" w:fill="auto"/>
            <w:tcMar>
              <w:left w:w="28" w:type="dxa"/>
              <w:right w:w="28" w:type="dxa"/>
            </w:tcMar>
            <w:vAlign w:val="center"/>
          </w:tcPr>
          <w:p w14:paraId="7DEC6228">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0.225</w:t>
            </w:r>
          </w:p>
        </w:tc>
        <w:tc>
          <w:tcPr>
            <w:tcW w:w="579" w:type="pct"/>
            <w:shd w:val="clear" w:color="auto" w:fill="auto"/>
            <w:tcMar>
              <w:left w:w="28" w:type="dxa"/>
              <w:right w:w="28" w:type="dxa"/>
            </w:tcMar>
            <w:vAlign w:val="center"/>
          </w:tcPr>
          <w:p w14:paraId="4C578F52">
            <w:pPr>
              <w:keepNext w:val="0"/>
              <w:keepLines w:val="0"/>
              <w:pageBreakBefore w:val="0"/>
              <w:widowControl/>
              <w:suppressLineNumbers w:val="0"/>
              <w:kinsoku/>
              <w:wordWrap/>
              <w:overflowPunct/>
              <w:topLinePunct w:val="0"/>
              <w:autoSpaceDE/>
              <w:autoSpaceDN/>
              <w:bidi w:val="0"/>
              <w:adjustRightInd/>
              <w:snapToGrid/>
              <w:spacing w:line="360" w:lineRule="atLeast"/>
              <w:jc w:val="center"/>
              <w:textAlignment w:val="center"/>
              <w:outlineLvl w:val="9"/>
              <w:rPr>
                <w:rFonts w:hint="eastAsia"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cs="Times New Roman"/>
                <w:color w:val="auto"/>
                <w:spacing w:val="-1"/>
                <w:szCs w:val="21"/>
                <w:lang w:val="en-US" w:eastAsia="zh-CN"/>
              </w:rPr>
              <w:t>+</w:t>
            </w:r>
            <w:r>
              <w:rPr>
                <w:rFonts w:hint="default" w:ascii="Times New Roman" w:hAnsi="Times New Roman" w:eastAsia="宋体" w:cs="Times New Roman"/>
                <w:i w:val="0"/>
                <w:iCs w:val="0"/>
                <w:color w:val="auto"/>
                <w:kern w:val="0"/>
                <w:sz w:val="21"/>
                <w:szCs w:val="21"/>
                <w:u w:val="none"/>
                <w:lang w:val="en-US" w:eastAsia="zh-CN" w:bidi="ar"/>
              </w:rPr>
              <w:t>0.225</w:t>
            </w:r>
          </w:p>
        </w:tc>
      </w:tr>
      <w:tr w14:paraId="545F84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1BABB3A0">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500BC96B">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p>
        </w:tc>
        <w:tc>
          <w:tcPr>
            <w:tcW w:w="457" w:type="pct"/>
            <w:tcBorders>
              <w:left w:val="single" w:color="000000" w:sz="6" w:space="0"/>
            </w:tcBorders>
            <w:shd w:val="clear" w:color="auto" w:fill="auto"/>
            <w:tcMar>
              <w:left w:w="28" w:type="dxa"/>
              <w:right w:w="28" w:type="dxa"/>
            </w:tcMar>
            <w:vAlign w:val="center"/>
          </w:tcPr>
          <w:p w14:paraId="2B776D94">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二甲苯</w:t>
            </w:r>
          </w:p>
        </w:tc>
        <w:tc>
          <w:tcPr>
            <w:tcW w:w="363" w:type="pct"/>
            <w:shd w:val="clear" w:color="auto" w:fill="auto"/>
            <w:tcMar>
              <w:left w:w="28" w:type="dxa"/>
              <w:right w:w="28" w:type="dxa"/>
            </w:tcMar>
            <w:vAlign w:val="center"/>
          </w:tcPr>
          <w:p w14:paraId="01EEB763">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93" w:type="pct"/>
            <w:shd w:val="clear" w:color="auto" w:fill="auto"/>
            <w:tcMar>
              <w:left w:w="28" w:type="dxa"/>
              <w:right w:w="28" w:type="dxa"/>
            </w:tcMar>
            <w:vAlign w:val="center"/>
          </w:tcPr>
          <w:p w14:paraId="6108AD47">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tcMar>
              <w:left w:w="28" w:type="dxa"/>
              <w:right w:w="28" w:type="dxa"/>
            </w:tcMar>
            <w:vAlign w:val="center"/>
          </w:tcPr>
          <w:p w14:paraId="525DA515">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44746F3E">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0.010</w:t>
            </w:r>
          </w:p>
        </w:tc>
        <w:tc>
          <w:tcPr>
            <w:tcW w:w="600" w:type="pct"/>
            <w:shd w:val="clear" w:color="auto" w:fill="auto"/>
            <w:tcMar>
              <w:left w:w="28" w:type="dxa"/>
              <w:right w:w="28" w:type="dxa"/>
            </w:tcMar>
            <w:vAlign w:val="center"/>
          </w:tcPr>
          <w:p w14:paraId="2EB6D021">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cs="Times New Roman"/>
                <w:color w:val="auto"/>
                <w:sz w:val="21"/>
                <w:szCs w:val="21"/>
                <w:lang w:val="en-US" w:eastAsia="zh-CN"/>
              </w:rPr>
              <w:t>-0.01</w:t>
            </w:r>
          </w:p>
        </w:tc>
        <w:tc>
          <w:tcPr>
            <w:tcW w:w="831" w:type="pct"/>
            <w:shd w:val="clear" w:color="auto" w:fill="auto"/>
            <w:tcMar>
              <w:left w:w="28" w:type="dxa"/>
              <w:right w:w="28" w:type="dxa"/>
            </w:tcMar>
            <w:vAlign w:val="center"/>
          </w:tcPr>
          <w:p w14:paraId="048C7CD4">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0.010</w:t>
            </w:r>
          </w:p>
        </w:tc>
        <w:tc>
          <w:tcPr>
            <w:tcW w:w="579" w:type="pct"/>
            <w:shd w:val="clear" w:color="auto" w:fill="auto"/>
            <w:tcMar>
              <w:left w:w="28" w:type="dxa"/>
              <w:right w:w="28" w:type="dxa"/>
            </w:tcMar>
            <w:vAlign w:val="center"/>
          </w:tcPr>
          <w:p w14:paraId="32A64CB5">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w:t>
            </w:r>
            <w:r>
              <w:rPr>
                <w:rFonts w:hint="default" w:cs="Times New Roman"/>
                <w:color w:val="auto"/>
                <w:sz w:val="21"/>
                <w:szCs w:val="21"/>
                <w:lang w:val="en-US" w:eastAsia="zh-CN"/>
              </w:rPr>
              <w:t>0.01</w:t>
            </w:r>
          </w:p>
        </w:tc>
      </w:tr>
      <w:tr w14:paraId="746560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18C6082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39C926CD">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5291F713">
            <w:pPr>
              <w:keepNext w:val="0"/>
              <w:keepLines w:val="0"/>
              <w:pageBreakBefore w:val="0"/>
              <w:widowControl w:val="0"/>
              <w:kinsoku/>
              <w:wordWrap/>
              <w:overflowPunct/>
              <w:topLinePunct w:val="0"/>
              <w:autoSpaceDE/>
              <w:autoSpaceDN/>
              <w:bidi w:val="0"/>
              <w:adjustRightInd w:val="0"/>
              <w:snapToGrid w:val="0"/>
              <w:spacing w:line="360" w:lineRule="atLeast"/>
              <w:ind w:left="0" w:leftChars="0" w:right="0" w:rightChars="0"/>
              <w:jc w:val="center"/>
              <w:textAlignment w:val="auto"/>
              <w:rPr>
                <w:rFonts w:hint="default" w:ascii="Times New Roman" w:hAnsi="Times New Roman" w:eastAsia="宋体" w:cs="Times New Roman"/>
                <w:color w:val="auto"/>
                <w:w w:val="100"/>
                <w:kern w:val="2"/>
                <w:sz w:val="21"/>
                <w:szCs w:val="21"/>
                <w:lang w:val="en-US" w:eastAsia="zh-CN" w:bidi="ar-SA"/>
              </w:rPr>
            </w:pPr>
            <w:r>
              <w:rPr>
                <w:rFonts w:hint="default" w:ascii="Times New Roman" w:hAnsi="Times New Roman" w:eastAsia="宋体" w:cs="Times New Roman"/>
                <w:color w:val="auto"/>
                <w:w w:val="100"/>
                <w:kern w:val="2"/>
                <w:sz w:val="21"/>
                <w:szCs w:val="21"/>
                <w:lang w:eastAsia="zh-CN"/>
              </w:rPr>
              <w:t>硫化氢</w:t>
            </w:r>
          </w:p>
        </w:tc>
        <w:tc>
          <w:tcPr>
            <w:tcW w:w="363" w:type="pct"/>
            <w:shd w:val="clear" w:color="auto" w:fill="auto"/>
            <w:tcMar>
              <w:left w:w="28" w:type="dxa"/>
              <w:right w:w="28" w:type="dxa"/>
            </w:tcMar>
            <w:vAlign w:val="center"/>
          </w:tcPr>
          <w:p w14:paraId="1B3AE673">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93" w:type="pct"/>
            <w:shd w:val="clear" w:color="auto" w:fill="auto"/>
            <w:tcMar>
              <w:left w:w="28" w:type="dxa"/>
              <w:right w:w="28" w:type="dxa"/>
            </w:tcMar>
            <w:vAlign w:val="center"/>
          </w:tcPr>
          <w:p w14:paraId="3F91C28D">
            <w:pPr>
              <w:keepNext w:val="0"/>
              <w:keepLines w:val="0"/>
              <w:pageBreakBefore w:val="0"/>
              <w:widowControl w:val="0"/>
              <w:suppressLineNumbers w:val="0"/>
              <w:kinsoku/>
              <w:wordWrap/>
              <w:overflowPunct/>
              <w:topLinePunct w:val="0"/>
              <w:autoSpaceDE/>
              <w:autoSpaceDN/>
              <w:bidi w:val="0"/>
              <w:adjustRightInd/>
              <w:snapToGrid/>
              <w:spacing w:line="360" w:lineRule="atLeast"/>
              <w:ind w:firstLine="0" w:firstLineChars="0"/>
              <w:jc w:val="center"/>
              <w:textAlignment w:val="top"/>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cs="Times New Roman"/>
                <w:i w:val="0"/>
                <w:color w:val="auto"/>
                <w:kern w:val="2"/>
                <w:sz w:val="21"/>
                <w:szCs w:val="21"/>
                <w:u w:val="none"/>
                <w:lang w:val="en-US" w:eastAsia="zh-CN" w:bidi="ar-SA"/>
              </w:rPr>
              <w:t>/</w:t>
            </w:r>
          </w:p>
        </w:tc>
        <w:tc>
          <w:tcPr>
            <w:tcW w:w="409" w:type="pct"/>
            <w:tcMar>
              <w:left w:w="28" w:type="dxa"/>
              <w:right w:w="28" w:type="dxa"/>
            </w:tcMar>
            <w:vAlign w:val="center"/>
          </w:tcPr>
          <w:p w14:paraId="53D0A43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E02EBC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0.010</w:t>
            </w:r>
          </w:p>
        </w:tc>
        <w:tc>
          <w:tcPr>
            <w:tcW w:w="600" w:type="pct"/>
            <w:shd w:val="clear" w:color="auto" w:fill="auto"/>
            <w:tcMar>
              <w:left w:w="28" w:type="dxa"/>
              <w:right w:w="28" w:type="dxa"/>
            </w:tcMar>
            <w:vAlign w:val="center"/>
          </w:tcPr>
          <w:p w14:paraId="02D930FA">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cs="Times New Roman"/>
                <w:color w:val="auto"/>
                <w:sz w:val="21"/>
                <w:szCs w:val="21"/>
                <w:lang w:val="en-US" w:eastAsia="zh-CN"/>
              </w:rPr>
              <w:t>-0.01</w:t>
            </w:r>
          </w:p>
        </w:tc>
        <w:tc>
          <w:tcPr>
            <w:tcW w:w="831" w:type="pct"/>
            <w:shd w:val="clear" w:color="auto" w:fill="auto"/>
            <w:tcMar>
              <w:left w:w="28" w:type="dxa"/>
              <w:right w:w="28" w:type="dxa"/>
            </w:tcMar>
            <w:vAlign w:val="center"/>
          </w:tcPr>
          <w:p w14:paraId="0A672595">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eastAsia" w:ascii="Times New Roman" w:hAnsi="Times New Roman" w:eastAsia="宋体" w:cs="Times New Roman"/>
                <w:i w:val="0"/>
                <w:color w:val="auto"/>
                <w:sz w:val="21"/>
                <w:szCs w:val="21"/>
                <w:u w:val="none"/>
                <w:lang w:val="en-US" w:eastAsia="zh-CN"/>
              </w:rPr>
              <w:t>0.010</w:t>
            </w:r>
          </w:p>
        </w:tc>
        <w:tc>
          <w:tcPr>
            <w:tcW w:w="579" w:type="pct"/>
            <w:shd w:val="clear" w:color="auto" w:fill="auto"/>
            <w:tcMar>
              <w:left w:w="28" w:type="dxa"/>
              <w:right w:w="28" w:type="dxa"/>
            </w:tcMar>
            <w:vAlign w:val="center"/>
          </w:tcPr>
          <w:p w14:paraId="5D8EC4DF">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w:t>
            </w:r>
            <w:r>
              <w:rPr>
                <w:rFonts w:hint="default" w:cs="Times New Roman"/>
                <w:color w:val="auto"/>
                <w:sz w:val="21"/>
                <w:szCs w:val="21"/>
                <w:lang w:val="en-US" w:eastAsia="zh-CN"/>
              </w:rPr>
              <w:t>0.01</w:t>
            </w:r>
          </w:p>
        </w:tc>
      </w:tr>
      <w:tr w14:paraId="4B77D0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74BC99F3">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201" w:type="pct"/>
            <w:vMerge w:val="continue"/>
            <w:tcBorders>
              <w:right w:val="single" w:color="000000" w:sz="6" w:space="0"/>
            </w:tcBorders>
            <w:tcMar>
              <w:left w:w="28" w:type="dxa"/>
              <w:right w:w="28" w:type="dxa"/>
            </w:tcMar>
            <w:vAlign w:val="center"/>
          </w:tcPr>
          <w:p w14:paraId="29F5F784">
            <w:pPr>
              <w:keepNext w:val="0"/>
              <w:keepLines w:val="0"/>
              <w:pageBreakBefore w:val="0"/>
              <w:widowControl/>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p>
        </w:tc>
        <w:tc>
          <w:tcPr>
            <w:tcW w:w="457" w:type="pct"/>
            <w:tcBorders>
              <w:left w:val="single" w:color="000000" w:sz="6" w:space="0"/>
            </w:tcBorders>
            <w:shd w:val="clear" w:color="auto" w:fill="auto"/>
            <w:tcMar>
              <w:left w:w="28" w:type="dxa"/>
              <w:right w:w="28" w:type="dxa"/>
            </w:tcMar>
            <w:vAlign w:val="center"/>
          </w:tcPr>
          <w:p w14:paraId="4A86317B">
            <w:pPr>
              <w:keepNext w:val="0"/>
              <w:keepLines w:val="0"/>
              <w:pageBreakBefore w:val="0"/>
              <w:widowControl w:val="0"/>
              <w:kinsoku/>
              <w:wordWrap/>
              <w:overflowPunct/>
              <w:topLinePunct w:val="0"/>
              <w:autoSpaceDE/>
              <w:autoSpaceDN/>
              <w:bidi w:val="0"/>
              <w:adjustRightInd w:val="0"/>
              <w:snapToGrid w:val="0"/>
              <w:spacing w:line="360" w:lineRule="atLeast"/>
              <w:ind w:firstLine="0" w:firstLineChars="0"/>
              <w:jc w:val="center"/>
              <w:textAlignment w:val="auto"/>
              <w:outlineLvl w:val="9"/>
              <w:rPr>
                <w:rFonts w:hint="default" w:ascii="Times New Roman" w:hAnsi="Times New Roman" w:eastAsia="宋体" w:cs="Times New Roman"/>
                <w:i w:val="0"/>
                <w:color w:val="auto"/>
                <w:kern w:val="0"/>
                <w:sz w:val="21"/>
                <w:szCs w:val="21"/>
                <w:u w:val="none"/>
                <w:lang w:val="en-US" w:eastAsia="zh-CN" w:bidi="ar"/>
              </w:rPr>
            </w:pPr>
            <w:r>
              <w:rPr>
                <w:rFonts w:hint="eastAsia" w:cs="Times New Roman"/>
                <w:i w:val="0"/>
                <w:color w:val="auto"/>
                <w:kern w:val="2"/>
                <w:sz w:val="21"/>
                <w:szCs w:val="21"/>
                <w:u w:val="none"/>
                <w:lang w:val="en-US" w:eastAsia="zh-CN" w:bidi="ar-SA"/>
              </w:rPr>
              <w:t>颗粒物</w:t>
            </w:r>
          </w:p>
        </w:tc>
        <w:tc>
          <w:tcPr>
            <w:tcW w:w="363" w:type="pct"/>
            <w:shd w:val="clear" w:color="auto" w:fill="auto"/>
            <w:tcMar>
              <w:left w:w="28" w:type="dxa"/>
              <w:right w:w="28" w:type="dxa"/>
            </w:tcMar>
            <w:vAlign w:val="center"/>
          </w:tcPr>
          <w:p w14:paraId="4BD673E7">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0.21</w:t>
            </w:r>
          </w:p>
        </w:tc>
        <w:tc>
          <w:tcPr>
            <w:tcW w:w="493" w:type="pct"/>
            <w:shd w:val="clear" w:color="auto" w:fill="auto"/>
            <w:tcMar>
              <w:left w:w="28" w:type="dxa"/>
              <w:right w:w="28" w:type="dxa"/>
            </w:tcMar>
            <w:vAlign w:val="center"/>
          </w:tcPr>
          <w:p w14:paraId="07D0AB2B">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0.21</w:t>
            </w:r>
          </w:p>
        </w:tc>
        <w:tc>
          <w:tcPr>
            <w:tcW w:w="409" w:type="pct"/>
            <w:tcMar>
              <w:left w:w="28" w:type="dxa"/>
              <w:right w:w="28" w:type="dxa"/>
            </w:tcMar>
            <w:vAlign w:val="center"/>
          </w:tcPr>
          <w:p w14:paraId="1A0156B6">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1906AEFC">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0.158</w:t>
            </w:r>
          </w:p>
        </w:tc>
        <w:tc>
          <w:tcPr>
            <w:tcW w:w="600" w:type="pct"/>
            <w:shd w:val="clear" w:color="auto" w:fill="auto"/>
            <w:tcMar>
              <w:left w:w="28" w:type="dxa"/>
              <w:right w:w="28" w:type="dxa"/>
            </w:tcMar>
            <w:vAlign w:val="center"/>
          </w:tcPr>
          <w:p w14:paraId="3C743E04">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cs="Times New Roman"/>
                <w:color w:val="auto"/>
                <w:sz w:val="21"/>
                <w:szCs w:val="21"/>
                <w:lang w:val="en-US" w:eastAsia="zh-CN"/>
              </w:rPr>
              <w:t>0.</w:t>
            </w:r>
            <w:r>
              <w:rPr>
                <w:rFonts w:hint="eastAsia" w:cs="Times New Roman"/>
                <w:color w:val="auto"/>
                <w:sz w:val="21"/>
                <w:szCs w:val="21"/>
                <w:lang w:val="en-US" w:eastAsia="zh-CN"/>
              </w:rPr>
              <w:t>052</w:t>
            </w:r>
          </w:p>
        </w:tc>
        <w:tc>
          <w:tcPr>
            <w:tcW w:w="831" w:type="pct"/>
            <w:shd w:val="clear" w:color="auto" w:fill="auto"/>
            <w:tcMar>
              <w:left w:w="28" w:type="dxa"/>
              <w:right w:w="28" w:type="dxa"/>
            </w:tcMar>
            <w:vAlign w:val="center"/>
          </w:tcPr>
          <w:p w14:paraId="66B5B0F2">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0.158</w:t>
            </w:r>
          </w:p>
        </w:tc>
        <w:tc>
          <w:tcPr>
            <w:tcW w:w="579" w:type="pct"/>
            <w:shd w:val="clear" w:color="auto" w:fill="auto"/>
            <w:tcMar>
              <w:left w:w="28" w:type="dxa"/>
              <w:right w:w="28" w:type="dxa"/>
            </w:tcMar>
            <w:vAlign w:val="center"/>
          </w:tcPr>
          <w:p w14:paraId="73A98C21">
            <w:pPr>
              <w:keepNext w:val="0"/>
              <w:keepLines w:val="0"/>
              <w:pageBreakBefore w:val="0"/>
              <w:widowControl w:val="0"/>
              <w:kinsoku/>
              <w:wordWrap/>
              <w:overflowPunct/>
              <w:topLinePunct w:val="0"/>
              <w:autoSpaceDE/>
              <w:autoSpaceDN/>
              <w:bidi w:val="0"/>
              <w:adjustRightInd/>
              <w:snapToGrid/>
              <w:spacing w:line="360" w:lineRule="atLeast"/>
              <w:ind w:firstLine="0" w:firstLineChars="0"/>
              <w:jc w:val="center"/>
              <w:textAlignment w:val="auto"/>
              <w:outlineLvl w:val="9"/>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w:t>
            </w:r>
            <w:r>
              <w:rPr>
                <w:rFonts w:hint="default" w:cs="Times New Roman"/>
                <w:color w:val="auto"/>
                <w:sz w:val="21"/>
                <w:szCs w:val="21"/>
                <w:lang w:val="en-US" w:eastAsia="zh-CN"/>
              </w:rPr>
              <w:t>0.</w:t>
            </w:r>
            <w:r>
              <w:rPr>
                <w:rFonts w:hint="eastAsia" w:cs="Times New Roman"/>
                <w:color w:val="auto"/>
                <w:sz w:val="21"/>
                <w:szCs w:val="21"/>
                <w:lang w:val="en-US" w:eastAsia="zh-CN"/>
              </w:rPr>
              <w:t>052</w:t>
            </w:r>
          </w:p>
        </w:tc>
      </w:tr>
      <w:tr w14:paraId="4C8B81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restart"/>
            <w:tcMar>
              <w:left w:w="28" w:type="dxa"/>
              <w:right w:w="28" w:type="dxa"/>
            </w:tcMar>
            <w:vAlign w:val="center"/>
          </w:tcPr>
          <w:p w14:paraId="0EE9B44F">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r>
              <w:rPr>
                <w:rFonts w:hint="default" w:ascii="Times New Roman" w:hAnsi="Times New Roman" w:eastAsia="宋体" w:cs="Times New Roman"/>
                <w:bCs/>
                <w:snapToGrid w:val="0"/>
                <w:color w:val="auto"/>
                <w:kern w:val="21"/>
                <w:sz w:val="21"/>
                <w:szCs w:val="21"/>
                <w:lang w:val="zh-CN" w:eastAsia="zh-CN" w:bidi="zh-CN"/>
              </w:rPr>
              <w:t>废水</w:t>
            </w:r>
          </w:p>
        </w:tc>
        <w:tc>
          <w:tcPr>
            <w:tcW w:w="659" w:type="pct"/>
            <w:gridSpan w:val="2"/>
            <w:tcMar>
              <w:left w:w="28" w:type="dxa"/>
              <w:right w:w="28" w:type="dxa"/>
            </w:tcMar>
            <w:vAlign w:val="center"/>
          </w:tcPr>
          <w:p w14:paraId="504BB8A9">
            <w:pPr>
              <w:keepNext w:val="0"/>
              <w:keepLines w:val="0"/>
              <w:pageBreakBefore w:val="0"/>
              <w:kinsoku/>
              <w:wordWrap/>
              <w:overflowPunct/>
              <w:topLinePunct w:val="0"/>
              <w:autoSpaceDE/>
              <w:autoSpaceDN/>
              <w:bidi w:val="0"/>
              <w:snapToGrid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废水量</w:t>
            </w:r>
          </w:p>
        </w:tc>
        <w:tc>
          <w:tcPr>
            <w:tcW w:w="363" w:type="pct"/>
            <w:shd w:val="clear" w:color="auto" w:fill="auto"/>
            <w:tcMar>
              <w:left w:w="28" w:type="dxa"/>
              <w:right w:w="28" w:type="dxa"/>
            </w:tcMar>
            <w:vAlign w:val="center"/>
          </w:tcPr>
          <w:p w14:paraId="0707040E">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1894E78C">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1486565E">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1D4C0BE">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1350</w:t>
            </w:r>
          </w:p>
        </w:tc>
        <w:tc>
          <w:tcPr>
            <w:tcW w:w="600" w:type="pct"/>
            <w:tcMar>
              <w:left w:w="28" w:type="dxa"/>
              <w:right w:w="28" w:type="dxa"/>
            </w:tcMar>
            <w:vAlign w:val="center"/>
          </w:tcPr>
          <w:p w14:paraId="15F31B29">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675054CD">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1350</w:t>
            </w:r>
          </w:p>
        </w:tc>
        <w:tc>
          <w:tcPr>
            <w:tcW w:w="579" w:type="pct"/>
            <w:shd w:val="clear" w:color="auto" w:fill="auto"/>
            <w:tcMar>
              <w:left w:w="28" w:type="dxa"/>
              <w:right w:w="28" w:type="dxa"/>
            </w:tcMar>
            <w:vAlign w:val="center"/>
          </w:tcPr>
          <w:p w14:paraId="32A0E856">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1350</w:t>
            </w:r>
          </w:p>
        </w:tc>
      </w:tr>
      <w:tr w14:paraId="19B3D3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5074841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tcMar>
              <w:left w:w="28" w:type="dxa"/>
              <w:right w:w="28" w:type="dxa"/>
            </w:tcMar>
            <w:vAlign w:val="center"/>
          </w:tcPr>
          <w:p w14:paraId="5E52DB44">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COD</w:t>
            </w:r>
          </w:p>
        </w:tc>
        <w:tc>
          <w:tcPr>
            <w:tcW w:w="363" w:type="pct"/>
            <w:shd w:val="clear" w:color="auto" w:fill="auto"/>
            <w:tcMar>
              <w:left w:w="28" w:type="dxa"/>
              <w:right w:w="28" w:type="dxa"/>
            </w:tcMar>
            <w:vAlign w:val="center"/>
          </w:tcPr>
          <w:p w14:paraId="29E38BEC">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556B4432">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54E8EEF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0ADDB3C5">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0.068 </w:t>
            </w:r>
          </w:p>
        </w:tc>
        <w:tc>
          <w:tcPr>
            <w:tcW w:w="600" w:type="pct"/>
            <w:tcMar>
              <w:left w:w="28" w:type="dxa"/>
              <w:right w:w="28" w:type="dxa"/>
            </w:tcMar>
            <w:vAlign w:val="center"/>
          </w:tcPr>
          <w:p w14:paraId="6B63CAA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6D6B2B8A">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0.068 </w:t>
            </w:r>
          </w:p>
        </w:tc>
        <w:tc>
          <w:tcPr>
            <w:tcW w:w="579" w:type="pct"/>
            <w:shd w:val="clear" w:color="auto" w:fill="auto"/>
            <w:tcMar>
              <w:left w:w="28" w:type="dxa"/>
              <w:right w:w="28" w:type="dxa"/>
            </w:tcMar>
            <w:vAlign w:val="center"/>
          </w:tcPr>
          <w:p w14:paraId="449449E1">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0.068 </w:t>
            </w:r>
          </w:p>
        </w:tc>
      </w:tr>
      <w:tr w14:paraId="67EE1F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21E7E32E">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tcMar>
              <w:left w:w="28" w:type="dxa"/>
              <w:right w:w="28" w:type="dxa"/>
            </w:tcMar>
            <w:vAlign w:val="center"/>
          </w:tcPr>
          <w:p w14:paraId="74E2788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6"/>
                <w:szCs w:val="21"/>
              </w:rPr>
              <w:t>SS</w:t>
            </w:r>
          </w:p>
        </w:tc>
        <w:tc>
          <w:tcPr>
            <w:tcW w:w="363" w:type="pct"/>
            <w:shd w:val="clear" w:color="auto" w:fill="auto"/>
            <w:tcMar>
              <w:left w:w="28" w:type="dxa"/>
              <w:right w:w="28" w:type="dxa"/>
            </w:tcMar>
            <w:vAlign w:val="center"/>
          </w:tcPr>
          <w:p w14:paraId="56C6EF3D">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053B97CB">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17F6C790">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190FE965">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0.014 </w:t>
            </w:r>
          </w:p>
        </w:tc>
        <w:tc>
          <w:tcPr>
            <w:tcW w:w="600" w:type="pct"/>
            <w:tcMar>
              <w:left w:w="28" w:type="dxa"/>
              <w:right w:w="28" w:type="dxa"/>
            </w:tcMar>
            <w:vAlign w:val="center"/>
          </w:tcPr>
          <w:p w14:paraId="4B9E5514">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17BEED6D">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0.014 </w:t>
            </w:r>
          </w:p>
        </w:tc>
        <w:tc>
          <w:tcPr>
            <w:tcW w:w="579" w:type="pct"/>
            <w:shd w:val="clear" w:color="auto" w:fill="auto"/>
            <w:tcMar>
              <w:left w:w="28" w:type="dxa"/>
              <w:right w:w="28" w:type="dxa"/>
            </w:tcMar>
            <w:vAlign w:val="center"/>
          </w:tcPr>
          <w:p w14:paraId="2D8DFE04">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0.014 </w:t>
            </w:r>
          </w:p>
        </w:tc>
      </w:tr>
      <w:tr w14:paraId="5E9AFD8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554142D">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tcMar>
              <w:left w:w="28" w:type="dxa"/>
              <w:right w:w="28" w:type="dxa"/>
            </w:tcMar>
            <w:vAlign w:val="center"/>
          </w:tcPr>
          <w:p w14:paraId="706A6F7A">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NH</w:t>
            </w:r>
            <w:r>
              <w:rPr>
                <w:rFonts w:hint="default" w:ascii="Times New Roman" w:hAnsi="Times New Roman" w:eastAsia="宋体" w:cs="Times New Roman"/>
                <w:color w:val="auto"/>
                <w:spacing w:val="3"/>
                <w:position w:val="-1"/>
                <w:sz w:val="13"/>
                <w:szCs w:val="13"/>
              </w:rPr>
              <w:t>3</w:t>
            </w:r>
            <w:r>
              <w:rPr>
                <w:rFonts w:hint="default" w:ascii="Times New Roman" w:hAnsi="Times New Roman" w:eastAsia="宋体" w:cs="Times New Roman"/>
                <w:color w:val="auto"/>
                <w:spacing w:val="3"/>
                <w:szCs w:val="21"/>
              </w:rPr>
              <w:t>-N</w:t>
            </w:r>
          </w:p>
        </w:tc>
        <w:tc>
          <w:tcPr>
            <w:tcW w:w="363" w:type="pct"/>
            <w:shd w:val="clear" w:color="auto" w:fill="auto"/>
            <w:tcMar>
              <w:left w:w="28" w:type="dxa"/>
              <w:right w:w="28" w:type="dxa"/>
            </w:tcMar>
            <w:vAlign w:val="center"/>
          </w:tcPr>
          <w:p w14:paraId="3530658E">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3FD70069">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i w:val="0"/>
                <w:color w:val="auto"/>
                <w:kern w:val="0"/>
                <w:sz w:val="21"/>
                <w:szCs w:val="21"/>
                <w:u w:val="none"/>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132DAB6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519A9884">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0.007 </w:t>
            </w:r>
          </w:p>
        </w:tc>
        <w:tc>
          <w:tcPr>
            <w:tcW w:w="600" w:type="pct"/>
            <w:tcMar>
              <w:left w:w="28" w:type="dxa"/>
              <w:right w:w="28" w:type="dxa"/>
            </w:tcMar>
            <w:vAlign w:val="center"/>
          </w:tcPr>
          <w:p w14:paraId="06EF9CC4">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5A86AD71">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0.007 </w:t>
            </w:r>
          </w:p>
        </w:tc>
        <w:tc>
          <w:tcPr>
            <w:tcW w:w="579" w:type="pct"/>
            <w:shd w:val="clear" w:color="auto" w:fill="auto"/>
            <w:tcMar>
              <w:left w:w="28" w:type="dxa"/>
              <w:right w:w="28" w:type="dxa"/>
            </w:tcMar>
            <w:vAlign w:val="center"/>
          </w:tcPr>
          <w:p w14:paraId="469403A7">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0.007 </w:t>
            </w:r>
          </w:p>
        </w:tc>
      </w:tr>
      <w:tr w14:paraId="32A03F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60ABE94D">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tcMar>
              <w:left w:w="28" w:type="dxa"/>
              <w:right w:w="28" w:type="dxa"/>
            </w:tcMar>
            <w:vAlign w:val="center"/>
          </w:tcPr>
          <w:p w14:paraId="04F17EE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2"/>
                <w:szCs w:val="21"/>
              </w:rPr>
              <w:t>TP</w:t>
            </w:r>
          </w:p>
        </w:tc>
        <w:tc>
          <w:tcPr>
            <w:tcW w:w="363" w:type="pct"/>
            <w:shd w:val="clear" w:color="auto" w:fill="auto"/>
            <w:tcMar>
              <w:left w:w="28" w:type="dxa"/>
              <w:right w:w="28" w:type="dxa"/>
            </w:tcMar>
            <w:vAlign w:val="center"/>
          </w:tcPr>
          <w:p w14:paraId="081806BF">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40E0F5EC">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6E1C66C6">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2E26BAB4">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0.001 </w:t>
            </w:r>
          </w:p>
        </w:tc>
        <w:tc>
          <w:tcPr>
            <w:tcW w:w="600" w:type="pct"/>
            <w:tcMar>
              <w:left w:w="28" w:type="dxa"/>
              <w:right w:w="28" w:type="dxa"/>
            </w:tcMar>
            <w:vAlign w:val="center"/>
          </w:tcPr>
          <w:p w14:paraId="723427B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4D2876BB">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0.001 </w:t>
            </w:r>
          </w:p>
        </w:tc>
        <w:tc>
          <w:tcPr>
            <w:tcW w:w="579" w:type="pct"/>
            <w:shd w:val="clear" w:color="auto" w:fill="auto"/>
            <w:tcMar>
              <w:left w:w="28" w:type="dxa"/>
              <w:right w:w="28" w:type="dxa"/>
            </w:tcMar>
            <w:vAlign w:val="center"/>
          </w:tcPr>
          <w:p w14:paraId="6E1F6BFE">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0.001 </w:t>
            </w:r>
          </w:p>
        </w:tc>
      </w:tr>
      <w:tr w14:paraId="22C1896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5BE758EE">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tcMar>
              <w:left w:w="28" w:type="dxa"/>
              <w:right w:w="28" w:type="dxa"/>
            </w:tcMar>
            <w:vAlign w:val="center"/>
          </w:tcPr>
          <w:p w14:paraId="61B1DA81">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pacing w:val="-1"/>
                <w:szCs w:val="21"/>
              </w:rPr>
              <w:t>TN</w:t>
            </w:r>
          </w:p>
        </w:tc>
        <w:tc>
          <w:tcPr>
            <w:tcW w:w="363" w:type="pct"/>
            <w:shd w:val="clear" w:color="auto" w:fill="auto"/>
            <w:tcMar>
              <w:left w:w="28" w:type="dxa"/>
              <w:right w:w="28" w:type="dxa"/>
            </w:tcMar>
            <w:vAlign w:val="center"/>
          </w:tcPr>
          <w:p w14:paraId="551E1D22">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93" w:type="pct"/>
            <w:shd w:val="clear" w:color="auto" w:fill="auto"/>
            <w:tcMar>
              <w:left w:w="28" w:type="dxa"/>
              <w:right w:w="28" w:type="dxa"/>
            </w:tcMar>
            <w:vAlign w:val="center"/>
          </w:tcPr>
          <w:p w14:paraId="2BF04DDD">
            <w:pPr>
              <w:keepNext w:val="0"/>
              <w:keepLines w:val="0"/>
              <w:pageBreakBefore w:val="0"/>
              <w:widowControl w:val="0"/>
              <w:kinsoku/>
              <w:wordWrap/>
              <w:overflowPunct/>
              <w:topLinePunct w:val="0"/>
              <w:autoSpaceDE w:val="0"/>
              <w:autoSpaceDN w:val="0"/>
              <w:bidi w:val="0"/>
              <w:adjustRightInd/>
              <w:snapToGrid/>
              <w:spacing w:line="360" w:lineRule="atLeast"/>
              <w:ind w:firstLine="0" w:firstLineChars="0"/>
              <w:jc w:val="center"/>
              <w:outlineLvl w:val="9"/>
              <w:rPr>
                <w:rFonts w:hint="default" w:ascii="Times New Roman" w:hAnsi="Times New Roman" w:eastAsia="宋体" w:cs="Times New Roman"/>
                <w:b w:val="0"/>
                <w:color w:val="auto"/>
                <w:kern w:val="0"/>
                <w:sz w:val="21"/>
                <w:szCs w:val="21"/>
                <w:lang w:val="en-US" w:eastAsia="zh-CN" w:bidi="ar-SA"/>
              </w:rPr>
            </w:pPr>
            <w:r>
              <w:rPr>
                <w:rFonts w:hint="default" w:ascii="Times New Roman" w:hAnsi="Times New Roman" w:eastAsia="宋体" w:cs="Times New Roman"/>
                <w:b w:val="0"/>
                <w:color w:val="auto"/>
                <w:kern w:val="0"/>
                <w:sz w:val="21"/>
                <w:szCs w:val="21"/>
                <w:lang w:val="en-US" w:eastAsia="zh-CN" w:bidi="ar-SA"/>
              </w:rPr>
              <w:t>0</w:t>
            </w:r>
          </w:p>
        </w:tc>
        <w:tc>
          <w:tcPr>
            <w:tcW w:w="409" w:type="pct"/>
            <w:tcMar>
              <w:left w:w="28" w:type="dxa"/>
              <w:right w:w="28" w:type="dxa"/>
            </w:tcMar>
            <w:vAlign w:val="center"/>
          </w:tcPr>
          <w:p w14:paraId="052EF26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55FF4188">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0.020 </w:t>
            </w:r>
          </w:p>
        </w:tc>
        <w:tc>
          <w:tcPr>
            <w:tcW w:w="600" w:type="pct"/>
            <w:tcMar>
              <w:left w:w="28" w:type="dxa"/>
              <w:right w:w="28" w:type="dxa"/>
            </w:tcMar>
            <w:vAlign w:val="center"/>
          </w:tcPr>
          <w:p w14:paraId="7CF691C9">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3FEFBA32">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eastAsia="宋体" w:cs="Times New Roman"/>
                <w:color w:val="auto"/>
                <w:spacing w:val="-1"/>
                <w:szCs w:val="21"/>
                <w:lang w:val="en-US" w:eastAsia="zh-CN"/>
              </w:rPr>
              <w:t xml:space="preserve">0.020 </w:t>
            </w:r>
          </w:p>
        </w:tc>
        <w:tc>
          <w:tcPr>
            <w:tcW w:w="579" w:type="pct"/>
            <w:shd w:val="clear" w:color="auto" w:fill="auto"/>
            <w:tcMar>
              <w:left w:w="28" w:type="dxa"/>
              <w:right w:w="28" w:type="dxa"/>
            </w:tcMar>
            <w:vAlign w:val="center"/>
          </w:tcPr>
          <w:p w14:paraId="1FCA443A">
            <w:pPr>
              <w:keepNext w:val="0"/>
              <w:keepLines w:val="0"/>
              <w:pageBreakBefore w:val="0"/>
              <w:kinsoku/>
              <w:wordWrap/>
              <w:overflowPunct/>
              <w:topLinePunct w:val="0"/>
              <w:bidi w:val="0"/>
              <w:spacing w:line="360" w:lineRule="atLeast"/>
              <w:jc w:val="center"/>
              <w:rPr>
                <w:rFonts w:hint="default" w:ascii="Times New Roman" w:hAnsi="Times New Roman" w:eastAsia="宋体" w:cs="Times New Roman"/>
                <w:color w:val="auto"/>
                <w:spacing w:val="-1"/>
                <w:kern w:val="2"/>
                <w:sz w:val="21"/>
                <w:szCs w:val="21"/>
                <w:lang w:val="en-US" w:eastAsia="zh-CN" w:bidi="ar-SA"/>
              </w:rPr>
            </w:pPr>
            <w:r>
              <w:rPr>
                <w:rFonts w:hint="eastAsia" w:ascii="Times New Roman" w:hAnsi="Times New Roman" w:cs="Times New Roman"/>
                <w:color w:val="auto"/>
                <w:spacing w:val="-1"/>
                <w:szCs w:val="21"/>
                <w:lang w:val="en-US" w:eastAsia="zh-CN"/>
              </w:rPr>
              <w:t>+</w:t>
            </w:r>
            <w:r>
              <w:rPr>
                <w:rFonts w:hint="eastAsia" w:ascii="Times New Roman" w:hAnsi="Times New Roman" w:eastAsia="宋体" w:cs="Times New Roman"/>
                <w:color w:val="auto"/>
                <w:spacing w:val="-1"/>
                <w:szCs w:val="21"/>
                <w:lang w:val="en-US" w:eastAsia="zh-CN"/>
              </w:rPr>
              <w:t xml:space="preserve">0.020 </w:t>
            </w:r>
          </w:p>
        </w:tc>
      </w:tr>
      <w:tr w14:paraId="08A5AB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restart"/>
            <w:tcMar>
              <w:left w:w="28" w:type="dxa"/>
              <w:right w:w="28" w:type="dxa"/>
            </w:tcMar>
            <w:vAlign w:val="center"/>
          </w:tcPr>
          <w:p w14:paraId="30C778AF">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en-US" w:eastAsia="zh-CN" w:bidi="ar-SA"/>
              </w:rPr>
            </w:pPr>
            <w:r>
              <w:rPr>
                <w:rFonts w:hint="default" w:ascii="Times New Roman" w:hAnsi="Times New Roman" w:eastAsia="宋体" w:cs="Times New Roman"/>
                <w:bCs/>
                <w:snapToGrid w:val="0"/>
                <w:color w:val="auto"/>
                <w:kern w:val="21"/>
                <w:sz w:val="21"/>
                <w:szCs w:val="21"/>
                <w:lang w:val="zh-CN" w:eastAsia="zh-CN" w:bidi="zh-CN"/>
              </w:rPr>
              <w:t>一般工业固体废物</w:t>
            </w:r>
          </w:p>
        </w:tc>
        <w:tc>
          <w:tcPr>
            <w:tcW w:w="659" w:type="pct"/>
            <w:gridSpan w:val="2"/>
            <w:shd w:val="clear" w:color="auto" w:fill="auto"/>
            <w:tcMar>
              <w:left w:w="28" w:type="dxa"/>
              <w:right w:w="28" w:type="dxa"/>
            </w:tcMar>
            <w:vAlign w:val="center"/>
          </w:tcPr>
          <w:p w14:paraId="2BD2F35E">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杂质</w:t>
            </w:r>
          </w:p>
        </w:tc>
        <w:tc>
          <w:tcPr>
            <w:tcW w:w="363" w:type="pct"/>
            <w:shd w:val="clear" w:color="auto" w:fill="auto"/>
            <w:tcMar>
              <w:left w:w="28" w:type="dxa"/>
              <w:right w:w="28" w:type="dxa"/>
            </w:tcMar>
            <w:vAlign w:val="center"/>
          </w:tcPr>
          <w:p w14:paraId="60D4E082">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197E6F1A">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42E0F38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snapToGrid w:val="0"/>
                <w:color w:val="auto"/>
                <w:kern w:val="21"/>
                <w:szCs w:val="21"/>
              </w:rPr>
              <w:t>/</w:t>
            </w:r>
          </w:p>
        </w:tc>
        <w:tc>
          <w:tcPr>
            <w:tcW w:w="658" w:type="pct"/>
            <w:shd w:val="clear" w:color="auto" w:fill="auto"/>
            <w:tcMar>
              <w:left w:w="28" w:type="dxa"/>
              <w:right w:w="28" w:type="dxa"/>
            </w:tcMar>
            <w:vAlign w:val="center"/>
          </w:tcPr>
          <w:p w14:paraId="317C7D2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1.199</w:t>
            </w:r>
          </w:p>
        </w:tc>
        <w:tc>
          <w:tcPr>
            <w:tcW w:w="600" w:type="pct"/>
            <w:tcMar>
              <w:left w:w="28" w:type="dxa"/>
              <w:right w:w="28" w:type="dxa"/>
            </w:tcMar>
            <w:vAlign w:val="center"/>
          </w:tcPr>
          <w:p w14:paraId="1EB0DED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0"/>
                <w:szCs w:val="21"/>
              </w:rPr>
            </w:pPr>
            <w:r>
              <w:rPr>
                <w:rFonts w:hint="default" w:ascii="Times New Roman" w:hAnsi="Times New Roman" w:eastAsia="宋体" w:cs="Times New Roman"/>
                <w:snapToGrid w:val="0"/>
                <w:color w:val="auto"/>
                <w:kern w:val="21"/>
                <w:szCs w:val="21"/>
              </w:rPr>
              <w:t>/</w:t>
            </w:r>
          </w:p>
        </w:tc>
        <w:tc>
          <w:tcPr>
            <w:tcW w:w="831" w:type="pct"/>
            <w:shd w:val="clear" w:color="auto" w:fill="auto"/>
            <w:tcMar>
              <w:left w:w="28" w:type="dxa"/>
              <w:right w:w="28" w:type="dxa"/>
            </w:tcMar>
            <w:vAlign w:val="center"/>
          </w:tcPr>
          <w:p w14:paraId="065072B2">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1.199</w:t>
            </w:r>
          </w:p>
        </w:tc>
        <w:tc>
          <w:tcPr>
            <w:tcW w:w="579" w:type="pct"/>
            <w:tcMar>
              <w:left w:w="28" w:type="dxa"/>
              <w:right w:w="28" w:type="dxa"/>
            </w:tcMar>
            <w:vAlign w:val="center"/>
          </w:tcPr>
          <w:p w14:paraId="37533FB4">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w:t>
            </w:r>
          </w:p>
        </w:tc>
      </w:tr>
      <w:tr w14:paraId="0293A0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10CFCA4E">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2913769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w w:val="100"/>
                <w:sz w:val="21"/>
                <w:szCs w:val="21"/>
                <w:lang w:val="en-US" w:eastAsia="zh-CN"/>
              </w:rPr>
            </w:pPr>
            <w:r>
              <w:rPr>
                <w:rFonts w:hint="eastAsia" w:cs="Times New Roman"/>
                <w:b w:val="0"/>
                <w:bCs w:val="0"/>
                <w:color w:val="auto"/>
                <w:w w:val="100"/>
                <w:sz w:val="21"/>
                <w:szCs w:val="21"/>
                <w:lang w:val="en-US" w:eastAsia="zh-CN"/>
              </w:rPr>
              <w:t>废布条</w:t>
            </w:r>
          </w:p>
        </w:tc>
        <w:tc>
          <w:tcPr>
            <w:tcW w:w="363" w:type="pct"/>
            <w:shd w:val="clear" w:color="auto" w:fill="auto"/>
            <w:tcMar>
              <w:left w:w="28" w:type="dxa"/>
              <w:right w:w="28" w:type="dxa"/>
            </w:tcMar>
            <w:vAlign w:val="center"/>
          </w:tcPr>
          <w:p w14:paraId="629C4489">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3EA89CC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shd w:val="clear" w:color="auto" w:fill="auto"/>
            <w:tcMar>
              <w:left w:w="28" w:type="dxa"/>
              <w:right w:w="28" w:type="dxa"/>
            </w:tcMar>
            <w:vAlign w:val="center"/>
          </w:tcPr>
          <w:p w14:paraId="43FC7CD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 w:val="21"/>
                <w:szCs w:val="21"/>
                <w:lang w:val="en-US" w:eastAsia="zh-CN" w:bidi="ar-SA"/>
              </w:rPr>
            </w:pPr>
            <w:r>
              <w:rPr>
                <w:rFonts w:hint="default" w:ascii="Times New Roman" w:hAnsi="Times New Roman" w:eastAsia="宋体" w:cs="Times New Roman"/>
                <w:snapToGrid w:val="0"/>
                <w:color w:val="auto"/>
                <w:kern w:val="21"/>
                <w:szCs w:val="21"/>
              </w:rPr>
              <w:t>/</w:t>
            </w:r>
          </w:p>
        </w:tc>
        <w:tc>
          <w:tcPr>
            <w:tcW w:w="658" w:type="pct"/>
            <w:shd w:val="clear" w:color="auto" w:fill="auto"/>
            <w:tcMar>
              <w:left w:w="28" w:type="dxa"/>
              <w:right w:w="28" w:type="dxa"/>
            </w:tcMar>
            <w:vAlign w:val="center"/>
          </w:tcPr>
          <w:p w14:paraId="16777FD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0.15</w:t>
            </w:r>
          </w:p>
        </w:tc>
        <w:tc>
          <w:tcPr>
            <w:tcW w:w="600" w:type="pct"/>
            <w:tcMar>
              <w:left w:w="28" w:type="dxa"/>
              <w:right w:w="28" w:type="dxa"/>
            </w:tcMar>
            <w:vAlign w:val="center"/>
          </w:tcPr>
          <w:p w14:paraId="4B2890D8">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snapToGrid w:val="0"/>
                <w:color w:val="auto"/>
                <w:kern w:val="21"/>
                <w:szCs w:val="21"/>
                <w:lang w:val="en-US" w:eastAsia="zh-CN"/>
              </w:rPr>
            </w:pPr>
            <w:r>
              <w:rPr>
                <w:rFonts w:hint="eastAsia" w:cs="Times New Roman"/>
                <w:snapToGrid w:val="0"/>
                <w:color w:val="auto"/>
                <w:kern w:val="21"/>
                <w:szCs w:val="21"/>
                <w:lang w:val="en-US" w:eastAsia="zh-CN"/>
              </w:rPr>
              <w:t>/</w:t>
            </w:r>
          </w:p>
        </w:tc>
        <w:tc>
          <w:tcPr>
            <w:tcW w:w="831" w:type="pct"/>
            <w:shd w:val="clear" w:color="auto" w:fill="auto"/>
            <w:tcMar>
              <w:left w:w="28" w:type="dxa"/>
              <w:right w:w="28" w:type="dxa"/>
            </w:tcMar>
            <w:vAlign w:val="center"/>
          </w:tcPr>
          <w:p w14:paraId="49C4820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0.15</w:t>
            </w:r>
          </w:p>
        </w:tc>
        <w:tc>
          <w:tcPr>
            <w:tcW w:w="579" w:type="pct"/>
            <w:tcMar>
              <w:left w:w="28" w:type="dxa"/>
              <w:right w:w="28" w:type="dxa"/>
            </w:tcMar>
            <w:vAlign w:val="center"/>
          </w:tcPr>
          <w:p w14:paraId="6DC3901F">
            <w:pPr>
              <w:keepNext w:val="0"/>
              <w:keepLines w:val="0"/>
              <w:pageBreakBefore w:val="0"/>
              <w:kinsoku/>
              <w:wordWrap/>
              <w:overflowPunct/>
              <w:topLinePunct w:val="0"/>
              <w:autoSpaceDE/>
              <w:autoSpaceDN/>
              <w:bidi w:val="0"/>
              <w:spacing w:line="360" w:lineRule="atLeast"/>
              <w:jc w:val="center"/>
              <w:rPr>
                <w:rFonts w:hint="default" w:ascii="Times New Roman" w:hAnsi="Times New Roman" w:cs="Times New Roman"/>
                <w:color w:val="auto"/>
                <w:kern w:val="0"/>
                <w:szCs w:val="21"/>
                <w:lang w:val="en-US" w:eastAsia="zh-CN"/>
              </w:rPr>
            </w:pPr>
            <w:r>
              <w:rPr>
                <w:rFonts w:hint="eastAsia" w:cs="Times New Roman"/>
                <w:color w:val="auto"/>
                <w:kern w:val="0"/>
                <w:szCs w:val="21"/>
                <w:lang w:val="en-US" w:eastAsia="zh-CN"/>
              </w:rPr>
              <w:t>/</w:t>
            </w:r>
          </w:p>
        </w:tc>
      </w:tr>
      <w:tr w14:paraId="19EB7B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49D9E19D">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61BE2AC3">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废边角料</w:t>
            </w:r>
          </w:p>
        </w:tc>
        <w:tc>
          <w:tcPr>
            <w:tcW w:w="363" w:type="pct"/>
            <w:shd w:val="clear" w:color="auto" w:fill="auto"/>
            <w:tcMar>
              <w:left w:w="28" w:type="dxa"/>
              <w:right w:w="28" w:type="dxa"/>
            </w:tcMar>
            <w:vAlign w:val="center"/>
          </w:tcPr>
          <w:p w14:paraId="0D70ACF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7E2EC7C3">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3DBD48EB">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 w:val="21"/>
                <w:szCs w:val="21"/>
                <w:lang w:val="en-US" w:eastAsia="zh-CN" w:bidi="ar-SA"/>
              </w:rPr>
            </w:pPr>
            <w:r>
              <w:rPr>
                <w:rFonts w:hint="default" w:ascii="Times New Roman" w:hAnsi="Times New Roman" w:eastAsia="宋体" w:cs="Times New Roman"/>
                <w:snapToGrid w:val="0"/>
                <w:color w:val="auto"/>
                <w:kern w:val="21"/>
                <w:szCs w:val="21"/>
              </w:rPr>
              <w:t>/</w:t>
            </w:r>
          </w:p>
        </w:tc>
        <w:tc>
          <w:tcPr>
            <w:tcW w:w="658" w:type="pct"/>
            <w:shd w:val="clear" w:color="auto" w:fill="auto"/>
            <w:tcMar>
              <w:left w:w="28" w:type="dxa"/>
              <w:right w:w="28" w:type="dxa"/>
            </w:tcMar>
            <w:vAlign w:val="center"/>
          </w:tcPr>
          <w:p w14:paraId="4EF84C8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0.65</w:t>
            </w:r>
          </w:p>
        </w:tc>
        <w:tc>
          <w:tcPr>
            <w:tcW w:w="600" w:type="pct"/>
            <w:tcMar>
              <w:left w:w="28" w:type="dxa"/>
              <w:right w:w="28" w:type="dxa"/>
            </w:tcMar>
            <w:vAlign w:val="center"/>
          </w:tcPr>
          <w:p w14:paraId="1ED98359">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snapToGrid w:val="0"/>
                <w:color w:val="auto"/>
                <w:kern w:val="21"/>
                <w:szCs w:val="21"/>
              </w:rPr>
              <w:t>/</w:t>
            </w:r>
          </w:p>
        </w:tc>
        <w:tc>
          <w:tcPr>
            <w:tcW w:w="831" w:type="pct"/>
            <w:shd w:val="clear" w:color="auto" w:fill="auto"/>
            <w:tcMar>
              <w:left w:w="28" w:type="dxa"/>
              <w:right w:w="28" w:type="dxa"/>
            </w:tcMar>
            <w:vAlign w:val="center"/>
          </w:tcPr>
          <w:p w14:paraId="217C502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0.65</w:t>
            </w:r>
          </w:p>
        </w:tc>
        <w:tc>
          <w:tcPr>
            <w:tcW w:w="579" w:type="pct"/>
            <w:tcMar>
              <w:left w:w="28" w:type="dxa"/>
              <w:right w:w="28" w:type="dxa"/>
            </w:tcMar>
            <w:vAlign w:val="center"/>
          </w:tcPr>
          <w:p w14:paraId="4507EE92">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lang w:val="en-US" w:eastAsia="zh-CN"/>
              </w:rPr>
            </w:pPr>
            <w:r>
              <w:rPr>
                <w:rFonts w:hint="eastAsia" w:ascii="Times New Roman" w:hAnsi="Times New Roman" w:cs="Times New Roman"/>
                <w:snapToGrid w:val="0"/>
                <w:color w:val="auto"/>
                <w:kern w:val="21"/>
                <w:szCs w:val="21"/>
                <w:lang w:val="en-US" w:eastAsia="zh-CN"/>
              </w:rPr>
              <w:t>/</w:t>
            </w:r>
          </w:p>
        </w:tc>
      </w:tr>
      <w:tr w14:paraId="473C14B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331DD4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293C0D2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rPr>
              <w:t>不合格产品</w:t>
            </w:r>
          </w:p>
        </w:tc>
        <w:tc>
          <w:tcPr>
            <w:tcW w:w="363" w:type="pct"/>
            <w:shd w:val="clear" w:color="auto" w:fill="auto"/>
            <w:tcMar>
              <w:left w:w="28" w:type="dxa"/>
              <w:right w:w="28" w:type="dxa"/>
            </w:tcMar>
            <w:vAlign w:val="center"/>
          </w:tcPr>
          <w:p w14:paraId="1AC4DED3">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0DEC247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378E8A9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snapToGrid w:val="0"/>
                <w:color w:val="auto"/>
                <w:kern w:val="21"/>
                <w:szCs w:val="21"/>
              </w:rPr>
              <w:t>/</w:t>
            </w:r>
          </w:p>
        </w:tc>
        <w:tc>
          <w:tcPr>
            <w:tcW w:w="658" w:type="pct"/>
            <w:shd w:val="clear" w:color="auto" w:fill="auto"/>
            <w:tcMar>
              <w:left w:w="28" w:type="dxa"/>
              <w:right w:w="28" w:type="dxa"/>
            </w:tcMar>
            <w:vAlign w:val="center"/>
          </w:tcPr>
          <w:p w14:paraId="42965904">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50</w:t>
            </w:r>
          </w:p>
        </w:tc>
        <w:tc>
          <w:tcPr>
            <w:tcW w:w="600" w:type="pct"/>
            <w:tcMar>
              <w:left w:w="28" w:type="dxa"/>
              <w:right w:w="28" w:type="dxa"/>
            </w:tcMar>
            <w:vAlign w:val="center"/>
          </w:tcPr>
          <w:p w14:paraId="6F516FC5">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FF7559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50</w:t>
            </w:r>
          </w:p>
        </w:tc>
        <w:tc>
          <w:tcPr>
            <w:tcW w:w="579" w:type="pct"/>
            <w:tcMar>
              <w:left w:w="28" w:type="dxa"/>
              <w:right w:w="28" w:type="dxa"/>
            </w:tcMar>
            <w:vAlign w:val="center"/>
          </w:tcPr>
          <w:p w14:paraId="236465A5">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3DD516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25F2228B">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396FBFFC">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kern w:val="2"/>
                <w:sz w:val="21"/>
                <w:szCs w:val="21"/>
                <w:lang w:val="en-US" w:eastAsia="zh-CN" w:bidi="ar-SA"/>
              </w:rPr>
              <w:t>沉渣</w:t>
            </w:r>
          </w:p>
        </w:tc>
        <w:tc>
          <w:tcPr>
            <w:tcW w:w="363" w:type="pct"/>
            <w:shd w:val="clear" w:color="auto" w:fill="auto"/>
            <w:tcMar>
              <w:left w:w="28" w:type="dxa"/>
              <w:right w:w="28" w:type="dxa"/>
            </w:tcMar>
            <w:vAlign w:val="center"/>
          </w:tcPr>
          <w:p w14:paraId="1E7B070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53FC4582">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727133B5">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E1BC15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0.05</w:t>
            </w:r>
          </w:p>
        </w:tc>
        <w:tc>
          <w:tcPr>
            <w:tcW w:w="600" w:type="pct"/>
            <w:tcMar>
              <w:left w:w="28" w:type="dxa"/>
              <w:right w:w="28" w:type="dxa"/>
            </w:tcMar>
            <w:vAlign w:val="center"/>
          </w:tcPr>
          <w:p w14:paraId="525B49A2">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07838ED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0.05</w:t>
            </w:r>
          </w:p>
        </w:tc>
        <w:tc>
          <w:tcPr>
            <w:tcW w:w="579" w:type="pct"/>
            <w:tcMar>
              <w:left w:w="28" w:type="dxa"/>
              <w:right w:w="28" w:type="dxa"/>
            </w:tcMar>
            <w:vAlign w:val="center"/>
          </w:tcPr>
          <w:p w14:paraId="3A7C7664">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38F1ABA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433FDA9">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43A6E0A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lang w:eastAsia="zh-CN"/>
              </w:rPr>
              <w:t>除尘器收尘</w:t>
            </w:r>
          </w:p>
        </w:tc>
        <w:tc>
          <w:tcPr>
            <w:tcW w:w="363" w:type="pct"/>
            <w:shd w:val="clear" w:color="auto" w:fill="auto"/>
            <w:tcMar>
              <w:left w:w="28" w:type="dxa"/>
              <w:right w:w="28" w:type="dxa"/>
            </w:tcMar>
            <w:vAlign w:val="center"/>
          </w:tcPr>
          <w:p w14:paraId="43F2EAEE">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3CBC3E14">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27375CB0">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26154F4A">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20.677</w:t>
            </w:r>
          </w:p>
        </w:tc>
        <w:tc>
          <w:tcPr>
            <w:tcW w:w="600" w:type="pct"/>
            <w:tcMar>
              <w:left w:w="28" w:type="dxa"/>
              <w:right w:w="28" w:type="dxa"/>
            </w:tcMar>
            <w:vAlign w:val="center"/>
          </w:tcPr>
          <w:p w14:paraId="5EEE3B0C">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5B25B56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20.677</w:t>
            </w:r>
          </w:p>
        </w:tc>
        <w:tc>
          <w:tcPr>
            <w:tcW w:w="579" w:type="pct"/>
            <w:tcMar>
              <w:left w:w="28" w:type="dxa"/>
              <w:right w:w="28" w:type="dxa"/>
            </w:tcMar>
            <w:vAlign w:val="center"/>
          </w:tcPr>
          <w:p w14:paraId="60A1BDFA">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68D7D8D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0BA5795">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6BD8BC50">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w w:val="100"/>
                <w:kern w:val="2"/>
                <w:sz w:val="21"/>
                <w:szCs w:val="21"/>
                <w:lang w:val="en-US" w:eastAsia="zh-CN" w:bidi="ar-SA"/>
              </w:rPr>
            </w:pPr>
            <w:r>
              <w:rPr>
                <w:rFonts w:hint="default" w:ascii="Times New Roman" w:hAnsi="Times New Roman" w:eastAsia="宋体" w:cs="Times New Roman"/>
                <w:b w:val="0"/>
                <w:bCs w:val="0"/>
                <w:color w:val="auto"/>
                <w:w w:val="100"/>
                <w:sz w:val="21"/>
                <w:szCs w:val="21"/>
                <w:lang w:val="en-US" w:eastAsia="zh-CN"/>
              </w:rPr>
              <w:t>废布袋</w:t>
            </w:r>
          </w:p>
        </w:tc>
        <w:tc>
          <w:tcPr>
            <w:tcW w:w="363" w:type="pct"/>
            <w:shd w:val="clear" w:color="auto" w:fill="auto"/>
            <w:tcMar>
              <w:left w:w="28" w:type="dxa"/>
              <w:right w:w="28" w:type="dxa"/>
            </w:tcMar>
            <w:vAlign w:val="center"/>
          </w:tcPr>
          <w:p w14:paraId="3FAFE61E">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46C45142">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5068B73A">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594FA9AC">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0.02</w:t>
            </w:r>
            <w:r>
              <w:rPr>
                <w:rFonts w:hint="eastAsia" w:cs="Times New Roman"/>
                <w:b w:val="0"/>
                <w:bCs w:val="0"/>
                <w:color w:val="auto"/>
                <w:sz w:val="21"/>
                <w:szCs w:val="21"/>
                <w:lang w:val="en-US" w:eastAsia="zh-CN" w:bidi="ar-SA"/>
              </w:rPr>
              <w:t>4</w:t>
            </w:r>
          </w:p>
        </w:tc>
        <w:tc>
          <w:tcPr>
            <w:tcW w:w="600" w:type="pct"/>
            <w:tcMar>
              <w:left w:w="28" w:type="dxa"/>
              <w:right w:w="28" w:type="dxa"/>
            </w:tcMar>
            <w:vAlign w:val="center"/>
          </w:tcPr>
          <w:p w14:paraId="38D8C8ED">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384FFEB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0.02</w:t>
            </w:r>
            <w:r>
              <w:rPr>
                <w:rFonts w:hint="eastAsia" w:cs="Times New Roman"/>
                <w:b w:val="0"/>
                <w:bCs w:val="0"/>
                <w:color w:val="auto"/>
                <w:sz w:val="21"/>
                <w:szCs w:val="21"/>
                <w:lang w:val="en-US" w:eastAsia="zh-CN" w:bidi="ar-SA"/>
              </w:rPr>
              <w:t>4</w:t>
            </w:r>
          </w:p>
        </w:tc>
        <w:tc>
          <w:tcPr>
            <w:tcW w:w="579" w:type="pct"/>
            <w:tcMar>
              <w:left w:w="28" w:type="dxa"/>
              <w:right w:w="28" w:type="dxa"/>
            </w:tcMar>
            <w:vAlign w:val="center"/>
          </w:tcPr>
          <w:p w14:paraId="31A1A91A">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5B0B12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3BA4DB8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7D718CAA">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rPr>
              <w:t>废包装</w:t>
            </w:r>
            <w:r>
              <w:rPr>
                <w:rFonts w:hint="default" w:ascii="Times New Roman" w:hAnsi="Times New Roman" w:eastAsia="宋体" w:cs="Times New Roman"/>
                <w:b w:val="0"/>
                <w:bCs w:val="0"/>
                <w:color w:val="auto"/>
                <w:w w:val="100"/>
                <w:sz w:val="21"/>
                <w:szCs w:val="21"/>
                <w:lang w:val="en-US" w:eastAsia="zh-CN"/>
              </w:rPr>
              <w:t>物</w:t>
            </w:r>
          </w:p>
        </w:tc>
        <w:tc>
          <w:tcPr>
            <w:tcW w:w="363" w:type="pct"/>
            <w:shd w:val="clear" w:color="auto" w:fill="auto"/>
            <w:tcMar>
              <w:left w:w="28" w:type="dxa"/>
              <w:right w:w="28" w:type="dxa"/>
            </w:tcMar>
            <w:vAlign w:val="center"/>
          </w:tcPr>
          <w:p w14:paraId="2C5979B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93" w:type="pct"/>
            <w:shd w:val="clear" w:color="auto" w:fill="auto"/>
            <w:tcMar>
              <w:left w:w="28" w:type="dxa"/>
              <w:right w:w="28" w:type="dxa"/>
            </w:tcMar>
            <w:vAlign w:val="center"/>
          </w:tcPr>
          <w:p w14:paraId="00602151">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w:t>
            </w:r>
          </w:p>
        </w:tc>
        <w:tc>
          <w:tcPr>
            <w:tcW w:w="409" w:type="pct"/>
            <w:tcMar>
              <w:left w:w="28" w:type="dxa"/>
              <w:right w:w="28" w:type="dxa"/>
            </w:tcMar>
            <w:vAlign w:val="center"/>
          </w:tcPr>
          <w:p w14:paraId="37B1E90A">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D1CD78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600" w:type="pct"/>
            <w:tcMar>
              <w:left w:w="28" w:type="dxa"/>
              <w:right w:w="28" w:type="dxa"/>
            </w:tcMar>
            <w:vAlign w:val="center"/>
          </w:tcPr>
          <w:p w14:paraId="4F7C4B54">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071FB54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579" w:type="pct"/>
            <w:tcMar>
              <w:left w:w="28" w:type="dxa"/>
              <w:right w:w="28" w:type="dxa"/>
            </w:tcMar>
            <w:vAlign w:val="center"/>
          </w:tcPr>
          <w:p w14:paraId="207BBDC3">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0CFD4F8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restart"/>
            <w:tcMar>
              <w:left w:w="28" w:type="dxa"/>
              <w:right w:w="28" w:type="dxa"/>
            </w:tcMar>
            <w:vAlign w:val="center"/>
          </w:tcPr>
          <w:p w14:paraId="2CF41CE8">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r>
              <w:rPr>
                <w:rFonts w:hint="default" w:ascii="Times New Roman" w:hAnsi="Times New Roman" w:eastAsia="宋体" w:cs="Times New Roman"/>
                <w:bCs/>
                <w:snapToGrid w:val="0"/>
                <w:color w:val="auto"/>
                <w:kern w:val="21"/>
                <w:sz w:val="21"/>
                <w:szCs w:val="21"/>
                <w:lang w:val="zh-CN" w:eastAsia="zh-CN" w:bidi="zh-CN"/>
              </w:rPr>
              <w:t>危险废物</w:t>
            </w:r>
          </w:p>
        </w:tc>
        <w:tc>
          <w:tcPr>
            <w:tcW w:w="659" w:type="pct"/>
            <w:gridSpan w:val="2"/>
            <w:shd w:val="clear" w:color="auto" w:fill="auto"/>
            <w:tcMar>
              <w:left w:w="28" w:type="dxa"/>
              <w:right w:w="28" w:type="dxa"/>
            </w:tcMar>
            <w:vAlign w:val="center"/>
          </w:tcPr>
          <w:p w14:paraId="25E3733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废胶水</w:t>
            </w:r>
          </w:p>
        </w:tc>
        <w:tc>
          <w:tcPr>
            <w:tcW w:w="363" w:type="pct"/>
            <w:shd w:val="clear" w:color="auto" w:fill="auto"/>
            <w:tcMar>
              <w:left w:w="28" w:type="dxa"/>
              <w:right w:w="28" w:type="dxa"/>
            </w:tcMar>
            <w:vAlign w:val="center"/>
          </w:tcPr>
          <w:p w14:paraId="08F57C66">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6CD07037">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snapToGrid w:val="0"/>
                <w:color w:val="auto"/>
                <w:kern w:val="21"/>
                <w:sz w:val="21"/>
                <w:szCs w:val="21"/>
                <w:lang w:val="en-US" w:eastAsia="zh-CN" w:bidi="ar-SA"/>
              </w:rPr>
            </w:pPr>
            <w:r>
              <w:rPr>
                <w:rFonts w:hint="eastAsia" w:cs="Times New Roman"/>
                <w:snapToGrid w:val="0"/>
                <w:color w:val="auto"/>
                <w:kern w:val="21"/>
                <w:szCs w:val="21"/>
                <w:lang w:val="en-US" w:eastAsia="zh-CN"/>
              </w:rPr>
              <w:t>/</w:t>
            </w:r>
          </w:p>
        </w:tc>
        <w:tc>
          <w:tcPr>
            <w:tcW w:w="409" w:type="pct"/>
            <w:shd w:val="clear" w:color="auto" w:fill="auto"/>
            <w:tcMar>
              <w:left w:w="28" w:type="dxa"/>
              <w:right w:w="28" w:type="dxa"/>
            </w:tcMar>
            <w:vAlign w:val="center"/>
          </w:tcPr>
          <w:p w14:paraId="55A0F13B">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snapToGrid w:val="0"/>
                <w:color w:val="auto"/>
                <w:kern w:val="21"/>
                <w:sz w:val="21"/>
                <w:szCs w:val="21"/>
                <w:lang w:val="en-US" w:eastAsia="zh-CN" w:bidi="ar-SA"/>
              </w:rPr>
            </w:pPr>
            <w:r>
              <w:rPr>
                <w:rFonts w:hint="eastAsia" w:cs="Times New Roman"/>
                <w:snapToGrid w:val="0"/>
                <w:color w:val="auto"/>
                <w:kern w:val="21"/>
                <w:szCs w:val="21"/>
                <w:lang w:val="en-US" w:eastAsia="zh-CN"/>
              </w:rPr>
              <w:t>/</w:t>
            </w:r>
          </w:p>
        </w:tc>
        <w:tc>
          <w:tcPr>
            <w:tcW w:w="658" w:type="pct"/>
            <w:shd w:val="clear" w:color="auto" w:fill="auto"/>
            <w:tcMar>
              <w:left w:w="28" w:type="dxa"/>
              <w:right w:w="28" w:type="dxa"/>
            </w:tcMar>
            <w:vAlign w:val="center"/>
          </w:tcPr>
          <w:p w14:paraId="5A9CC2B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cs="Times New Roman"/>
                <w:b w:val="0"/>
                <w:bCs w:val="0"/>
                <w:color w:val="auto"/>
                <w:sz w:val="21"/>
                <w:szCs w:val="21"/>
                <w:lang w:val="en-US" w:eastAsia="zh-CN" w:bidi="ar-SA"/>
              </w:rPr>
            </w:pPr>
            <w:r>
              <w:rPr>
                <w:rFonts w:hint="eastAsia" w:cs="Times New Roman"/>
                <w:b w:val="0"/>
                <w:bCs w:val="0"/>
                <w:color w:val="auto"/>
                <w:sz w:val="21"/>
                <w:szCs w:val="21"/>
                <w:lang w:val="en-US" w:eastAsia="zh-CN" w:bidi="ar-SA"/>
              </w:rPr>
              <w:t>1.0</w:t>
            </w:r>
          </w:p>
        </w:tc>
        <w:tc>
          <w:tcPr>
            <w:tcW w:w="600" w:type="pct"/>
            <w:shd w:val="clear" w:color="auto" w:fill="auto"/>
            <w:tcMar>
              <w:left w:w="28" w:type="dxa"/>
              <w:right w:w="28" w:type="dxa"/>
            </w:tcMar>
            <w:vAlign w:val="center"/>
          </w:tcPr>
          <w:p w14:paraId="4E41ED62">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Cs w:val="21"/>
                <w:lang w:val="en-US" w:eastAsia="zh-CN"/>
              </w:rPr>
              <w:t>/</w:t>
            </w:r>
          </w:p>
        </w:tc>
        <w:tc>
          <w:tcPr>
            <w:tcW w:w="831" w:type="pct"/>
            <w:shd w:val="clear" w:color="auto" w:fill="auto"/>
            <w:tcMar>
              <w:left w:w="28" w:type="dxa"/>
              <w:right w:w="28" w:type="dxa"/>
            </w:tcMar>
            <w:vAlign w:val="center"/>
          </w:tcPr>
          <w:p w14:paraId="3D22EA57">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1.0</w:t>
            </w:r>
          </w:p>
        </w:tc>
        <w:tc>
          <w:tcPr>
            <w:tcW w:w="579" w:type="pct"/>
            <w:shd w:val="clear" w:color="auto" w:fill="auto"/>
            <w:tcMar>
              <w:left w:w="28" w:type="dxa"/>
              <w:right w:w="28" w:type="dxa"/>
            </w:tcMar>
            <w:vAlign w:val="center"/>
          </w:tcPr>
          <w:p w14:paraId="4C563583">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szCs w:val="21"/>
                <w:lang w:val="en-US" w:eastAsia="zh-CN"/>
              </w:rPr>
              <w:t>/</w:t>
            </w:r>
          </w:p>
        </w:tc>
      </w:tr>
      <w:tr w14:paraId="107FB1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68CF1B8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30244BDF">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废清洗液</w:t>
            </w:r>
          </w:p>
        </w:tc>
        <w:tc>
          <w:tcPr>
            <w:tcW w:w="363" w:type="pct"/>
            <w:tcMar>
              <w:left w:w="28" w:type="dxa"/>
              <w:right w:w="28" w:type="dxa"/>
            </w:tcMar>
            <w:vAlign w:val="center"/>
          </w:tcPr>
          <w:p w14:paraId="4AC9BAF0">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w:t>
            </w:r>
          </w:p>
        </w:tc>
        <w:tc>
          <w:tcPr>
            <w:tcW w:w="493" w:type="pct"/>
            <w:tcMar>
              <w:left w:w="28" w:type="dxa"/>
              <w:right w:w="28" w:type="dxa"/>
            </w:tcMar>
            <w:vAlign w:val="center"/>
          </w:tcPr>
          <w:p w14:paraId="2DBFD468">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snapToGrid w:val="0"/>
                <w:color w:val="auto"/>
                <w:kern w:val="21"/>
                <w:szCs w:val="21"/>
                <w:lang w:val="en-US" w:eastAsia="zh-CN"/>
              </w:rPr>
            </w:pPr>
            <w:r>
              <w:rPr>
                <w:rFonts w:hint="eastAsia" w:cs="Times New Roman"/>
                <w:snapToGrid w:val="0"/>
                <w:color w:val="auto"/>
                <w:kern w:val="21"/>
                <w:szCs w:val="21"/>
                <w:lang w:val="en-US" w:eastAsia="zh-CN"/>
              </w:rPr>
              <w:t>/</w:t>
            </w:r>
          </w:p>
        </w:tc>
        <w:tc>
          <w:tcPr>
            <w:tcW w:w="409" w:type="pct"/>
            <w:tcMar>
              <w:left w:w="28" w:type="dxa"/>
              <w:right w:w="28" w:type="dxa"/>
            </w:tcMar>
            <w:vAlign w:val="center"/>
          </w:tcPr>
          <w:p w14:paraId="4EAA050B">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snapToGrid w:val="0"/>
                <w:color w:val="auto"/>
                <w:kern w:val="21"/>
                <w:szCs w:val="21"/>
                <w:lang w:val="en-US" w:eastAsia="zh-CN"/>
              </w:rPr>
            </w:pPr>
            <w:r>
              <w:rPr>
                <w:rFonts w:hint="eastAsia" w:cs="Times New Roman"/>
                <w:snapToGrid w:val="0"/>
                <w:color w:val="auto"/>
                <w:kern w:val="21"/>
                <w:szCs w:val="21"/>
                <w:lang w:val="en-US" w:eastAsia="zh-CN"/>
              </w:rPr>
              <w:t>/</w:t>
            </w:r>
          </w:p>
        </w:tc>
        <w:tc>
          <w:tcPr>
            <w:tcW w:w="658" w:type="pct"/>
            <w:shd w:val="clear" w:color="auto" w:fill="auto"/>
            <w:tcMar>
              <w:left w:w="28" w:type="dxa"/>
              <w:right w:w="28" w:type="dxa"/>
            </w:tcMar>
            <w:vAlign w:val="center"/>
          </w:tcPr>
          <w:p w14:paraId="51E20F7C">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3.8</w:t>
            </w:r>
          </w:p>
        </w:tc>
        <w:tc>
          <w:tcPr>
            <w:tcW w:w="600" w:type="pct"/>
            <w:tcMar>
              <w:left w:w="28" w:type="dxa"/>
              <w:right w:w="28" w:type="dxa"/>
            </w:tcMar>
            <w:vAlign w:val="center"/>
          </w:tcPr>
          <w:p w14:paraId="16EFC036">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color w:val="auto"/>
                <w:kern w:val="0"/>
                <w:szCs w:val="21"/>
                <w:lang w:val="en-US" w:eastAsia="zh-CN"/>
              </w:rPr>
            </w:pPr>
            <w:r>
              <w:rPr>
                <w:rFonts w:hint="eastAsia" w:cs="Times New Roman"/>
                <w:color w:val="auto"/>
                <w:kern w:val="0"/>
                <w:szCs w:val="21"/>
                <w:lang w:val="en-US" w:eastAsia="zh-CN"/>
              </w:rPr>
              <w:t>/</w:t>
            </w:r>
          </w:p>
        </w:tc>
        <w:tc>
          <w:tcPr>
            <w:tcW w:w="831" w:type="pct"/>
            <w:shd w:val="clear" w:color="auto" w:fill="auto"/>
            <w:tcMar>
              <w:left w:w="28" w:type="dxa"/>
              <w:right w:w="28" w:type="dxa"/>
            </w:tcMar>
            <w:vAlign w:val="center"/>
          </w:tcPr>
          <w:p w14:paraId="36154219">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3.8</w:t>
            </w:r>
          </w:p>
        </w:tc>
        <w:tc>
          <w:tcPr>
            <w:tcW w:w="579" w:type="pct"/>
            <w:tcMar>
              <w:left w:w="28" w:type="dxa"/>
              <w:right w:w="28" w:type="dxa"/>
            </w:tcMar>
            <w:vAlign w:val="center"/>
          </w:tcPr>
          <w:p w14:paraId="6C8952BE">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w:t>
            </w:r>
          </w:p>
        </w:tc>
      </w:tr>
      <w:tr w14:paraId="3FE0C5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0586D35">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4FBC633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w w:val="100"/>
                <w:sz w:val="21"/>
                <w:szCs w:val="21"/>
                <w:highlight w:val="none"/>
                <w:lang w:val="en-US" w:eastAsia="zh-CN"/>
              </w:rPr>
              <w:t>废涂液</w:t>
            </w:r>
          </w:p>
        </w:tc>
        <w:tc>
          <w:tcPr>
            <w:tcW w:w="363" w:type="pct"/>
            <w:shd w:val="clear" w:color="auto" w:fill="auto"/>
            <w:tcMar>
              <w:left w:w="28" w:type="dxa"/>
              <w:right w:w="28" w:type="dxa"/>
            </w:tcMar>
            <w:vAlign w:val="center"/>
          </w:tcPr>
          <w:p w14:paraId="6C3BAA16">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0115CD16">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snapToGrid w:val="0"/>
                <w:color w:val="auto"/>
                <w:kern w:val="21"/>
                <w:szCs w:val="21"/>
                <w:lang w:val="en-US" w:eastAsia="zh-CN"/>
              </w:rPr>
              <w:t>/</w:t>
            </w:r>
          </w:p>
        </w:tc>
        <w:tc>
          <w:tcPr>
            <w:tcW w:w="409" w:type="pct"/>
            <w:shd w:val="clear" w:color="auto" w:fill="auto"/>
            <w:tcMar>
              <w:left w:w="28" w:type="dxa"/>
              <w:right w:w="28" w:type="dxa"/>
            </w:tcMar>
            <w:vAlign w:val="center"/>
          </w:tcPr>
          <w:p w14:paraId="30084EF5">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 w:val="21"/>
                <w:szCs w:val="21"/>
                <w:lang w:val="en-US" w:eastAsia="zh-CN" w:bidi="ar-SA"/>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5357B202">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10</w:t>
            </w:r>
          </w:p>
        </w:tc>
        <w:tc>
          <w:tcPr>
            <w:tcW w:w="600" w:type="pct"/>
            <w:shd w:val="clear" w:color="auto" w:fill="auto"/>
            <w:tcMar>
              <w:left w:w="28" w:type="dxa"/>
              <w:right w:w="28" w:type="dxa"/>
            </w:tcMar>
            <w:vAlign w:val="center"/>
          </w:tcPr>
          <w:p w14:paraId="17DEC78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007B7FB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10</w:t>
            </w:r>
          </w:p>
        </w:tc>
        <w:tc>
          <w:tcPr>
            <w:tcW w:w="579" w:type="pct"/>
            <w:shd w:val="clear" w:color="auto" w:fill="auto"/>
            <w:tcMar>
              <w:left w:w="28" w:type="dxa"/>
              <w:right w:w="28" w:type="dxa"/>
            </w:tcMar>
            <w:vAlign w:val="center"/>
          </w:tcPr>
          <w:p w14:paraId="10D8902C">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w:t>
            </w:r>
          </w:p>
        </w:tc>
      </w:tr>
      <w:tr w14:paraId="0D0613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47A1DEA6">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111702B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废渣</w:t>
            </w:r>
          </w:p>
        </w:tc>
        <w:tc>
          <w:tcPr>
            <w:tcW w:w="363" w:type="pct"/>
            <w:shd w:val="clear" w:color="auto" w:fill="auto"/>
            <w:tcMar>
              <w:left w:w="28" w:type="dxa"/>
              <w:right w:w="28" w:type="dxa"/>
            </w:tcMar>
            <w:vAlign w:val="center"/>
          </w:tcPr>
          <w:p w14:paraId="2DD414E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7E75485B">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snapToGrid w:val="0"/>
                <w:color w:val="auto"/>
                <w:kern w:val="21"/>
                <w:szCs w:val="21"/>
                <w:lang w:val="en-US" w:eastAsia="zh-CN"/>
              </w:rPr>
              <w:t>/</w:t>
            </w:r>
          </w:p>
        </w:tc>
        <w:tc>
          <w:tcPr>
            <w:tcW w:w="409" w:type="pct"/>
            <w:tcMar>
              <w:left w:w="28" w:type="dxa"/>
              <w:right w:w="28" w:type="dxa"/>
            </w:tcMar>
            <w:vAlign w:val="center"/>
          </w:tcPr>
          <w:p w14:paraId="44EDE0FC">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0263BF2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600" w:type="pct"/>
            <w:tcMar>
              <w:left w:w="28" w:type="dxa"/>
              <w:right w:w="28" w:type="dxa"/>
            </w:tcMar>
            <w:vAlign w:val="center"/>
          </w:tcPr>
          <w:p w14:paraId="4DDFC448">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65440E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20</w:t>
            </w:r>
          </w:p>
        </w:tc>
        <w:tc>
          <w:tcPr>
            <w:tcW w:w="579" w:type="pct"/>
            <w:tcMar>
              <w:left w:w="28" w:type="dxa"/>
              <w:right w:w="28" w:type="dxa"/>
            </w:tcMar>
            <w:vAlign w:val="center"/>
          </w:tcPr>
          <w:p w14:paraId="4FA37BB6">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16613EE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1C0AB520">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118A2E7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废活性炭</w:t>
            </w:r>
          </w:p>
        </w:tc>
        <w:tc>
          <w:tcPr>
            <w:tcW w:w="363" w:type="pct"/>
            <w:shd w:val="clear" w:color="auto" w:fill="auto"/>
            <w:tcMar>
              <w:left w:w="28" w:type="dxa"/>
              <w:right w:w="28" w:type="dxa"/>
            </w:tcMar>
            <w:vAlign w:val="center"/>
          </w:tcPr>
          <w:p w14:paraId="3988903C">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253E7F2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snapToGrid w:val="0"/>
                <w:color w:val="auto"/>
                <w:kern w:val="21"/>
                <w:szCs w:val="21"/>
                <w:lang w:val="en-US" w:eastAsia="zh-CN"/>
              </w:rPr>
              <w:t>/</w:t>
            </w:r>
          </w:p>
        </w:tc>
        <w:tc>
          <w:tcPr>
            <w:tcW w:w="409" w:type="pct"/>
            <w:tcMar>
              <w:left w:w="28" w:type="dxa"/>
              <w:right w:w="28" w:type="dxa"/>
            </w:tcMar>
            <w:vAlign w:val="center"/>
          </w:tcPr>
          <w:p w14:paraId="569ADB37">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6B3637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59.77</w:t>
            </w:r>
          </w:p>
        </w:tc>
        <w:tc>
          <w:tcPr>
            <w:tcW w:w="600" w:type="pct"/>
            <w:tcMar>
              <w:left w:w="28" w:type="dxa"/>
              <w:right w:w="28" w:type="dxa"/>
            </w:tcMar>
            <w:vAlign w:val="center"/>
          </w:tcPr>
          <w:p w14:paraId="2BDACEA0">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6DC32A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59.77</w:t>
            </w:r>
          </w:p>
        </w:tc>
        <w:tc>
          <w:tcPr>
            <w:tcW w:w="579" w:type="pct"/>
            <w:tcMar>
              <w:left w:w="28" w:type="dxa"/>
              <w:right w:w="28" w:type="dxa"/>
            </w:tcMar>
            <w:vAlign w:val="center"/>
          </w:tcPr>
          <w:p w14:paraId="6D9DE8F8">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7DC224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79973535">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bCs/>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08B002BB">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水喷淋废水</w:t>
            </w:r>
          </w:p>
        </w:tc>
        <w:tc>
          <w:tcPr>
            <w:tcW w:w="363" w:type="pct"/>
            <w:shd w:val="clear" w:color="auto" w:fill="auto"/>
            <w:tcMar>
              <w:left w:w="28" w:type="dxa"/>
              <w:right w:w="28" w:type="dxa"/>
            </w:tcMar>
            <w:vAlign w:val="center"/>
          </w:tcPr>
          <w:p w14:paraId="21CD22C9">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0559B4D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snapToGrid w:val="0"/>
                <w:color w:val="auto"/>
                <w:kern w:val="21"/>
                <w:szCs w:val="21"/>
                <w:lang w:val="en-US" w:eastAsia="zh-CN"/>
              </w:rPr>
              <w:t>/</w:t>
            </w:r>
          </w:p>
        </w:tc>
        <w:tc>
          <w:tcPr>
            <w:tcW w:w="409" w:type="pct"/>
            <w:tcMar>
              <w:left w:w="28" w:type="dxa"/>
              <w:right w:w="28" w:type="dxa"/>
            </w:tcMar>
            <w:vAlign w:val="center"/>
          </w:tcPr>
          <w:p w14:paraId="61B2E80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6A96D071">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p>
        </w:tc>
        <w:tc>
          <w:tcPr>
            <w:tcW w:w="600" w:type="pct"/>
            <w:tcMar>
              <w:left w:w="28" w:type="dxa"/>
              <w:right w:w="28" w:type="dxa"/>
            </w:tcMar>
            <w:vAlign w:val="center"/>
          </w:tcPr>
          <w:p w14:paraId="0F2CD0A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AA84D3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1</w:t>
            </w:r>
          </w:p>
        </w:tc>
        <w:tc>
          <w:tcPr>
            <w:tcW w:w="579" w:type="pct"/>
            <w:tcMar>
              <w:left w:w="28" w:type="dxa"/>
              <w:right w:w="28" w:type="dxa"/>
            </w:tcMar>
            <w:vAlign w:val="center"/>
          </w:tcPr>
          <w:p w14:paraId="357C4D70">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69C728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5DFD49CE">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2A77891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废机油</w:t>
            </w:r>
          </w:p>
        </w:tc>
        <w:tc>
          <w:tcPr>
            <w:tcW w:w="363" w:type="pct"/>
            <w:shd w:val="clear" w:color="auto" w:fill="auto"/>
            <w:tcMar>
              <w:left w:w="28" w:type="dxa"/>
              <w:right w:w="28" w:type="dxa"/>
            </w:tcMar>
            <w:vAlign w:val="center"/>
          </w:tcPr>
          <w:p w14:paraId="7F917B48">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93" w:type="pct"/>
            <w:shd w:val="clear" w:color="auto" w:fill="auto"/>
            <w:tcMar>
              <w:left w:w="28" w:type="dxa"/>
              <w:right w:w="28" w:type="dxa"/>
            </w:tcMar>
            <w:vAlign w:val="center"/>
          </w:tcPr>
          <w:p w14:paraId="424A671E">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09" w:type="pct"/>
            <w:tcMar>
              <w:left w:w="28" w:type="dxa"/>
              <w:right w:w="28" w:type="dxa"/>
            </w:tcMar>
            <w:vAlign w:val="center"/>
          </w:tcPr>
          <w:p w14:paraId="347F1D75">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7103265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0.5</w:t>
            </w:r>
          </w:p>
        </w:tc>
        <w:tc>
          <w:tcPr>
            <w:tcW w:w="600" w:type="pct"/>
            <w:tcMar>
              <w:left w:w="28" w:type="dxa"/>
              <w:right w:w="28" w:type="dxa"/>
            </w:tcMar>
            <w:vAlign w:val="center"/>
          </w:tcPr>
          <w:p w14:paraId="5EEA47C5">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2B700D9">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0.5</w:t>
            </w:r>
          </w:p>
        </w:tc>
        <w:tc>
          <w:tcPr>
            <w:tcW w:w="579" w:type="pct"/>
            <w:tcMar>
              <w:left w:w="28" w:type="dxa"/>
              <w:right w:w="28" w:type="dxa"/>
            </w:tcMar>
            <w:vAlign w:val="center"/>
          </w:tcPr>
          <w:p w14:paraId="7D4DFD24">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462B7E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28DA28A6">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566D94F6">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废</w:t>
            </w:r>
            <w:r>
              <w:rPr>
                <w:rFonts w:hint="eastAsia" w:cs="Times New Roman"/>
                <w:b w:val="0"/>
                <w:bCs w:val="0"/>
                <w:color w:val="auto"/>
                <w:sz w:val="21"/>
                <w:szCs w:val="21"/>
                <w:lang w:val="en-US" w:eastAsia="zh-CN" w:bidi="ar-SA"/>
              </w:rPr>
              <w:t>油</w:t>
            </w:r>
            <w:r>
              <w:rPr>
                <w:rFonts w:hint="default" w:ascii="Times New Roman" w:hAnsi="Times New Roman" w:eastAsia="宋体" w:cs="Times New Roman"/>
                <w:b w:val="0"/>
                <w:bCs w:val="0"/>
                <w:color w:val="auto"/>
                <w:sz w:val="21"/>
                <w:szCs w:val="21"/>
                <w:lang w:val="en-US" w:eastAsia="zh-CN" w:bidi="ar-SA"/>
              </w:rPr>
              <w:t>桶</w:t>
            </w:r>
          </w:p>
        </w:tc>
        <w:tc>
          <w:tcPr>
            <w:tcW w:w="363" w:type="pct"/>
            <w:shd w:val="clear" w:color="auto" w:fill="auto"/>
            <w:tcMar>
              <w:left w:w="28" w:type="dxa"/>
              <w:right w:w="28" w:type="dxa"/>
            </w:tcMar>
            <w:vAlign w:val="center"/>
          </w:tcPr>
          <w:p w14:paraId="1E8EFBCE">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93" w:type="pct"/>
            <w:shd w:val="clear" w:color="auto" w:fill="auto"/>
            <w:tcMar>
              <w:left w:w="28" w:type="dxa"/>
              <w:right w:w="28" w:type="dxa"/>
            </w:tcMar>
            <w:vAlign w:val="center"/>
          </w:tcPr>
          <w:p w14:paraId="5F64EA2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09" w:type="pct"/>
            <w:tcMar>
              <w:left w:w="28" w:type="dxa"/>
              <w:right w:w="28" w:type="dxa"/>
            </w:tcMar>
            <w:vAlign w:val="center"/>
          </w:tcPr>
          <w:p w14:paraId="5639FDED">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78B933D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lang w:val="en-US" w:eastAsia="zh-CN" w:bidi="ar-SA"/>
              </w:rPr>
              <w:t>0.5</w:t>
            </w:r>
          </w:p>
        </w:tc>
        <w:tc>
          <w:tcPr>
            <w:tcW w:w="600" w:type="pct"/>
            <w:tcMar>
              <w:left w:w="28" w:type="dxa"/>
              <w:right w:w="28" w:type="dxa"/>
            </w:tcMar>
            <w:vAlign w:val="center"/>
          </w:tcPr>
          <w:p w14:paraId="5CF9EB08">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3C0104FD">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lang w:val="en-US" w:eastAsia="zh-CN" w:bidi="ar-SA"/>
              </w:rPr>
              <w:t>0.5</w:t>
            </w:r>
          </w:p>
        </w:tc>
        <w:tc>
          <w:tcPr>
            <w:tcW w:w="579" w:type="pct"/>
            <w:tcMar>
              <w:left w:w="28" w:type="dxa"/>
              <w:right w:w="28" w:type="dxa"/>
            </w:tcMar>
            <w:vAlign w:val="center"/>
          </w:tcPr>
          <w:p w14:paraId="2C1339F2">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4E73DA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282B05FC">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2E03F898">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bidi="ar-SA"/>
              </w:rPr>
              <w:t>废桶</w:t>
            </w:r>
          </w:p>
        </w:tc>
        <w:tc>
          <w:tcPr>
            <w:tcW w:w="363" w:type="pct"/>
            <w:shd w:val="clear" w:color="auto" w:fill="auto"/>
            <w:tcMar>
              <w:left w:w="28" w:type="dxa"/>
              <w:right w:w="28" w:type="dxa"/>
            </w:tcMar>
            <w:vAlign w:val="center"/>
          </w:tcPr>
          <w:p w14:paraId="17B44C22">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93" w:type="pct"/>
            <w:shd w:val="clear" w:color="auto" w:fill="auto"/>
            <w:tcMar>
              <w:left w:w="28" w:type="dxa"/>
              <w:right w:w="28" w:type="dxa"/>
            </w:tcMar>
            <w:vAlign w:val="center"/>
          </w:tcPr>
          <w:p w14:paraId="3F12C493">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09" w:type="pct"/>
            <w:tcMar>
              <w:left w:w="28" w:type="dxa"/>
              <w:right w:w="28" w:type="dxa"/>
            </w:tcMar>
            <w:vAlign w:val="center"/>
          </w:tcPr>
          <w:p w14:paraId="01D873D6">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399C3274">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3.5</w:t>
            </w:r>
          </w:p>
        </w:tc>
        <w:tc>
          <w:tcPr>
            <w:tcW w:w="600" w:type="pct"/>
            <w:tcMar>
              <w:left w:w="28" w:type="dxa"/>
              <w:right w:w="28" w:type="dxa"/>
            </w:tcMar>
            <w:vAlign w:val="center"/>
          </w:tcPr>
          <w:p w14:paraId="7718FF4E">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0B7DEEE3">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3.5</w:t>
            </w:r>
          </w:p>
        </w:tc>
        <w:tc>
          <w:tcPr>
            <w:tcW w:w="579" w:type="pct"/>
            <w:tcMar>
              <w:left w:w="28" w:type="dxa"/>
              <w:right w:w="28" w:type="dxa"/>
            </w:tcMar>
            <w:vAlign w:val="center"/>
          </w:tcPr>
          <w:p w14:paraId="2A10F2B2">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13725E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vMerge w:val="continue"/>
            <w:tcMar>
              <w:left w:w="28" w:type="dxa"/>
              <w:right w:w="28" w:type="dxa"/>
            </w:tcMar>
            <w:vAlign w:val="center"/>
          </w:tcPr>
          <w:p w14:paraId="0EA222B7">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p>
        </w:tc>
        <w:tc>
          <w:tcPr>
            <w:tcW w:w="659" w:type="pct"/>
            <w:gridSpan w:val="2"/>
            <w:shd w:val="clear" w:color="auto" w:fill="auto"/>
            <w:tcMar>
              <w:left w:w="28" w:type="dxa"/>
              <w:right w:w="28" w:type="dxa"/>
            </w:tcMar>
            <w:vAlign w:val="center"/>
          </w:tcPr>
          <w:p w14:paraId="07DE508C">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w w:val="100"/>
                <w:sz w:val="21"/>
                <w:szCs w:val="21"/>
                <w:highlight w:val="none"/>
                <w:lang w:val="en-US" w:eastAsia="zh-CN"/>
              </w:rPr>
              <w:t>废导热油</w:t>
            </w:r>
          </w:p>
        </w:tc>
        <w:tc>
          <w:tcPr>
            <w:tcW w:w="363" w:type="pct"/>
            <w:shd w:val="clear" w:color="auto" w:fill="auto"/>
            <w:tcMar>
              <w:left w:w="28" w:type="dxa"/>
              <w:right w:w="28" w:type="dxa"/>
            </w:tcMar>
            <w:vAlign w:val="center"/>
          </w:tcPr>
          <w:p w14:paraId="49039FE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93" w:type="pct"/>
            <w:shd w:val="clear" w:color="auto" w:fill="auto"/>
            <w:tcMar>
              <w:left w:w="28" w:type="dxa"/>
              <w:right w:w="28" w:type="dxa"/>
            </w:tcMar>
            <w:vAlign w:val="center"/>
          </w:tcPr>
          <w:p w14:paraId="2D6D4B31">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09" w:type="pct"/>
            <w:tcMar>
              <w:left w:w="28" w:type="dxa"/>
              <w:right w:w="28" w:type="dxa"/>
            </w:tcMar>
            <w:vAlign w:val="center"/>
          </w:tcPr>
          <w:p w14:paraId="4E28E64B">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shd w:val="clear" w:color="auto" w:fill="auto"/>
            <w:tcMar>
              <w:left w:w="28" w:type="dxa"/>
              <w:right w:w="28" w:type="dxa"/>
            </w:tcMar>
            <w:vAlign w:val="center"/>
          </w:tcPr>
          <w:p w14:paraId="1E88E545">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0.34</w:t>
            </w:r>
          </w:p>
        </w:tc>
        <w:tc>
          <w:tcPr>
            <w:tcW w:w="600" w:type="pct"/>
            <w:tcMar>
              <w:left w:w="28" w:type="dxa"/>
              <w:right w:w="28" w:type="dxa"/>
            </w:tcMar>
            <w:vAlign w:val="center"/>
          </w:tcPr>
          <w:p w14:paraId="0B65329E">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7C5C1DA1">
            <w:pPr>
              <w:keepNext w:val="0"/>
              <w:keepLines w:val="0"/>
              <w:pageBreakBefore w:val="0"/>
              <w:widowControl w:val="0"/>
              <w:kinsoku/>
              <w:wordWrap/>
              <w:overflowPunct/>
              <w:topLinePunct w:val="0"/>
              <w:autoSpaceDE w:val="0"/>
              <w:autoSpaceDN w:val="0"/>
              <w:bidi w:val="0"/>
              <w:adjustRightInd w:val="0"/>
              <w:snapToGrid/>
              <w:spacing w:line="360" w:lineRule="atLeast"/>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bidi="ar-SA"/>
              </w:rPr>
              <w:t>0.34</w:t>
            </w:r>
          </w:p>
        </w:tc>
        <w:tc>
          <w:tcPr>
            <w:tcW w:w="579" w:type="pct"/>
            <w:tcMar>
              <w:left w:w="28" w:type="dxa"/>
              <w:right w:w="28" w:type="dxa"/>
            </w:tcMar>
            <w:vAlign w:val="center"/>
          </w:tcPr>
          <w:p w14:paraId="5DB2A548">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r w14:paraId="36A27D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tcMar>
              <w:left w:w="28" w:type="dxa"/>
              <w:right w:w="28" w:type="dxa"/>
            </w:tcMar>
            <w:vAlign w:val="center"/>
          </w:tcPr>
          <w:p w14:paraId="5661E88B">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r>
              <w:rPr>
                <w:rFonts w:hint="eastAsia" w:cs="Times New Roman"/>
                <w:color w:val="auto"/>
                <w:szCs w:val="21"/>
                <w:lang w:eastAsia="zh-CN"/>
              </w:rPr>
              <w:t>化粪池污泥</w:t>
            </w:r>
          </w:p>
        </w:tc>
        <w:tc>
          <w:tcPr>
            <w:tcW w:w="659" w:type="pct"/>
            <w:gridSpan w:val="2"/>
            <w:tcMar>
              <w:left w:w="28" w:type="dxa"/>
              <w:right w:w="28" w:type="dxa"/>
            </w:tcMar>
            <w:vAlign w:val="center"/>
          </w:tcPr>
          <w:p w14:paraId="5C63AEB1">
            <w:pPr>
              <w:keepNext w:val="0"/>
              <w:keepLines w:val="0"/>
              <w:pageBreakBefore w:val="0"/>
              <w:kinsoku/>
              <w:wordWrap/>
              <w:overflowPunct/>
              <w:topLinePunct w:val="0"/>
              <w:autoSpaceDE/>
              <w:autoSpaceDN/>
              <w:bidi w:val="0"/>
              <w:spacing w:line="360" w:lineRule="atLeast"/>
              <w:jc w:val="center"/>
              <w:rPr>
                <w:rFonts w:hint="eastAsia" w:ascii="Times New Roman" w:hAnsi="Times New Roman" w:cs="Times New Roman"/>
                <w:color w:val="auto"/>
                <w:szCs w:val="21"/>
                <w:lang w:eastAsia="zh-CN"/>
              </w:rPr>
            </w:pPr>
            <w:r>
              <w:rPr>
                <w:rFonts w:hint="eastAsia" w:cs="Times New Roman"/>
                <w:color w:val="auto"/>
                <w:szCs w:val="21"/>
                <w:lang w:eastAsia="zh-CN"/>
              </w:rPr>
              <w:t>化粪池污泥</w:t>
            </w:r>
          </w:p>
        </w:tc>
        <w:tc>
          <w:tcPr>
            <w:tcW w:w="363" w:type="pct"/>
            <w:shd w:val="clear" w:color="auto" w:fill="auto"/>
            <w:tcMar>
              <w:left w:w="28" w:type="dxa"/>
              <w:right w:w="28" w:type="dxa"/>
            </w:tcMar>
            <w:vAlign w:val="center"/>
          </w:tcPr>
          <w:p w14:paraId="4A280484">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93" w:type="pct"/>
            <w:shd w:val="clear" w:color="auto" w:fill="auto"/>
            <w:tcMar>
              <w:left w:w="28" w:type="dxa"/>
              <w:right w:w="28" w:type="dxa"/>
            </w:tcMar>
            <w:vAlign w:val="center"/>
          </w:tcPr>
          <w:p w14:paraId="7641EE83">
            <w:pPr>
              <w:keepNext w:val="0"/>
              <w:keepLines w:val="0"/>
              <w:pageBreakBefore w:val="0"/>
              <w:widowControl/>
              <w:kinsoku/>
              <w:wordWrap/>
              <w:overflowPunct/>
              <w:topLinePunct w:val="0"/>
              <w:autoSpaceDE/>
              <w:autoSpaceDN/>
              <w:bidi w:val="0"/>
              <w:spacing w:line="360" w:lineRule="atLeast"/>
              <w:jc w:val="center"/>
              <w:textAlignment w:val="center"/>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color w:val="auto"/>
                <w:kern w:val="0"/>
                <w:szCs w:val="21"/>
              </w:rPr>
              <w:t>/</w:t>
            </w:r>
          </w:p>
        </w:tc>
        <w:tc>
          <w:tcPr>
            <w:tcW w:w="409" w:type="pct"/>
            <w:shd w:val="clear" w:color="auto" w:fill="auto"/>
            <w:tcMar>
              <w:left w:w="28" w:type="dxa"/>
              <w:right w:w="28" w:type="dxa"/>
            </w:tcMar>
            <w:vAlign w:val="center"/>
          </w:tcPr>
          <w:p w14:paraId="40862CF2">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 w:val="21"/>
                <w:szCs w:val="21"/>
                <w:lang w:val="en-US" w:eastAsia="zh-CN" w:bidi="ar-SA"/>
              </w:rPr>
            </w:pPr>
            <w:r>
              <w:rPr>
                <w:rFonts w:hint="default" w:ascii="Times New Roman" w:hAnsi="Times New Roman" w:eastAsia="宋体" w:cs="Times New Roman"/>
                <w:color w:val="auto"/>
                <w:kern w:val="0"/>
                <w:szCs w:val="21"/>
              </w:rPr>
              <w:t>/</w:t>
            </w:r>
          </w:p>
        </w:tc>
        <w:tc>
          <w:tcPr>
            <w:tcW w:w="658" w:type="pct"/>
            <w:tcMar>
              <w:left w:w="28" w:type="dxa"/>
              <w:right w:w="28" w:type="dxa"/>
            </w:tcMar>
            <w:vAlign w:val="center"/>
          </w:tcPr>
          <w:p w14:paraId="58742612">
            <w:pPr>
              <w:keepNext w:val="0"/>
              <w:keepLines w:val="0"/>
              <w:pageBreakBefore w:val="0"/>
              <w:kinsoku/>
              <w:wordWrap/>
              <w:overflowPunct/>
              <w:topLinePunct w:val="0"/>
              <w:autoSpaceDE/>
              <w:autoSpaceDN/>
              <w:bidi w:val="0"/>
              <w:spacing w:line="360" w:lineRule="atLeast"/>
              <w:jc w:val="center"/>
              <w:rPr>
                <w:rFonts w:hint="default" w:cs="Times New Roman"/>
                <w:color w:val="auto"/>
                <w:szCs w:val="21"/>
                <w:lang w:val="en-US" w:eastAsia="zh-CN"/>
              </w:rPr>
            </w:pPr>
            <w:r>
              <w:rPr>
                <w:rFonts w:hint="eastAsia" w:cs="Times New Roman"/>
                <w:color w:val="auto"/>
                <w:szCs w:val="21"/>
                <w:lang w:val="en-US" w:eastAsia="zh-CN"/>
              </w:rPr>
              <w:t>8</w:t>
            </w:r>
          </w:p>
        </w:tc>
        <w:tc>
          <w:tcPr>
            <w:tcW w:w="600" w:type="pct"/>
            <w:tcMar>
              <w:left w:w="28" w:type="dxa"/>
              <w:right w:w="28" w:type="dxa"/>
            </w:tcMar>
            <w:vAlign w:val="center"/>
          </w:tcPr>
          <w:p w14:paraId="4CCFE74D">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0"/>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4B74F2F6">
            <w:pPr>
              <w:keepNext w:val="0"/>
              <w:keepLines w:val="0"/>
              <w:pageBreakBefore w:val="0"/>
              <w:kinsoku/>
              <w:wordWrap/>
              <w:overflowPunct/>
              <w:topLinePunct w:val="0"/>
              <w:autoSpaceDE/>
              <w:autoSpaceDN/>
              <w:bidi w:val="0"/>
              <w:spacing w:line="360" w:lineRule="atLeast"/>
              <w:jc w:val="center"/>
              <w:rPr>
                <w:rFonts w:hint="default" w:cs="Times New Roman"/>
                <w:color w:val="auto"/>
                <w:szCs w:val="21"/>
                <w:lang w:val="en-US" w:eastAsia="zh-CN"/>
              </w:rPr>
            </w:pPr>
            <w:r>
              <w:rPr>
                <w:rFonts w:hint="eastAsia" w:cs="Times New Roman"/>
                <w:color w:val="auto"/>
                <w:szCs w:val="21"/>
                <w:lang w:val="en-US" w:eastAsia="zh-CN"/>
              </w:rPr>
              <w:t>8</w:t>
            </w:r>
          </w:p>
        </w:tc>
        <w:tc>
          <w:tcPr>
            <w:tcW w:w="579" w:type="pct"/>
            <w:tcMar>
              <w:left w:w="28" w:type="dxa"/>
              <w:right w:w="28" w:type="dxa"/>
            </w:tcMar>
            <w:vAlign w:val="center"/>
          </w:tcPr>
          <w:p w14:paraId="2BB607A0">
            <w:pPr>
              <w:keepNext w:val="0"/>
              <w:keepLines w:val="0"/>
              <w:pageBreakBefore w:val="0"/>
              <w:kinsoku/>
              <w:wordWrap/>
              <w:overflowPunct/>
              <w:topLinePunct w:val="0"/>
              <w:autoSpaceDE/>
              <w:autoSpaceDN/>
              <w:bidi w:val="0"/>
              <w:spacing w:line="360" w:lineRule="atLeast"/>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w:t>
            </w:r>
          </w:p>
        </w:tc>
      </w:tr>
      <w:tr w14:paraId="066C832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403" w:type="pct"/>
            <w:tcMar>
              <w:left w:w="28" w:type="dxa"/>
              <w:right w:w="28" w:type="dxa"/>
            </w:tcMar>
            <w:vAlign w:val="center"/>
          </w:tcPr>
          <w:p w14:paraId="02A8E0B8">
            <w:pPr>
              <w:keepNext w:val="0"/>
              <w:keepLines w:val="0"/>
              <w:pageBreakBefore w:val="0"/>
              <w:widowControl w:val="0"/>
              <w:kinsoku/>
              <w:wordWrap/>
              <w:overflowPunct/>
              <w:topLinePunct w:val="0"/>
              <w:autoSpaceDE/>
              <w:autoSpaceDN/>
              <w:bidi w:val="0"/>
              <w:adjustRightInd w:val="0"/>
              <w:snapToGrid w:val="0"/>
              <w:spacing w:beforeLines="0" w:afterLines="0" w:line="360" w:lineRule="atLeast"/>
              <w:jc w:val="center"/>
              <w:rPr>
                <w:rFonts w:hint="default" w:ascii="Times New Roman" w:hAnsi="Times New Roman" w:eastAsia="宋体" w:cs="Times New Roman"/>
                <w:snapToGrid w:val="0"/>
                <w:color w:val="auto"/>
                <w:kern w:val="21"/>
                <w:sz w:val="21"/>
                <w:szCs w:val="21"/>
                <w:lang w:val="zh-CN" w:eastAsia="zh-CN" w:bidi="zh-CN"/>
              </w:rPr>
            </w:pPr>
            <w:r>
              <w:rPr>
                <w:rFonts w:hint="eastAsia" w:ascii="Times New Roman" w:hAnsi="Times New Roman" w:eastAsia="宋体" w:cs="Times New Roman"/>
                <w:snapToGrid w:val="0"/>
                <w:color w:val="auto"/>
                <w:kern w:val="21"/>
                <w:sz w:val="21"/>
                <w:szCs w:val="21"/>
                <w:lang w:val="zh-CN" w:eastAsia="zh-CN" w:bidi="zh-CN"/>
              </w:rPr>
              <w:t>生活垃圾</w:t>
            </w:r>
          </w:p>
        </w:tc>
        <w:tc>
          <w:tcPr>
            <w:tcW w:w="659" w:type="pct"/>
            <w:gridSpan w:val="2"/>
            <w:tcMar>
              <w:left w:w="28" w:type="dxa"/>
              <w:right w:w="28" w:type="dxa"/>
            </w:tcMar>
            <w:vAlign w:val="center"/>
          </w:tcPr>
          <w:p w14:paraId="54FC0DA3">
            <w:pPr>
              <w:keepNext w:val="0"/>
              <w:keepLines w:val="0"/>
              <w:pageBreakBefore w:val="0"/>
              <w:kinsoku/>
              <w:wordWrap/>
              <w:overflowPunct/>
              <w:topLinePunct w:val="0"/>
              <w:autoSpaceDE/>
              <w:autoSpaceDN/>
              <w:bidi w:val="0"/>
              <w:spacing w:line="360" w:lineRule="atLeast"/>
              <w:jc w:val="center"/>
              <w:rPr>
                <w:rFonts w:hint="eastAsia" w:ascii="Times New Roman" w:hAnsi="Times New Roman" w:eastAsia="宋体" w:cs="Times New Roman"/>
                <w:color w:val="auto"/>
                <w:szCs w:val="21"/>
                <w:lang w:eastAsia="zh-CN"/>
              </w:rPr>
            </w:pPr>
            <w:r>
              <w:rPr>
                <w:rFonts w:hint="eastAsia" w:ascii="Times New Roman" w:hAnsi="Times New Roman" w:cs="Times New Roman"/>
                <w:color w:val="auto"/>
                <w:szCs w:val="21"/>
                <w:lang w:eastAsia="zh-CN"/>
              </w:rPr>
              <w:t>生活垃圾</w:t>
            </w:r>
          </w:p>
        </w:tc>
        <w:tc>
          <w:tcPr>
            <w:tcW w:w="363" w:type="pct"/>
            <w:shd w:val="clear" w:color="auto" w:fill="auto"/>
            <w:tcMar>
              <w:left w:w="28" w:type="dxa"/>
              <w:right w:w="28" w:type="dxa"/>
            </w:tcMar>
            <w:vAlign w:val="center"/>
          </w:tcPr>
          <w:p w14:paraId="29C2D7D7">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Cs w:val="21"/>
                <w:lang w:val="en-US" w:eastAsia="zh-CN"/>
              </w:rPr>
              <w:t>/</w:t>
            </w:r>
          </w:p>
        </w:tc>
        <w:tc>
          <w:tcPr>
            <w:tcW w:w="493" w:type="pct"/>
            <w:shd w:val="clear" w:color="auto" w:fill="auto"/>
            <w:tcMar>
              <w:left w:w="28" w:type="dxa"/>
              <w:right w:w="28" w:type="dxa"/>
            </w:tcMar>
            <w:vAlign w:val="center"/>
          </w:tcPr>
          <w:p w14:paraId="5A44BC9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color w:val="auto"/>
                <w:kern w:val="2"/>
                <w:sz w:val="21"/>
                <w:szCs w:val="21"/>
                <w:lang w:val="en-US" w:eastAsia="zh-CN" w:bidi="ar-SA"/>
              </w:rPr>
            </w:pPr>
            <w:r>
              <w:rPr>
                <w:rFonts w:hint="eastAsia" w:cs="Times New Roman"/>
                <w:snapToGrid w:val="0"/>
                <w:color w:val="auto"/>
                <w:kern w:val="21"/>
                <w:szCs w:val="21"/>
                <w:lang w:val="en-US" w:eastAsia="zh-CN"/>
              </w:rPr>
              <w:t>/</w:t>
            </w:r>
          </w:p>
        </w:tc>
        <w:tc>
          <w:tcPr>
            <w:tcW w:w="409" w:type="pct"/>
            <w:tcMar>
              <w:left w:w="28" w:type="dxa"/>
              <w:right w:w="28" w:type="dxa"/>
            </w:tcMar>
            <w:vAlign w:val="center"/>
          </w:tcPr>
          <w:p w14:paraId="7E80079F">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658" w:type="pct"/>
            <w:tcMar>
              <w:left w:w="28" w:type="dxa"/>
              <w:right w:w="28" w:type="dxa"/>
            </w:tcMar>
            <w:vAlign w:val="center"/>
          </w:tcPr>
          <w:p w14:paraId="0E31E00F">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15</w:t>
            </w:r>
          </w:p>
        </w:tc>
        <w:tc>
          <w:tcPr>
            <w:tcW w:w="600" w:type="pct"/>
            <w:tcMar>
              <w:left w:w="28" w:type="dxa"/>
              <w:right w:w="28" w:type="dxa"/>
            </w:tcMar>
            <w:vAlign w:val="center"/>
          </w:tcPr>
          <w:p w14:paraId="09EC335B">
            <w:pPr>
              <w:keepNext w:val="0"/>
              <w:keepLines w:val="0"/>
              <w:pageBreakBefore w:val="0"/>
              <w:widowControl/>
              <w:kinsoku/>
              <w:wordWrap/>
              <w:overflowPunct/>
              <w:topLinePunct w:val="0"/>
              <w:autoSpaceDE/>
              <w:autoSpaceDN/>
              <w:bidi w:val="0"/>
              <w:spacing w:line="360" w:lineRule="atLeast"/>
              <w:jc w:val="center"/>
              <w:textAlignment w:val="center"/>
              <w:rPr>
                <w:rFonts w:hint="default" w:ascii="Times New Roman" w:hAnsi="Times New Roman" w:eastAsia="宋体" w:cs="Times New Roman"/>
                <w:snapToGrid w:val="0"/>
                <w:color w:val="auto"/>
                <w:kern w:val="21"/>
                <w:szCs w:val="21"/>
              </w:rPr>
            </w:pPr>
            <w:r>
              <w:rPr>
                <w:rFonts w:hint="default" w:ascii="Times New Roman" w:hAnsi="Times New Roman" w:eastAsia="宋体" w:cs="Times New Roman"/>
                <w:color w:val="auto"/>
                <w:kern w:val="0"/>
                <w:szCs w:val="21"/>
              </w:rPr>
              <w:t>/</w:t>
            </w:r>
          </w:p>
        </w:tc>
        <w:tc>
          <w:tcPr>
            <w:tcW w:w="831" w:type="pct"/>
            <w:shd w:val="clear" w:color="auto" w:fill="auto"/>
            <w:tcMar>
              <w:left w:w="28" w:type="dxa"/>
              <w:right w:w="28" w:type="dxa"/>
            </w:tcMar>
            <w:vAlign w:val="center"/>
          </w:tcPr>
          <w:p w14:paraId="414F7F03">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Cs w:val="21"/>
                <w:lang w:val="en-US" w:eastAsia="zh-CN"/>
              </w:rPr>
              <w:t>15</w:t>
            </w:r>
          </w:p>
        </w:tc>
        <w:tc>
          <w:tcPr>
            <w:tcW w:w="579" w:type="pct"/>
            <w:tcMar>
              <w:left w:w="28" w:type="dxa"/>
              <w:right w:w="28" w:type="dxa"/>
            </w:tcMar>
            <w:vAlign w:val="center"/>
          </w:tcPr>
          <w:p w14:paraId="5DD9B8ED">
            <w:pPr>
              <w:keepNext w:val="0"/>
              <w:keepLines w:val="0"/>
              <w:pageBreakBefore w:val="0"/>
              <w:kinsoku/>
              <w:wordWrap/>
              <w:overflowPunct/>
              <w:topLinePunct w:val="0"/>
              <w:autoSpaceDE/>
              <w:autoSpaceDN/>
              <w:bidi w:val="0"/>
              <w:spacing w:line="360" w:lineRule="atLeast"/>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w:t>
            </w:r>
          </w:p>
        </w:tc>
      </w:tr>
    </w:tbl>
    <w:p w14:paraId="0AAABD25">
      <w:pPr>
        <w:pStyle w:val="59"/>
        <w:keepNext w:val="0"/>
        <w:keepLines w:val="0"/>
        <w:pageBreakBefore w:val="0"/>
        <w:widowControl w:val="0"/>
        <w:kinsoku/>
        <w:wordWrap/>
        <w:overflowPunct/>
        <w:topLinePunct w:val="0"/>
        <w:autoSpaceDE/>
        <w:autoSpaceDN/>
        <w:bidi w:val="0"/>
        <w:adjustRightInd w:val="0"/>
        <w:snapToGrid w:val="0"/>
        <w:spacing w:before="0" w:beforeLines="0" w:after="0" w:afterLines="0" w:line="400" w:lineRule="exact"/>
        <w:ind w:right="0"/>
        <w:jc w:val="left"/>
        <w:textAlignment w:val="auto"/>
        <w:rPr>
          <w:rFonts w:hint="eastAsia" w:hAnsi="宋体"/>
          <w:b w:val="0"/>
          <w:bCs w:val="0"/>
          <w:snapToGrid w:val="0"/>
          <w:color w:val="auto"/>
          <w:spacing w:val="-6"/>
          <w:kern w:val="21"/>
          <w:szCs w:val="21"/>
        </w:rPr>
      </w:pPr>
      <w:r>
        <w:rPr>
          <w:rFonts w:hint="default" w:ascii="Times New Roman" w:hAnsi="Times New Roman" w:eastAsia="宋体" w:cs="Times New Roman"/>
          <w:b/>
          <w:bCs/>
          <w:snapToGrid w:val="0"/>
          <w:color w:val="auto"/>
          <w:kern w:val="21"/>
          <w:sz w:val="20"/>
          <w:szCs w:val="22"/>
        </w:rPr>
        <w:t>注：</w:t>
      </w:r>
      <w:r>
        <w:rPr>
          <w:rFonts w:hint="default" w:ascii="Times New Roman" w:hAnsi="Times New Roman" w:eastAsia="宋体" w:cs="Times New Roman"/>
          <w:b/>
          <w:bCs/>
          <w:snapToGrid w:val="0"/>
          <w:color w:val="auto"/>
          <w:spacing w:val="-16"/>
          <w:kern w:val="21"/>
          <w:sz w:val="20"/>
          <w:szCs w:val="22"/>
        </w:rPr>
        <w:fldChar w:fldCharType="begin"/>
      </w:r>
      <w:r>
        <w:rPr>
          <w:rFonts w:hint="default" w:ascii="Times New Roman" w:hAnsi="Times New Roman" w:eastAsia="宋体" w:cs="Times New Roman"/>
          <w:b/>
          <w:bCs/>
          <w:snapToGrid w:val="0"/>
          <w:color w:val="auto"/>
          <w:spacing w:val="-16"/>
          <w:kern w:val="21"/>
          <w:sz w:val="20"/>
          <w:szCs w:val="22"/>
        </w:rPr>
        <w:instrText xml:space="preserve"> = 6 \* GB3 \* MERGEFORMAT </w:instrText>
      </w:r>
      <w:r>
        <w:rPr>
          <w:rFonts w:hint="default" w:ascii="Times New Roman" w:hAnsi="Times New Roman" w:eastAsia="宋体" w:cs="Times New Roman"/>
          <w:b/>
          <w:bCs/>
          <w:snapToGrid w:val="0"/>
          <w:color w:val="auto"/>
          <w:spacing w:val="-16"/>
          <w:kern w:val="21"/>
          <w:sz w:val="20"/>
          <w:szCs w:val="22"/>
        </w:rPr>
        <w:fldChar w:fldCharType="separate"/>
      </w:r>
      <w:r>
        <w:rPr>
          <w:rFonts w:hint="default" w:ascii="Times New Roman" w:hAnsi="Times New Roman" w:eastAsia="宋体" w:cs="Times New Roman"/>
          <w:b/>
          <w:bCs/>
          <w:color w:val="auto"/>
          <w:sz w:val="20"/>
          <w:szCs w:val="22"/>
        </w:rPr>
        <w:t>⑥</w:t>
      </w:r>
      <w:r>
        <w:rPr>
          <w:rFonts w:hint="default" w:ascii="Times New Roman" w:hAnsi="Times New Roman" w:eastAsia="宋体" w:cs="Times New Roman"/>
          <w:b/>
          <w:bCs/>
          <w:snapToGrid w:val="0"/>
          <w:color w:val="auto"/>
          <w:spacing w:val="-16"/>
          <w:kern w:val="21"/>
          <w:sz w:val="20"/>
          <w:szCs w:val="22"/>
        </w:rPr>
        <w:fldChar w:fldCharType="end"/>
      </w:r>
      <w:r>
        <w:rPr>
          <w:rFonts w:hint="default" w:ascii="Times New Roman" w:hAnsi="Times New Roman" w:eastAsia="宋体" w:cs="Times New Roman"/>
          <w:b/>
          <w:bCs/>
          <w:snapToGrid w:val="0"/>
          <w:color w:val="auto"/>
          <w:spacing w:val="-16"/>
          <w:kern w:val="21"/>
          <w:sz w:val="20"/>
          <w:szCs w:val="22"/>
        </w:rPr>
        <w:t>=</w:t>
      </w:r>
      <w:r>
        <w:rPr>
          <w:rFonts w:hint="default" w:ascii="Times New Roman" w:hAnsi="Times New Roman" w:eastAsia="宋体" w:cs="Times New Roman"/>
          <w:b/>
          <w:bCs/>
          <w:snapToGrid w:val="0"/>
          <w:color w:val="auto"/>
          <w:spacing w:val="-6"/>
          <w:kern w:val="21"/>
          <w:sz w:val="20"/>
          <w:szCs w:val="22"/>
        </w:rPr>
        <w:fldChar w:fldCharType="begin"/>
      </w:r>
      <w:r>
        <w:rPr>
          <w:rFonts w:hint="default" w:ascii="Times New Roman" w:hAnsi="Times New Roman" w:eastAsia="宋体" w:cs="Times New Roman"/>
          <w:b/>
          <w:bCs/>
          <w:snapToGrid w:val="0"/>
          <w:color w:val="auto"/>
          <w:spacing w:val="-6"/>
          <w:kern w:val="21"/>
          <w:sz w:val="20"/>
          <w:szCs w:val="22"/>
        </w:rPr>
        <w:instrText xml:space="preserve"> = 1 \* GB3 \* MERGEFORMAT </w:instrText>
      </w:r>
      <w:r>
        <w:rPr>
          <w:rFonts w:hint="default" w:ascii="Times New Roman" w:hAnsi="Times New Roman" w:eastAsia="宋体" w:cs="Times New Roman"/>
          <w:b/>
          <w:bCs/>
          <w:snapToGrid w:val="0"/>
          <w:color w:val="auto"/>
          <w:spacing w:val="-6"/>
          <w:kern w:val="21"/>
          <w:sz w:val="20"/>
          <w:szCs w:val="22"/>
        </w:rPr>
        <w:fldChar w:fldCharType="separate"/>
      </w:r>
      <w:r>
        <w:rPr>
          <w:rFonts w:hint="default" w:ascii="Times New Roman" w:hAnsi="Times New Roman" w:eastAsia="宋体" w:cs="Times New Roman"/>
          <w:b/>
          <w:bCs/>
          <w:color w:val="auto"/>
          <w:sz w:val="20"/>
          <w:szCs w:val="22"/>
        </w:rPr>
        <w:t>①</w:t>
      </w:r>
      <w:r>
        <w:rPr>
          <w:rFonts w:hint="default" w:ascii="Times New Roman" w:hAnsi="Times New Roman" w:eastAsia="宋体" w:cs="Times New Roman"/>
          <w:b/>
          <w:bCs/>
          <w:snapToGrid w:val="0"/>
          <w:color w:val="auto"/>
          <w:spacing w:val="-6"/>
          <w:kern w:val="21"/>
          <w:sz w:val="20"/>
          <w:szCs w:val="22"/>
        </w:rPr>
        <w:fldChar w:fldCharType="end"/>
      </w:r>
      <w:r>
        <w:rPr>
          <w:rFonts w:hint="default" w:ascii="Times New Roman" w:hAnsi="Times New Roman" w:eastAsia="宋体" w:cs="Times New Roman"/>
          <w:b/>
          <w:bCs/>
          <w:snapToGrid w:val="0"/>
          <w:color w:val="auto"/>
          <w:spacing w:val="-6"/>
          <w:kern w:val="21"/>
          <w:sz w:val="20"/>
          <w:szCs w:val="22"/>
        </w:rPr>
        <w:t>+</w:t>
      </w:r>
      <w:r>
        <w:rPr>
          <w:rFonts w:hint="default" w:ascii="Times New Roman" w:hAnsi="Times New Roman" w:eastAsia="宋体" w:cs="Times New Roman"/>
          <w:b/>
          <w:bCs/>
          <w:snapToGrid w:val="0"/>
          <w:color w:val="auto"/>
          <w:spacing w:val="-6"/>
          <w:kern w:val="21"/>
          <w:sz w:val="20"/>
          <w:szCs w:val="22"/>
        </w:rPr>
        <w:fldChar w:fldCharType="begin"/>
      </w:r>
      <w:r>
        <w:rPr>
          <w:rFonts w:hint="default" w:ascii="Times New Roman" w:hAnsi="Times New Roman" w:eastAsia="宋体" w:cs="Times New Roman"/>
          <w:b/>
          <w:bCs/>
          <w:snapToGrid w:val="0"/>
          <w:color w:val="auto"/>
          <w:spacing w:val="-6"/>
          <w:kern w:val="21"/>
          <w:sz w:val="20"/>
          <w:szCs w:val="22"/>
        </w:rPr>
        <w:instrText xml:space="preserve"> = 3 \* GB3 \* MERGEFORMAT </w:instrText>
      </w:r>
      <w:r>
        <w:rPr>
          <w:rFonts w:hint="default" w:ascii="Times New Roman" w:hAnsi="Times New Roman" w:eastAsia="宋体" w:cs="Times New Roman"/>
          <w:b/>
          <w:bCs/>
          <w:snapToGrid w:val="0"/>
          <w:color w:val="auto"/>
          <w:spacing w:val="-6"/>
          <w:kern w:val="21"/>
          <w:sz w:val="20"/>
          <w:szCs w:val="22"/>
        </w:rPr>
        <w:fldChar w:fldCharType="separate"/>
      </w:r>
      <w:r>
        <w:rPr>
          <w:rFonts w:hint="default" w:ascii="Times New Roman" w:hAnsi="Times New Roman" w:eastAsia="宋体" w:cs="Times New Roman"/>
          <w:b/>
          <w:bCs/>
          <w:color w:val="auto"/>
          <w:sz w:val="20"/>
          <w:szCs w:val="22"/>
        </w:rPr>
        <w:t>③</w:t>
      </w:r>
      <w:r>
        <w:rPr>
          <w:rFonts w:hint="default" w:ascii="Times New Roman" w:hAnsi="Times New Roman" w:eastAsia="宋体" w:cs="Times New Roman"/>
          <w:b/>
          <w:bCs/>
          <w:snapToGrid w:val="0"/>
          <w:color w:val="auto"/>
          <w:spacing w:val="-6"/>
          <w:kern w:val="21"/>
          <w:sz w:val="20"/>
          <w:szCs w:val="22"/>
        </w:rPr>
        <w:fldChar w:fldCharType="end"/>
      </w:r>
      <w:r>
        <w:rPr>
          <w:rFonts w:hint="default" w:ascii="Times New Roman" w:hAnsi="Times New Roman" w:eastAsia="宋体" w:cs="Times New Roman"/>
          <w:b/>
          <w:bCs/>
          <w:snapToGrid w:val="0"/>
          <w:color w:val="auto"/>
          <w:spacing w:val="-6"/>
          <w:kern w:val="21"/>
          <w:sz w:val="20"/>
          <w:szCs w:val="22"/>
        </w:rPr>
        <w:t>+</w:t>
      </w:r>
      <w:r>
        <w:rPr>
          <w:rFonts w:hint="default" w:ascii="Times New Roman" w:hAnsi="Times New Roman" w:eastAsia="宋体" w:cs="Times New Roman"/>
          <w:b/>
          <w:bCs/>
          <w:snapToGrid w:val="0"/>
          <w:color w:val="auto"/>
          <w:spacing w:val="-6"/>
          <w:kern w:val="21"/>
          <w:sz w:val="20"/>
          <w:szCs w:val="22"/>
        </w:rPr>
        <w:fldChar w:fldCharType="begin"/>
      </w:r>
      <w:r>
        <w:rPr>
          <w:rFonts w:hint="default" w:ascii="Times New Roman" w:hAnsi="Times New Roman" w:eastAsia="宋体" w:cs="Times New Roman"/>
          <w:b/>
          <w:bCs/>
          <w:snapToGrid w:val="0"/>
          <w:color w:val="auto"/>
          <w:spacing w:val="-6"/>
          <w:kern w:val="21"/>
          <w:sz w:val="20"/>
          <w:szCs w:val="22"/>
        </w:rPr>
        <w:instrText xml:space="preserve"> = 4 \* GB3 \* MERGEFORMAT </w:instrText>
      </w:r>
      <w:r>
        <w:rPr>
          <w:rFonts w:hint="default" w:ascii="Times New Roman" w:hAnsi="Times New Roman" w:eastAsia="宋体" w:cs="Times New Roman"/>
          <w:b/>
          <w:bCs/>
          <w:snapToGrid w:val="0"/>
          <w:color w:val="auto"/>
          <w:spacing w:val="-6"/>
          <w:kern w:val="21"/>
          <w:sz w:val="20"/>
          <w:szCs w:val="22"/>
        </w:rPr>
        <w:fldChar w:fldCharType="separate"/>
      </w:r>
      <w:r>
        <w:rPr>
          <w:rFonts w:hint="default" w:ascii="Times New Roman" w:hAnsi="Times New Roman" w:eastAsia="宋体" w:cs="Times New Roman"/>
          <w:b/>
          <w:bCs/>
          <w:color w:val="auto"/>
          <w:sz w:val="20"/>
          <w:szCs w:val="22"/>
        </w:rPr>
        <w:t>④</w:t>
      </w:r>
      <w:r>
        <w:rPr>
          <w:rFonts w:hint="default" w:ascii="Times New Roman" w:hAnsi="Times New Roman" w:eastAsia="宋体" w:cs="Times New Roman"/>
          <w:b/>
          <w:bCs/>
          <w:snapToGrid w:val="0"/>
          <w:color w:val="auto"/>
          <w:spacing w:val="-6"/>
          <w:kern w:val="21"/>
          <w:sz w:val="20"/>
          <w:szCs w:val="22"/>
        </w:rPr>
        <w:fldChar w:fldCharType="end"/>
      </w:r>
      <w:r>
        <w:rPr>
          <w:rFonts w:hint="default" w:ascii="Times New Roman" w:hAnsi="Times New Roman" w:eastAsia="宋体" w:cs="Times New Roman"/>
          <w:b/>
          <w:bCs/>
          <w:snapToGrid w:val="0"/>
          <w:color w:val="auto"/>
          <w:spacing w:val="-6"/>
          <w:kern w:val="21"/>
          <w:sz w:val="20"/>
          <w:szCs w:val="22"/>
        </w:rPr>
        <w:t>-</w:t>
      </w:r>
      <w:r>
        <w:rPr>
          <w:rFonts w:hint="default" w:ascii="Times New Roman" w:hAnsi="Times New Roman" w:eastAsia="宋体" w:cs="Times New Roman"/>
          <w:b/>
          <w:bCs/>
          <w:snapToGrid w:val="0"/>
          <w:color w:val="auto"/>
          <w:spacing w:val="-16"/>
          <w:kern w:val="21"/>
          <w:sz w:val="20"/>
          <w:szCs w:val="22"/>
        </w:rPr>
        <w:fldChar w:fldCharType="begin"/>
      </w:r>
      <w:r>
        <w:rPr>
          <w:rFonts w:hint="default" w:ascii="Times New Roman" w:hAnsi="Times New Roman" w:eastAsia="宋体" w:cs="Times New Roman"/>
          <w:b/>
          <w:bCs/>
          <w:snapToGrid w:val="0"/>
          <w:color w:val="auto"/>
          <w:spacing w:val="-16"/>
          <w:kern w:val="21"/>
          <w:sz w:val="20"/>
          <w:szCs w:val="22"/>
        </w:rPr>
        <w:instrText xml:space="preserve"> = 5 \* GB3 \* MERGEFORMAT </w:instrText>
      </w:r>
      <w:r>
        <w:rPr>
          <w:rFonts w:hint="default" w:ascii="Times New Roman" w:hAnsi="Times New Roman" w:eastAsia="宋体" w:cs="Times New Roman"/>
          <w:b/>
          <w:bCs/>
          <w:snapToGrid w:val="0"/>
          <w:color w:val="auto"/>
          <w:spacing w:val="-16"/>
          <w:kern w:val="21"/>
          <w:sz w:val="20"/>
          <w:szCs w:val="22"/>
        </w:rPr>
        <w:fldChar w:fldCharType="separate"/>
      </w:r>
      <w:r>
        <w:rPr>
          <w:rFonts w:hint="default" w:ascii="Times New Roman" w:hAnsi="Times New Roman" w:eastAsia="宋体" w:cs="Times New Roman"/>
          <w:b/>
          <w:bCs/>
          <w:color w:val="auto"/>
          <w:sz w:val="20"/>
          <w:szCs w:val="22"/>
        </w:rPr>
        <w:t>⑤</w:t>
      </w:r>
      <w:r>
        <w:rPr>
          <w:rFonts w:hint="default" w:ascii="Times New Roman" w:hAnsi="Times New Roman" w:eastAsia="宋体" w:cs="Times New Roman"/>
          <w:b/>
          <w:bCs/>
          <w:snapToGrid w:val="0"/>
          <w:color w:val="auto"/>
          <w:spacing w:val="-16"/>
          <w:kern w:val="21"/>
          <w:sz w:val="20"/>
          <w:szCs w:val="22"/>
        </w:rPr>
        <w:fldChar w:fldCharType="end"/>
      </w:r>
      <w:r>
        <w:rPr>
          <w:rFonts w:hint="default" w:ascii="Times New Roman" w:hAnsi="Times New Roman" w:eastAsia="宋体" w:cs="Times New Roman"/>
          <w:b/>
          <w:bCs/>
          <w:snapToGrid w:val="0"/>
          <w:color w:val="auto"/>
          <w:spacing w:val="-16"/>
          <w:kern w:val="21"/>
          <w:sz w:val="20"/>
          <w:szCs w:val="22"/>
        </w:rPr>
        <w:t>；</w:t>
      </w:r>
      <w:r>
        <w:rPr>
          <w:rFonts w:hint="default" w:ascii="Times New Roman" w:hAnsi="Times New Roman" w:eastAsia="宋体" w:cs="Times New Roman"/>
          <w:b/>
          <w:bCs/>
          <w:snapToGrid w:val="0"/>
          <w:color w:val="auto"/>
          <w:spacing w:val="-6"/>
          <w:kern w:val="21"/>
          <w:sz w:val="20"/>
          <w:szCs w:val="22"/>
        </w:rPr>
        <w:fldChar w:fldCharType="begin"/>
      </w:r>
      <w:r>
        <w:rPr>
          <w:rFonts w:hint="default" w:ascii="Times New Roman" w:hAnsi="Times New Roman" w:eastAsia="宋体" w:cs="Times New Roman"/>
          <w:b/>
          <w:bCs/>
          <w:snapToGrid w:val="0"/>
          <w:color w:val="auto"/>
          <w:spacing w:val="-6"/>
          <w:kern w:val="21"/>
          <w:sz w:val="20"/>
          <w:szCs w:val="22"/>
        </w:rPr>
        <w:instrText xml:space="preserve"> = 7 \* GB3 \* MERGEFORMAT </w:instrText>
      </w:r>
      <w:r>
        <w:rPr>
          <w:rFonts w:hint="default" w:ascii="Times New Roman" w:hAnsi="Times New Roman" w:eastAsia="宋体" w:cs="Times New Roman"/>
          <w:b/>
          <w:bCs/>
          <w:snapToGrid w:val="0"/>
          <w:color w:val="auto"/>
          <w:spacing w:val="-6"/>
          <w:kern w:val="21"/>
          <w:sz w:val="20"/>
          <w:szCs w:val="22"/>
        </w:rPr>
        <w:fldChar w:fldCharType="separate"/>
      </w:r>
      <w:r>
        <w:rPr>
          <w:rFonts w:hint="default" w:ascii="Times New Roman" w:hAnsi="Times New Roman" w:eastAsia="宋体" w:cs="Times New Roman"/>
          <w:b/>
          <w:bCs/>
          <w:color w:val="auto"/>
          <w:sz w:val="20"/>
          <w:szCs w:val="22"/>
        </w:rPr>
        <w:t>⑦</w:t>
      </w:r>
      <w:r>
        <w:rPr>
          <w:rFonts w:hint="default" w:ascii="Times New Roman" w:hAnsi="Times New Roman" w:eastAsia="宋体" w:cs="Times New Roman"/>
          <w:b/>
          <w:bCs/>
          <w:snapToGrid w:val="0"/>
          <w:color w:val="auto"/>
          <w:spacing w:val="-6"/>
          <w:kern w:val="21"/>
          <w:sz w:val="20"/>
          <w:szCs w:val="22"/>
        </w:rPr>
        <w:fldChar w:fldCharType="end"/>
      </w:r>
      <w:r>
        <w:rPr>
          <w:rFonts w:hint="default" w:ascii="Times New Roman" w:hAnsi="Times New Roman" w:eastAsia="宋体" w:cs="Times New Roman"/>
          <w:b/>
          <w:bCs/>
          <w:snapToGrid w:val="0"/>
          <w:color w:val="auto"/>
          <w:spacing w:val="-6"/>
          <w:kern w:val="21"/>
          <w:sz w:val="20"/>
          <w:szCs w:val="22"/>
        </w:rPr>
        <w:t>=</w:t>
      </w:r>
      <w:r>
        <w:rPr>
          <w:rFonts w:hint="default" w:ascii="Times New Roman" w:hAnsi="Times New Roman" w:eastAsia="宋体" w:cs="Times New Roman"/>
          <w:b/>
          <w:bCs/>
          <w:snapToGrid w:val="0"/>
          <w:color w:val="auto"/>
          <w:spacing w:val="-16"/>
          <w:kern w:val="21"/>
          <w:sz w:val="20"/>
          <w:szCs w:val="22"/>
        </w:rPr>
        <w:fldChar w:fldCharType="begin"/>
      </w:r>
      <w:r>
        <w:rPr>
          <w:rFonts w:hint="default" w:ascii="Times New Roman" w:hAnsi="Times New Roman" w:eastAsia="宋体" w:cs="Times New Roman"/>
          <w:b/>
          <w:bCs/>
          <w:snapToGrid w:val="0"/>
          <w:color w:val="auto"/>
          <w:spacing w:val="-16"/>
          <w:kern w:val="21"/>
          <w:sz w:val="20"/>
          <w:szCs w:val="22"/>
        </w:rPr>
        <w:instrText xml:space="preserve"> = 6 \* GB3 \* MERGEFORMAT </w:instrText>
      </w:r>
      <w:r>
        <w:rPr>
          <w:rFonts w:hint="default" w:ascii="Times New Roman" w:hAnsi="Times New Roman" w:eastAsia="宋体" w:cs="Times New Roman"/>
          <w:b/>
          <w:bCs/>
          <w:snapToGrid w:val="0"/>
          <w:color w:val="auto"/>
          <w:spacing w:val="-16"/>
          <w:kern w:val="21"/>
          <w:sz w:val="20"/>
          <w:szCs w:val="22"/>
        </w:rPr>
        <w:fldChar w:fldCharType="separate"/>
      </w:r>
      <w:r>
        <w:rPr>
          <w:rFonts w:hint="default" w:ascii="Times New Roman" w:hAnsi="Times New Roman" w:eastAsia="宋体" w:cs="Times New Roman"/>
          <w:b/>
          <w:bCs/>
          <w:color w:val="auto"/>
          <w:sz w:val="20"/>
          <w:szCs w:val="22"/>
        </w:rPr>
        <w:t>⑥</w:t>
      </w:r>
      <w:r>
        <w:rPr>
          <w:rFonts w:hint="default" w:ascii="Times New Roman" w:hAnsi="Times New Roman" w:eastAsia="宋体" w:cs="Times New Roman"/>
          <w:b/>
          <w:bCs/>
          <w:snapToGrid w:val="0"/>
          <w:color w:val="auto"/>
          <w:spacing w:val="-16"/>
          <w:kern w:val="21"/>
          <w:sz w:val="20"/>
          <w:szCs w:val="22"/>
        </w:rPr>
        <w:fldChar w:fldCharType="end"/>
      </w:r>
      <w:r>
        <w:rPr>
          <w:rFonts w:hint="default" w:ascii="Times New Roman" w:hAnsi="Times New Roman" w:eastAsia="宋体" w:cs="Times New Roman"/>
          <w:b/>
          <w:bCs/>
          <w:snapToGrid w:val="0"/>
          <w:color w:val="auto"/>
          <w:spacing w:val="-16"/>
          <w:kern w:val="21"/>
          <w:sz w:val="20"/>
          <w:szCs w:val="22"/>
        </w:rPr>
        <w:t>-</w:t>
      </w:r>
      <w:r>
        <w:rPr>
          <w:rFonts w:hint="default" w:ascii="Times New Roman" w:hAnsi="Times New Roman" w:eastAsia="宋体" w:cs="Times New Roman"/>
          <w:b/>
          <w:bCs/>
          <w:snapToGrid w:val="0"/>
          <w:color w:val="auto"/>
          <w:spacing w:val="-6"/>
          <w:kern w:val="21"/>
          <w:sz w:val="20"/>
          <w:szCs w:val="22"/>
        </w:rPr>
        <w:fldChar w:fldCharType="begin"/>
      </w:r>
      <w:r>
        <w:rPr>
          <w:rFonts w:hint="default" w:ascii="Times New Roman" w:hAnsi="Times New Roman" w:eastAsia="宋体" w:cs="Times New Roman"/>
          <w:b/>
          <w:bCs/>
          <w:snapToGrid w:val="0"/>
          <w:color w:val="auto"/>
          <w:spacing w:val="-6"/>
          <w:kern w:val="21"/>
          <w:sz w:val="20"/>
          <w:szCs w:val="22"/>
        </w:rPr>
        <w:instrText xml:space="preserve"> = 1 \* GB3 \* MERGEFORMAT </w:instrText>
      </w:r>
      <w:r>
        <w:rPr>
          <w:rFonts w:hint="default" w:ascii="Times New Roman" w:hAnsi="Times New Roman" w:eastAsia="宋体" w:cs="Times New Roman"/>
          <w:b/>
          <w:bCs/>
          <w:snapToGrid w:val="0"/>
          <w:color w:val="auto"/>
          <w:spacing w:val="-6"/>
          <w:kern w:val="21"/>
          <w:sz w:val="20"/>
          <w:szCs w:val="22"/>
        </w:rPr>
        <w:fldChar w:fldCharType="separate"/>
      </w:r>
      <w:r>
        <w:rPr>
          <w:rFonts w:hint="default" w:ascii="Times New Roman" w:hAnsi="Times New Roman" w:eastAsia="宋体" w:cs="Times New Roman"/>
          <w:b/>
          <w:bCs/>
          <w:color w:val="auto"/>
          <w:sz w:val="20"/>
          <w:szCs w:val="22"/>
        </w:rPr>
        <w:t>①</w:t>
      </w:r>
      <w:r>
        <w:rPr>
          <w:rFonts w:hint="default" w:ascii="Times New Roman" w:hAnsi="Times New Roman" w:eastAsia="宋体" w:cs="Times New Roman"/>
          <w:b/>
          <w:bCs/>
          <w:snapToGrid w:val="0"/>
          <w:color w:val="auto"/>
          <w:spacing w:val="-6"/>
          <w:kern w:val="21"/>
          <w:sz w:val="20"/>
          <w:szCs w:val="22"/>
        </w:rPr>
        <w:fldChar w:fldCharType="end"/>
      </w:r>
    </w:p>
    <w:sectPr>
      <w:headerReference r:id="rId7" w:type="default"/>
      <w:footerReference r:id="rId8" w:type="default"/>
      <w:pgSz w:w="16838" w:h="11906" w:orient="landscape"/>
      <w:pgMar w:top="1134" w:right="1134" w:bottom="1134" w:left="1134" w:header="851" w:footer="851" w:gutter="0"/>
      <w:pgBorders>
        <w:top w:val="none" w:sz="0" w:space="0"/>
        <w:left w:val="none" w:sz="0" w:space="0"/>
        <w:bottom w:val="none" w:sz="0" w:space="0"/>
        <w:right w:val="none" w:sz="0" w:space="0"/>
      </w:pgBorders>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Helv">
    <w:altName w:val="Arial"/>
    <w:panose1 w:val="020B0604020202030204"/>
    <w:charset w:val="00"/>
    <w:family w:val="swiss"/>
    <w:pitch w:val="default"/>
    <w:sig w:usb0="00000000" w:usb1="00000000" w:usb2="00000000" w:usb3="00000000" w:csb0="00000001" w:csb1="00000000"/>
  </w:font>
  <w:font w:name="New York">
    <w:altName w:val="DejaVu Math TeX Gyre"/>
    <w:panose1 w:val="02040503060506020304"/>
    <w:charset w:val="00"/>
    <w:family w:val="roman"/>
    <w:pitch w:val="default"/>
    <w:sig w:usb0="00000000" w:usb1="00000000" w:usb2="00000000" w:usb3="00000000" w:csb0="00000001" w:csb1="00000000"/>
  </w:font>
  <w:font w:name="DejaVu Math TeX Gyre">
    <w:panose1 w:val="02000503000000000000"/>
    <w:charset w:val="00"/>
    <w:family w:val="auto"/>
    <w:pitch w:val="default"/>
    <w:sig w:usb0="A10000EF" w:usb1="4201F9EE" w:usb2="02000000" w:usb3="00000000" w:csb0="60000193" w:csb1="0DD40000"/>
  </w:font>
  <w:font w:name="Tms Rmn">
    <w:altName w:val="Times New Roman"/>
    <w:panose1 w:val="02020603040505020304"/>
    <w:charset w:val="00"/>
    <w:family w:val="roman"/>
    <w:pitch w:val="default"/>
    <w:sig w:usb0="00000000" w:usb1="00000000" w:usb2="00000000" w:usb3="00000000" w:csb0="00000001" w:csb1="00000000"/>
  </w:font>
  <w:font w:name="MS Mincho">
    <w:altName w:val="Yu Gothic UI"/>
    <w:panose1 w:val="02020609040205080304"/>
    <w:charset w:val="80"/>
    <w:family w:val="roman"/>
    <w:pitch w:val="default"/>
    <w:sig w:usb0="00000000" w:usb1="00000000" w:usb2="00000012" w:usb3="00000000" w:csb0="4002009F" w:csb1="DFD70000"/>
  </w:font>
  <w:font w:name="Arial Unicode MS">
    <w:altName w:val="宋体"/>
    <w:panose1 w:val="020B0604020202020204"/>
    <w:charset w:val="86"/>
    <w:family w:val="swiss"/>
    <w:pitch w:val="default"/>
    <w:sig w:usb0="00000000" w:usb1="00000000" w:usb2="0000007F" w:usb3="00000000" w:csb0="203F01FF" w:csb1="DFFF0000"/>
  </w:font>
  <w:font w:name="MingLiU">
    <w:altName w:val="PMingLiU-ExtB"/>
    <w:panose1 w:val="02020509000000000000"/>
    <w:charset w:val="88"/>
    <w:family w:val="auto"/>
    <w:pitch w:val="default"/>
    <w:sig w:usb0="00000000" w:usb1="00000000" w:usb2="00000016" w:usb3="00000000" w:csb0="0010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DDB19B">
    <w:pPr>
      <w:pStyle w:val="2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1851C8">
    <w:pPr>
      <w:pStyle w:val="23"/>
      <w:ind w:right="360" w:firstLine="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42875" cy="257175"/>
              <wp:effectExtent l="0" t="0" r="0" b="0"/>
              <wp:wrapNone/>
              <wp:docPr id="3" name="文本框 3"/>
              <wp:cNvGraphicFramePr/>
              <a:graphic xmlns:a="http://schemas.openxmlformats.org/drawingml/2006/main">
                <a:graphicData uri="http://schemas.microsoft.com/office/word/2010/wordprocessingShape">
                  <wps:wsp>
                    <wps:cNvSpPr txBox="1"/>
                    <wps:spPr>
                      <a:xfrm>
                        <a:off x="0" y="0"/>
                        <a:ext cx="142875" cy="257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0A1DF6A">
                          <w:pPr>
                            <w:pStyle w:val="23"/>
                            <w:jc w:val="center"/>
                          </w:pPr>
                          <w:r>
                            <w:rPr>
                              <w:sz w:val="22"/>
                              <w:szCs w:val="24"/>
                            </w:rPr>
                            <w:fldChar w:fldCharType="begin"/>
                          </w:r>
                          <w:r>
                            <w:rPr>
                              <w:sz w:val="22"/>
                              <w:szCs w:val="24"/>
                            </w:rPr>
                            <w:instrText xml:space="preserve"> PAGE  \* MERGEFORMAT </w:instrText>
                          </w:r>
                          <w:r>
                            <w:rPr>
                              <w:sz w:val="22"/>
                              <w:szCs w:val="24"/>
                            </w:rPr>
                            <w:fldChar w:fldCharType="separate"/>
                          </w:r>
                          <w:r>
                            <w:rPr>
                              <w:sz w:val="22"/>
                              <w:szCs w:val="24"/>
                            </w:rPr>
                            <w:t>1</w:t>
                          </w:r>
                          <w:r>
                            <w:rPr>
                              <w:sz w:val="22"/>
                              <w:szCs w:val="24"/>
                            </w:rPr>
                            <w:fldChar w:fldCharType="end"/>
                          </w: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0pt;height:20.25pt;width:11.25pt;mso-position-horizontal:center;mso-position-horizontal-relative:margin;z-index:251659264;mso-width-relative:page;mso-height-relative:page;" filled="f" stroked="f" coordsize="21600,21600" o:gfxdata="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uPhm/0gAAAAMBAAAPAAAAAAAAAAEAIAAAACIAAABkcnMvZG93bnJldi54bWxQ&#10;SwECFAAUAAAACACHTuJAvoQJETYCAABhBAAADgAAAAAAAAABACAAAAAhAQAAZHJzL2Uyb0RvYy54&#10;bWxQSwUGAAAAAAYABgBZAQAAyQUAAAAA&#10;">
              <v:fill on="f" focussize="0,0"/>
              <v:stroke on="f" weight="0.5pt"/>
              <v:imagedata o:title=""/>
              <o:lock v:ext="edit" aspectratio="f"/>
              <v:textbox inset="0mm,0mm,0mm,0mm">
                <w:txbxContent>
                  <w:p w14:paraId="70A1DF6A">
                    <w:pPr>
                      <w:pStyle w:val="23"/>
                      <w:jc w:val="center"/>
                    </w:pPr>
                    <w:r>
                      <w:rPr>
                        <w:sz w:val="22"/>
                        <w:szCs w:val="24"/>
                      </w:rPr>
                      <w:fldChar w:fldCharType="begin"/>
                    </w:r>
                    <w:r>
                      <w:rPr>
                        <w:sz w:val="22"/>
                        <w:szCs w:val="24"/>
                      </w:rPr>
                      <w:instrText xml:space="preserve"> PAGE  \* MERGEFORMAT </w:instrText>
                    </w:r>
                    <w:r>
                      <w:rPr>
                        <w:sz w:val="22"/>
                        <w:szCs w:val="24"/>
                      </w:rPr>
                      <w:fldChar w:fldCharType="separate"/>
                    </w:r>
                    <w:r>
                      <w:rPr>
                        <w:sz w:val="22"/>
                        <w:szCs w:val="24"/>
                      </w:rPr>
                      <w:t>1</w:t>
                    </w:r>
                    <w:r>
                      <w:rPr>
                        <w:sz w:val="22"/>
                        <w:szCs w:val="24"/>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39EC7B">
    <w:pPr>
      <w:pStyle w:val="23"/>
      <w:ind w:right="360"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ED42DE">
                          <w:pPr>
                            <w:pStyle w:val="23"/>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50ED42DE">
                    <w:pPr>
                      <w:pStyle w:val="23"/>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7DDFA3">
    <w:pPr>
      <w:pStyle w:val="23"/>
      <w:ind w:right="360" w:firstLine="36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E70BCD">
                          <w:pPr>
                            <w:pStyle w:val="23"/>
                          </w:pPr>
                          <w:r>
                            <w:fldChar w:fldCharType="begin"/>
                          </w:r>
                          <w:r>
                            <w:instrText xml:space="preserve"> PAGE  \* MERGEFORMAT </w:instrText>
                          </w:r>
                          <w:r>
                            <w:fldChar w:fldCharType="separate"/>
                          </w:r>
                          <w:r>
                            <w:t>75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6E70BCD">
                    <w:pPr>
                      <w:pStyle w:val="23"/>
                    </w:pPr>
                    <w:r>
                      <w:fldChar w:fldCharType="begin"/>
                    </w:r>
                    <w:r>
                      <w:instrText xml:space="preserve"> PAGE  \* MERGEFORMAT </w:instrText>
                    </w:r>
                    <w:r>
                      <w:fldChar w:fldCharType="separate"/>
                    </w:r>
                    <w:r>
                      <w:t>75</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D587F2">
    <w:pPr>
      <w:pStyle w:val="24"/>
      <w:rPr>
        <w:rFonts w:hint="eastAsia" w:eastAsia="宋体"/>
        <w:lang w:eastAsia="zh-CN"/>
      </w:rPr>
    </w:pPr>
    <w:r>
      <w:rPr>
        <w:rFonts w:hint="eastAsia"/>
        <w:lang w:eastAsia="zh-CN"/>
      </w:rPr>
      <w:t>淮安欣展高分子科技有限公司高分子半导电胶辊生产线技改项目</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DD0E04">
    <w:pPr>
      <w:pStyle w:val="24"/>
      <w:rPr>
        <w:rFonts w:hint="eastAsia" w:eastAsia="宋体"/>
        <w:lang w:eastAsia="zh-CN"/>
      </w:rPr>
    </w:pPr>
    <w:r>
      <w:rPr>
        <w:rFonts w:hint="eastAsia"/>
        <w:lang w:eastAsia="zh-CN"/>
      </w:rPr>
      <w:t>淮安欣展高分子科技有限公司高分子半导电胶辊生产线技改项目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98D6961"/>
    <w:multiLevelType w:val="singleLevel"/>
    <w:tmpl w:val="E98D6961"/>
    <w:lvl w:ilvl="0" w:tentative="0">
      <w:start w:val="1"/>
      <w:numFmt w:val="upperLetter"/>
      <w:lvlText w:val="%1."/>
      <w:lvlJc w:val="left"/>
      <w:pPr>
        <w:tabs>
          <w:tab w:val="left" w:pos="312"/>
        </w:tabs>
      </w:pPr>
    </w:lvl>
  </w:abstractNum>
  <w:abstractNum w:abstractNumId="1">
    <w:nsid w:val="0FC4788D"/>
    <w:multiLevelType w:val="singleLevel"/>
    <w:tmpl w:val="0FC4788D"/>
    <w:lvl w:ilvl="0" w:tentative="0">
      <w:start w:val="9"/>
      <w:numFmt w:val="decimal"/>
      <w:lvlText w:val="%1."/>
      <w:lvlJc w:val="left"/>
      <w:pPr>
        <w:tabs>
          <w:tab w:val="left" w:pos="312"/>
        </w:tabs>
      </w:pPr>
    </w:lvl>
  </w:abstractNum>
  <w:abstractNum w:abstractNumId="2">
    <w:nsid w:val="1EA883AA"/>
    <w:multiLevelType w:val="singleLevel"/>
    <w:tmpl w:val="1EA883AA"/>
    <w:lvl w:ilvl="0" w:tentative="0">
      <w:start w:val="1"/>
      <w:numFmt w:val="bullet"/>
      <w:pStyle w:val="20"/>
      <w:lvlText w:val=""/>
      <w:lvlJc w:val="left"/>
      <w:pPr>
        <w:tabs>
          <w:tab w:val="left" w:pos="2040"/>
        </w:tabs>
        <w:ind w:left="2040" w:hanging="360"/>
      </w:pPr>
      <w:rPr>
        <w:rFonts w:hint="default" w:ascii="Wingdings" w:hAnsi="Wingdings"/>
      </w:rPr>
    </w:lvl>
  </w:abstractNum>
  <w:abstractNum w:abstractNumId="3">
    <w:nsid w:val="557E57CE"/>
    <w:multiLevelType w:val="singleLevel"/>
    <w:tmpl w:val="557E57CE"/>
    <w:lvl w:ilvl="0" w:tentative="0">
      <w:start w:val="1"/>
      <w:numFmt w:val="bullet"/>
      <w:pStyle w:val="11"/>
      <w:lvlText w:val=""/>
      <w:lvlJc w:val="left"/>
      <w:pPr>
        <w:tabs>
          <w:tab w:val="left" w:pos="780"/>
        </w:tabs>
        <w:ind w:left="780" w:hanging="360"/>
      </w:pPr>
      <w:rPr>
        <w:rFonts w:hint="default" w:ascii="Wingdings" w:hAnsi="Wingdings"/>
      </w:rPr>
    </w:lvl>
  </w:abstractNum>
  <w:abstractNum w:abstractNumId="4">
    <w:nsid w:val="75F6B02B"/>
    <w:multiLevelType w:val="multilevel"/>
    <w:tmpl w:val="75F6B02B"/>
    <w:lvl w:ilvl="0" w:tentative="0">
      <w:start w:val="1"/>
      <w:numFmt w:val="chineseCounting"/>
      <w:suff w:val="nothing"/>
      <w:lvlText w:val="%1、"/>
      <w:lvlJc w:val="left"/>
      <w:rPr>
        <w:rFonts w:hint="eastAsia" w:cs="Times New Roman"/>
      </w:rPr>
    </w:lvl>
    <w:lvl w:ilvl="1" w:tentative="0">
      <w:start w:val="1"/>
      <w:numFmt w:val="chineseCounting"/>
      <w:suff w:val="nothing"/>
      <w:lvlText w:val="（%2）"/>
      <w:lvlJc w:val="left"/>
      <w:rPr>
        <w:rFonts w:hint="eastAsia" w:cs="Times New Roman"/>
      </w:rPr>
    </w:lvl>
    <w:lvl w:ilvl="2" w:tentative="0">
      <w:start w:val="1"/>
      <w:numFmt w:val="decimal"/>
      <w:pStyle w:val="4"/>
      <w:suff w:val="nothing"/>
      <w:lvlText w:val="%3．"/>
      <w:lvlJc w:val="left"/>
      <w:pPr>
        <w:ind w:firstLine="400"/>
      </w:pPr>
      <w:rPr>
        <w:rFonts w:hint="eastAsia" w:cs="Times New Roman"/>
      </w:rPr>
    </w:lvl>
    <w:lvl w:ilvl="3" w:tentative="0">
      <w:start w:val="1"/>
      <w:numFmt w:val="decimal"/>
      <w:pStyle w:val="5"/>
      <w:suff w:val="nothing"/>
      <w:lvlText w:val="（%4）"/>
      <w:lvlJc w:val="left"/>
      <w:pPr>
        <w:ind w:firstLine="402"/>
      </w:pPr>
      <w:rPr>
        <w:rFonts w:hint="eastAsia" w:cs="Times New Roman"/>
      </w:rPr>
    </w:lvl>
    <w:lvl w:ilvl="4" w:tentative="0">
      <w:start w:val="1"/>
      <w:numFmt w:val="decimalEnclosedCircleChinese"/>
      <w:suff w:val="nothing"/>
      <w:lvlText w:val="%5"/>
      <w:lvlJc w:val="left"/>
      <w:pPr>
        <w:ind w:firstLine="402"/>
      </w:pPr>
      <w:rPr>
        <w:rFonts w:hint="eastAsia" w:cs="Times New Roman"/>
      </w:rPr>
    </w:lvl>
    <w:lvl w:ilvl="5" w:tentative="0">
      <w:start w:val="1"/>
      <w:numFmt w:val="decimal"/>
      <w:suff w:val="nothing"/>
      <w:lvlText w:val="%6）"/>
      <w:lvlJc w:val="left"/>
      <w:pPr>
        <w:ind w:firstLine="402"/>
      </w:pPr>
      <w:rPr>
        <w:rFonts w:hint="eastAsia" w:cs="Times New Roman"/>
      </w:rPr>
    </w:lvl>
    <w:lvl w:ilvl="6" w:tentative="0">
      <w:start w:val="1"/>
      <w:numFmt w:val="lowerLetter"/>
      <w:suff w:val="nothing"/>
      <w:lvlText w:val="%7．"/>
      <w:lvlJc w:val="left"/>
      <w:pPr>
        <w:ind w:firstLine="402"/>
      </w:pPr>
      <w:rPr>
        <w:rFonts w:hint="eastAsia" w:cs="Times New Roman"/>
      </w:rPr>
    </w:lvl>
    <w:lvl w:ilvl="7" w:tentative="0">
      <w:start w:val="1"/>
      <w:numFmt w:val="lowerLetter"/>
      <w:suff w:val="nothing"/>
      <w:lvlText w:val="%8）"/>
      <w:lvlJc w:val="left"/>
      <w:pPr>
        <w:ind w:firstLine="402"/>
      </w:pPr>
      <w:rPr>
        <w:rFonts w:hint="eastAsia" w:cs="Times New Roman"/>
      </w:rPr>
    </w:lvl>
    <w:lvl w:ilvl="8" w:tentative="0">
      <w:start w:val="1"/>
      <w:numFmt w:val="lowerRoman"/>
      <w:suff w:val="nothing"/>
      <w:lvlText w:val="%9 "/>
      <w:lvlJc w:val="left"/>
      <w:pPr>
        <w:ind w:firstLine="402"/>
      </w:pPr>
      <w:rPr>
        <w:rFonts w:hint="eastAsia" w:cs="Times New Roman"/>
      </w:r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dit="trackedChanges" w:enforcement="0"/>
  <w:defaultTabStop w:val="0"/>
  <w:hyphenationZone w:val="360"/>
  <w:doNotHyphenateCaps/>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RiZGIzNDE2NTg1ODhkNzdlMjNjYWQ0M2JkZTkzN2YifQ=="/>
  </w:docVars>
  <w:rsids>
    <w:rsidRoot w:val="00A14947"/>
    <w:rsid w:val="00000C1E"/>
    <w:rsid w:val="000060B3"/>
    <w:rsid w:val="0004364B"/>
    <w:rsid w:val="00060C6A"/>
    <w:rsid w:val="00061B1F"/>
    <w:rsid w:val="000733C4"/>
    <w:rsid w:val="00074783"/>
    <w:rsid w:val="0008070B"/>
    <w:rsid w:val="000810AC"/>
    <w:rsid w:val="00081A02"/>
    <w:rsid w:val="00082231"/>
    <w:rsid w:val="00092D38"/>
    <w:rsid w:val="0009377B"/>
    <w:rsid w:val="000A20C9"/>
    <w:rsid w:val="000B058F"/>
    <w:rsid w:val="000B4467"/>
    <w:rsid w:val="000B4DB9"/>
    <w:rsid w:val="000C09AC"/>
    <w:rsid w:val="000C767F"/>
    <w:rsid w:val="000D5A44"/>
    <w:rsid w:val="000E3ED2"/>
    <w:rsid w:val="00131F42"/>
    <w:rsid w:val="001357F1"/>
    <w:rsid w:val="00140FA8"/>
    <w:rsid w:val="00142FEB"/>
    <w:rsid w:val="00143A2D"/>
    <w:rsid w:val="00145A41"/>
    <w:rsid w:val="00151675"/>
    <w:rsid w:val="00155351"/>
    <w:rsid w:val="00157435"/>
    <w:rsid w:val="0017504D"/>
    <w:rsid w:val="0017671A"/>
    <w:rsid w:val="00177422"/>
    <w:rsid w:val="00184590"/>
    <w:rsid w:val="001870D1"/>
    <w:rsid w:val="0018781E"/>
    <w:rsid w:val="0019262D"/>
    <w:rsid w:val="001A1B35"/>
    <w:rsid w:val="001A48A2"/>
    <w:rsid w:val="001A6F61"/>
    <w:rsid w:val="001B72B8"/>
    <w:rsid w:val="001C69B3"/>
    <w:rsid w:val="001D5595"/>
    <w:rsid w:val="001D7874"/>
    <w:rsid w:val="001D7F22"/>
    <w:rsid w:val="001F0F17"/>
    <w:rsid w:val="001F3347"/>
    <w:rsid w:val="001F69E4"/>
    <w:rsid w:val="002125B4"/>
    <w:rsid w:val="002155B8"/>
    <w:rsid w:val="00224839"/>
    <w:rsid w:val="002249B2"/>
    <w:rsid w:val="00226574"/>
    <w:rsid w:val="002278EC"/>
    <w:rsid w:val="0023280E"/>
    <w:rsid w:val="002377D1"/>
    <w:rsid w:val="002506BC"/>
    <w:rsid w:val="00254345"/>
    <w:rsid w:val="00264557"/>
    <w:rsid w:val="002713BA"/>
    <w:rsid w:val="002805AB"/>
    <w:rsid w:val="00284204"/>
    <w:rsid w:val="00291773"/>
    <w:rsid w:val="002A168C"/>
    <w:rsid w:val="002A3DC7"/>
    <w:rsid w:val="002B49E2"/>
    <w:rsid w:val="002B7991"/>
    <w:rsid w:val="002B7B00"/>
    <w:rsid w:val="002B7C44"/>
    <w:rsid w:val="002C2B17"/>
    <w:rsid w:val="002D3DD0"/>
    <w:rsid w:val="002E1F3A"/>
    <w:rsid w:val="002E298A"/>
    <w:rsid w:val="00301978"/>
    <w:rsid w:val="0030332C"/>
    <w:rsid w:val="003051C2"/>
    <w:rsid w:val="00312296"/>
    <w:rsid w:val="00314F0E"/>
    <w:rsid w:val="00321D8E"/>
    <w:rsid w:val="00325928"/>
    <w:rsid w:val="00332863"/>
    <w:rsid w:val="0033684D"/>
    <w:rsid w:val="00337B42"/>
    <w:rsid w:val="00341B42"/>
    <w:rsid w:val="0034348F"/>
    <w:rsid w:val="00356653"/>
    <w:rsid w:val="0035743F"/>
    <w:rsid w:val="00357BE2"/>
    <w:rsid w:val="0036170C"/>
    <w:rsid w:val="00366E0F"/>
    <w:rsid w:val="00381A72"/>
    <w:rsid w:val="00384676"/>
    <w:rsid w:val="00390857"/>
    <w:rsid w:val="003A4BF3"/>
    <w:rsid w:val="003B420D"/>
    <w:rsid w:val="003C6C16"/>
    <w:rsid w:val="003D794D"/>
    <w:rsid w:val="003E3058"/>
    <w:rsid w:val="003E76A9"/>
    <w:rsid w:val="003F0809"/>
    <w:rsid w:val="003F6A8C"/>
    <w:rsid w:val="003F755C"/>
    <w:rsid w:val="00406F01"/>
    <w:rsid w:val="00416D50"/>
    <w:rsid w:val="00416FD5"/>
    <w:rsid w:val="00417772"/>
    <w:rsid w:val="00420E6A"/>
    <w:rsid w:val="00425A9E"/>
    <w:rsid w:val="00426D6B"/>
    <w:rsid w:val="00431E6C"/>
    <w:rsid w:val="00433CE7"/>
    <w:rsid w:val="004400E9"/>
    <w:rsid w:val="00452738"/>
    <w:rsid w:val="00456091"/>
    <w:rsid w:val="0046375D"/>
    <w:rsid w:val="00466321"/>
    <w:rsid w:val="00484B9B"/>
    <w:rsid w:val="004855F6"/>
    <w:rsid w:val="0048661E"/>
    <w:rsid w:val="00494670"/>
    <w:rsid w:val="004A3823"/>
    <w:rsid w:val="004D4AEB"/>
    <w:rsid w:val="004E6946"/>
    <w:rsid w:val="004F1AD8"/>
    <w:rsid w:val="005039CB"/>
    <w:rsid w:val="0050558F"/>
    <w:rsid w:val="00506286"/>
    <w:rsid w:val="00510813"/>
    <w:rsid w:val="00511990"/>
    <w:rsid w:val="00511DE0"/>
    <w:rsid w:val="00514870"/>
    <w:rsid w:val="00514B9B"/>
    <w:rsid w:val="00517F02"/>
    <w:rsid w:val="00524303"/>
    <w:rsid w:val="005258A2"/>
    <w:rsid w:val="005401AE"/>
    <w:rsid w:val="00542E07"/>
    <w:rsid w:val="00545424"/>
    <w:rsid w:val="00554A7B"/>
    <w:rsid w:val="0055572C"/>
    <w:rsid w:val="0056106A"/>
    <w:rsid w:val="005720AE"/>
    <w:rsid w:val="00594D77"/>
    <w:rsid w:val="005969E4"/>
    <w:rsid w:val="005A06B7"/>
    <w:rsid w:val="005A1759"/>
    <w:rsid w:val="005A68A7"/>
    <w:rsid w:val="005A7208"/>
    <w:rsid w:val="005C7456"/>
    <w:rsid w:val="005D36AB"/>
    <w:rsid w:val="00611497"/>
    <w:rsid w:val="00617CC3"/>
    <w:rsid w:val="006377A6"/>
    <w:rsid w:val="00637A3D"/>
    <w:rsid w:val="006411EF"/>
    <w:rsid w:val="0066795B"/>
    <w:rsid w:val="00670104"/>
    <w:rsid w:val="006748B8"/>
    <w:rsid w:val="006775C3"/>
    <w:rsid w:val="0069290A"/>
    <w:rsid w:val="0069775A"/>
    <w:rsid w:val="00697813"/>
    <w:rsid w:val="006A3EE8"/>
    <w:rsid w:val="006A72BF"/>
    <w:rsid w:val="006B03F2"/>
    <w:rsid w:val="006B37DC"/>
    <w:rsid w:val="006B4F68"/>
    <w:rsid w:val="006C0592"/>
    <w:rsid w:val="006C272E"/>
    <w:rsid w:val="006C5479"/>
    <w:rsid w:val="006D13B5"/>
    <w:rsid w:val="006E12FF"/>
    <w:rsid w:val="006E607E"/>
    <w:rsid w:val="00706C5D"/>
    <w:rsid w:val="007314A1"/>
    <w:rsid w:val="00731666"/>
    <w:rsid w:val="00732922"/>
    <w:rsid w:val="00742189"/>
    <w:rsid w:val="0075162E"/>
    <w:rsid w:val="00754034"/>
    <w:rsid w:val="00756556"/>
    <w:rsid w:val="007618C4"/>
    <w:rsid w:val="00767980"/>
    <w:rsid w:val="00770B19"/>
    <w:rsid w:val="0077463F"/>
    <w:rsid w:val="007836EA"/>
    <w:rsid w:val="00784CDA"/>
    <w:rsid w:val="007906C4"/>
    <w:rsid w:val="007940EA"/>
    <w:rsid w:val="007967E8"/>
    <w:rsid w:val="007A2170"/>
    <w:rsid w:val="007A22BF"/>
    <w:rsid w:val="007A3323"/>
    <w:rsid w:val="007B72B8"/>
    <w:rsid w:val="007B7A58"/>
    <w:rsid w:val="007C21B5"/>
    <w:rsid w:val="007D2091"/>
    <w:rsid w:val="007E4BD2"/>
    <w:rsid w:val="00801393"/>
    <w:rsid w:val="00802F88"/>
    <w:rsid w:val="0081293E"/>
    <w:rsid w:val="00815465"/>
    <w:rsid w:val="00817E9A"/>
    <w:rsid w:val="008306BD"/>
    <w:rsid w:val="00831A80"/>
    <w:rsid w:val="00833743"/>
    <w:rsid w:val="008340A4"/>
    <w:rsid w:val="00863B59"/>
    <w:rsid w:val="0087135F"/>
    <w:rsid w:val="00872D94"/>
    <w:rsid w:val="00880364"/>
    <w:rsid w:val="00891592"/>
    <w:rsid w:val="00891E9E"/>
    <w:rsid w:val="008A2F68"/>
    <w:rsid w:val="008B4FA6"/>
    <w:rsid w:val="008B5282"/>
    <w:rsid w:val="008B7C17"/>
    <w:rsid w:val="008C2D01"/>
    <w:rsid w:val="008C40E6"/>
    <w:rsid w:val="008C59BB"/>
    <w:rsid w:val="008D0F7A"/>
    <w:rsid w:val="008D68E4"/>
    <w:rsid w:val="008E0506"/>
    <w:rsid w:val="008E0CFF"/>
    <w:rsid w:val="008E5D6B"/>
    <w:rsid w:val="008E76F0"/>
    <w:rsid w:val="008F15FE"/>
    <w:rsid w:val="008F2D29"/>
    <w:rsid w:val="008F5187"/>
    <w:rsid w:val="008F60D8"/>
    <w:rsid w:val="00902727"/>
    <w:rsid w:val="0090312B"/>
    <w:rsid w:val="0091736D"/>
    <w:rsid w:val="0093037A"/>
    <w:rsid w:val="0094154D"/>
    <w:rsid w:val="0095155F"/>
    <w:rsid w:val="00954429"/>
    <w:rsid w:val="009563CE"/>
    <w:rsid w:val="00976328"/>
    <w:rsid w:val="0097680D"/>
    <w:rsid w:val="00982438"/>
    <w:rsid w:val="0098404C"/>
    <w:rsid w:val="00985283"/>
    <w:rsid w:val="00995992"/>
    <w:rsid w:val="009A03E5"/>
    <w:rsid w:val="009A0F3B"/>
    <w:rsid w:val="009A1BB4"/>
    <w:rsid w:val="009A2628"/>
    <w:rsid w:val="009A2FC0"/>
    <w:rsid w:val="009A3200"/>
    <w:rsid w:val="009B0897"/>
    <w:rsid w:val="009B7BD9"/>
    <w:rsid w:val="009C7DD5"/>
    <w:rsid w:val="009E227D"/>
    <w:rsid w:val="009E5019"/>
    <w:rsid w:val="00A04F1B"/>
    <w:rsid w:val="00A0501B"/>
    <w:rsid w:val="00A10993"/>
    <w:rsid w:val="00A12741"/>
    <w:rsid w:val="00A14947"/>
    <w:rsid w:val="00A32A83"/>
    <w:rsid w:val="00A368DB"/>
    <w:rsid w:val="00A423AA"/>
    <w:rsid w:val="00A53EC6"/>
    <w:rsid w:val="00A55C0F"/>
    <w:rsid w:val="00A6244D"/>
    <w:rsid w:val="00A76CF9"/>
    <w:rsid w:val="00A8713F"/>
    <w:rsid w:val="00A90BA1"/>
    <w:rsid w:val="00A97A9A"/>
    <w:rsid w:val="00AA0671"/>
    <w:rsid w:val="00AA2531"/>
    <w:rsid w:val="00AB1E09"/>
    <w:rsid w:val="00AB5330"/>
    <w:rsid w:val="00AB7747"/>
    <w:rsid w:val="00AC14CE"/>
    <w:rsid w:val="00AC2A56"/>
    <w:rsid w:val="00AD055E"/>
    <w:rsid w:val="00AD47A7"/>
    <w:rsid w:val="00AF0CBF"/>
    <w:rsid w:val="00AF257F"/>
    <w:rsid w:val="00AF33CF"/>
    <w:rsid w:val="00AF4D50"/>
    <w:rsid w:val="00AF6179"/>
    <w:rsid w:val="00B06E28"/>
    <w:rsid w:val="00B1295A"/>
    <w:rsid w:val="00B20A45"/>
    <w:rsid w:val="00B22C5C"/>
    <w:rsid w:val="00B24F30"/>
    <w:rsid w:val="00B31ABF"/>
    <w:rsid w:val="00B33BE3"/>
    <w:rsid w:val="00B53B5D"/>
    <w:rsid w:val="00B6055E"/>
    <w:rsid w:val="00B61856"/>
    <w:rsid w:val="00B6317D"/>
    <w:rsid w:val="00B72711"/>
    <w:rsid w:val="00B73464"/>
    <w:rsid w:val="00B7723F"/>
    <w:rsid w:val="00B80534"/>
    <w:rsid w:val="00B8433C"/>
    <w:rsid w:val="00B87491"/>
    <w:rsid w:val="00BA29E9"/>
    <w:rsid w:val="00BA7142"/>
    <w:rsid w:val="00BB237C"/>
    <w:rsid w:val="00BB41A3"/>
    <w:rsid w:val="00BC32DC"/>
    <w:rsid w:val="00BC35B6"/>
    <w:rsid w:val="00BD1B51"/>
    <w:rsid w:val="00BD4596"/>
    <w:rsid w:val="00BE1405"/>
    <w:rsid w:val="00BE312D"/>
    <w:rsid w:val="00BF1C20"/>
    <w:rsid w:val="00C10578"/>
    <w:rsid w:val="00C135BC"/>
    <w:rsid w:val="00C15C95"/>
    <w:rsid w:val="00C2596A"/>
    <w:rsid w:val="00C27537"/>
    <w:rsid w:val="00C2782B"/>
    <w:rsid w:val="00C328FE"/>
    <w:rsid w:val="00C33507"/>
    <w:rsid w:val="00C4409D"/>
    <w:rsid w:val="00C44E72"/>
    <w:rsid w:val="00C45A06"/>
    <w:rsid w:val="00C47E5B"/>
    <w:rsid w:val="00C51658"/>
    <w:rsid w:val="00C61E4B"/>
    <w:rsid w:val="00C64BFF"/>
    <w:rsid w:val="00C704E9"/>
    <w:rsid w:val="00C763C9"/>
    <w:rsid w:val="00C80057"/>
    <w:rsid w:val="00C82232"/>
    <w:rsid w:val="00C82913"/>
    <w:rsid w:val="00C972B1"/>
    <w:rsid w:val="00CA2CCE"/>
    <w:rsid w:val="00CA43FD"/>
    <w:rsid w:val="00CA7EF8"/>
    <w:rsid w:val="00CC489B"/>
    <w:rsid w:val="00CD2BCD"/>
    <w:rsid w:val="00CD3A4C"/>
    <w:rsid w:val="00CE10E9"/>
    <w:rsid w:val="00CE2910"/>
    <w:rsid w:val="00CE5393"/>
    <w:rsid w:val="00CF36BE"/>
    <w:rsid w:val="00CF6000"/>
    <w:rsid w:val="00D003F3"/>
    <w:rsid w:val="00D0364F"/>
    <w:rsid w:val="00D06834"/>
    <w:rsid w:val="00D308ED"/>
    <w:rsid w:val="00D36D86"/>
    <w:rsid w:val="00D428AA"/>
    <w:rsid w:val="00D50A34"/>
    <w:rsid w:val="00D53EFA"/>
    <w:rsid w:val="00D94A7C"/>
    <w:rsid w:val="00D95896"/>
    <w:rsid w:val="00DB2983"/>
    <w:rsid w:val="00DC1257"/>
    <w:rsid w:val="00DC3DC0"/>
    <w:rsid w:val="00DC5B2B"/>
    <w:rsid w:val="00DD318D"/>
    <w:rsid w:val="00DF2E12"/>
    <w:rsid w:val="00DF514A"/>
    <w:rsid w:val="00DF6690"/>
    <w:rsid w:val="00DF6804"/>
    <w:rsid w:val="00E0358D"/>
    <w:rsid w:val="00E04323"/>
    <w:rsid w:val="00E070A2"/>
    <w:rsid w:val="00E2656A"/>
    <w:rsid w:val="00E412D0"/>
    <w:rsid w:val="00E536C6"/>
    <w:rsid w:val="00E56322"/>
    <w:rsid w:val="00E60982"/>
    <w:rsid w:val="00E62C62"/>
    <w:rsid w:val="00E654C1"/>
    <w:rsid w:val="00E65D97"/>
    <w:rsid w:val="00E72A5A"/>
    <w:rsid w:val="00E73354"/>
    <w:rsid w:val="00E9242D"/>
    <w:rsid w:val="00EB5255"/>
    <w:rsid w:val="00EB5C47"/>
    <w:rsid w:val="00EC58A6"/>
    <w:rsid w:val="00ED0639"/>
    <w:rsid w:val="00ED1E2A"/>
    <w:rsid w:val="00EF4755"/>
    <w:rsid w:val="00EF7135"/>
    <w:rsid w:val="00F027DB"/>
    <w:rsid w:val="00F14A7A"/>
    <w:rsid w:val="00F22985"/>
    <w:rsid w:val="00F3383E"/>
    <w:rsid w:val="00F465A7"/>
    <w:rsid w:val="00F50B7C"/>
    <w:rsid w:val="00F550E6"/>
    <w:rsid w:val="00F74345"/>
    <w:rsid w:val="00F80A0A"/>
    <w:rsid w:val="00F82B19"/>
    <w:rsid w:val="00F9212D"/>
    <w:rsid w:val="00F965DA"/>
    <w:rsid w:val="00FA406A"/>
    <w:rsid w:val="00FB503A"/>
    <w:rsid w:val="00FB516C"/>
    <w:rsid w:val="00FC02BF"/>
    <w:rsid w:val="00FD0236"/>
    <w:rsid w:val="00FD18F4"/>
    <w:rsid w:val="00FD54DB"/>
    <w:rsid w:val="00FD619F"/>
    <w:rsid w:val="01011432"/>
    <w:rsid w:val="01050F22"/>
    <w:rsid w:val="01066A48"/>
    <w:rsid w:val="010D6029"/>
    <w:rsid w:val="011C44BE"/>
    <w:rsid w:val="0123584C"/>
    <w:rsid w:val="012453C2"/>
    <w:rsid w:val="01246DDF"/>
    <w:rsid w:val="01255120"/>
    <w:rsid w:val="01290F7E"/>
    <w:rsid w:val="013C06BC"/>
    <w:rsid w:val="013F52C0"/>
    <w:rsid w:val="015C7076"/>
    <w:rsid w:val="015D1E09"/>
    <w:rsid w:val="015E3B2D"/>
    <w:rsid w:val="016C71F3"/>
    <w:rsid w:val="016F115B"/>
    <w:rsid w:val="017716F4"/>
    <w:rsid w:val="01853E11"/>
    <w:rsid w:val="0192135F"/>
    <w:rsid w:val="019271A3"/>
    <w:rsid w:val="01995B0E"/>
    <w:rsid w:val="019B6309"/>
    <w:rsid w:val="01A207EA"/>
    <w:rsid w:val="01AF0E8E"/>
    <w:rsid w:val="01B61072"/>
    <w:rsid w:val="01B96DFD"/>
    <w:rsid w:val="01BA0DA0"/>
    <w:rsid w:val="01C2043A"/>
    <w:rsid w:val="01C309DF"/>
    <w:rsid w:val="01C630F0"/>
    <w:rsid w:val="01C71AFB"/>
    <w:rsid w:val="01CA216C"/>
    <w:rsid w:val="01CA5BE2"/>
    <w:rsid w:val="01D34AC7"/>
    <w:rsid w:val="01D37562"/>
    <w:rsid w:val="01D9415D"/>
    <w:rsid w:val="01DF79C5"/>
    <w:rsid w:val="01E52B01"/>
    <w:rsid w:val="01E74ACC"/>
    <w:rsid w:val="01F9035B"/>
    <w:rsid w:val="02076F1C"/>
    <w:rsid w:val="02105DD0"/>
    <w:rsid w:val="02226DE7"/>
    <w:rsid w:val="022C78EE"/>
    <w:rsid w:val="02305D77"/>
    <w:rsid w:val="02305EF1"/>
    <w:rsid w:val="0236335D"/>
    <w:rsid w:val="02367D5E"/>
    <w:rsid w:val="02381424"/>
    <w:rsid w:val="023D09DB"/>
    <w:rsid w:val="025C1439"/>
    <w:rsid w:val="025D690F"/>
    <w:rsid w:val="02697903"/>
    <w:rsid w:val="026B1746"/>
    <w:rsid w:val="02743F39"/>
    <w:rsid w:val="027E47CE"/>
    <w:rsid w:val="02886DC8"/>
    <w:rsid w:val="028D7421"/>
    <w:rsid w:val="02936A01"/>
    <w:rsid w:val="029B032D"/>
    <w:rsid w:val="029B5AD9"/>
    <w:rsid w:val="029C23FF"/>
    <w:rsid w:val="02AE7397"/>
    <w:rsid w:val="02B20C36"/>
    <w:rsid w:val="02BD75DA"/>
    <w:rsid w:val="02BE60B4"/>
    <w:rsid w:val="02C92423"/>
    <w:rsid w:val="02D0730E"/>
    <w:rsid w:val="02D7069C"/>
    <w:rsid w:val="02DB5ED1"/>
    <w:rsid w:val="02DC78BE"/>
    <w:rsid w:val="02ED2E7E"/>
    <w:rsid w:val="02F96569"/>
    <w:rsid w:val="02F97A21"/>
    <w:rsid w:val="02FC76B4"/>
    <w:rsid w:val="030561D9"/>
    <w:rsid w:val="030661B3"/>
    <w:rsid w:val="03101E00"/>
    <w:rsid w:val="03121A3F"/>
    <w:rsid w:val="03231B33"/>
    <w:rsid w:val="03255028"/>
    <w:rsid w:val="0330024A"/>
    <w:rsid w:val="033E33BA"/>
    <w:rsid w:val="03406F06"/>
    <w:rsid w:val="035E2BF3"/>
    <w:rsid w:val="03634626"/>
    <w:rsid w:val="037979A5"/>
    <w:rsid w:val="038A7E04"/>
    <w:rsid w:val="038B5F42"/>
    <w:rsid w:val="03906A9D"/>
    <w:rsid w:val="03977E2B"/>
    <w:rsid w:val="039B5B6E"/>
    <w:rsid w:val="03A323C4"/>
    <w:rsid w:val="03AC1400"/>
    <w:rsid w:val="03B60BF9"/>
    <w:rsid w:val="03B71428"/>
    <w:rsid w:val="03DB240E"/>
    <w:rsid w:val="03DD4B8B"/>
    <w:rsid w:val="03DE5A5A"/>
    <w:rsid w:val="03E94B2B"/>
    <w:rsid w:val="03EA7B21"/>
    <w:rsid w:val="03F31506"/>
    <w:rsid w:val="03FB7961"/>
    <w:rsid w:val="040A684F"/>
    <w:rsid w:val="040D666A"/>
    <w:rsid w:val="04117BDE"/>
    <w:rsid w:val="04206073"/>
    <w:rsid w:val="042C3E26"/>
    <w:rsid w:val="0431564D"/>
    <w:rsid w:val="043D6C25"/>
    <w:rsid w:val="0449381C"/>
    <w:rsid w:val="0452341B"/>
    <w:rsid w:val="04561A95"/>
    <w:rsid w:val="04583A5F"/>
    <w:rsid w:val="04626EFA"/>
    <w:rsid w:val="046C7126"/>
    <w:rsid w:val="04710602"/>
    <w:rsid w:val="047E366C"/>
    <w:rsid w:val="047F2D99"/>
    <w:rsid w:val="048B27F0"/>
    <w:rsid w:val="049727D9"/>
    <w:rsid w:val="04974587"/>
    <w:rsid w:val="049B394B"/>
    <w:rsid w:val="049B65B6"/>
    <w:rsid w:val="049E59B4"/>
    <w:rsid w:val="049E65AB"/>
    <w:rsid w:val="049F57FE"/>
    <w:rsid w:val="049F6E50"/>
    <w:rsid w:val="04A455C9"/>
    <w:rsid w:val="04BF3ADE"/>
    <w:rsid w:val="04BF509B"/>
    <w:rsid w:val="04C64E6C"/>
    <w:rsid w:val="04C83BD3"/>
    <w:rsid w:val="04C86939"/>
    <w:rsid w:val="04D64011"/>
    <w:rsid w:val="04E13A54"/>
    <w:rsid w:val="04E70ADF"/>
    <w:rsid w:val="04E86B91"/>
    <w:rsid w:val="05192AEE"/>
    <w:rsid w:val="051E3E66"/>
    <w:rsid w:val="052D40FF"/>
    <w:rsid w:val="05300538"/>
    <w:rsid w:val="05367346"/>
    <w:rsid w:val="053960A1"/>
    <w:rsid w:val="054C28AE"/>
    <w:rsid w:val="056640C5"/>
    <w:rsid w:val="05685F23"/>
    <w:rsid w:val="056C1408"/>
    <w:rsid w:val="057E542E"/>
    <w:rsid w:val="05892143"/>
    <w:rsid w:val="05993165"/>
    <w:rsid w:val="059C5559"/>
    <w:rsid w:val="05BC001D"/>
    <w:rsid w:val="05C25634"/>
    <w:rsid w:val="05C50C80"/>
    <w:rsid w:val="05CA273A"/>
    <w:rsid w:val="05CA44E8"/>
    <w:rsid w:val="05CF6EFA"/>
    <w:rsid w:val="05D610DF"/>
    <w:rsid w:val="05DE1000"/>
    <w:rsid w:val="05E51322"/>
    <w:rsid w:val="05F83EAE"/>
    <w:rsid w:val="05F96B7B"/>
    <w:rsid w:val="060308F7"/>
    <w:rsid w:val="06110369"/>
    <w:rsid w:val="06127C3D"/>
    <w:rsid w:val="06147E59"/>
    <w:rsid w:val="062409C8"/>
    <w:rsid w:val="06284D83"/>
    <w:rsid w:val="062C6F51"/>
    <w:rsid w:val="06364A57"/>
    <w:rsid w:val="063858F6"/>
    <w:rsid w:val="063B7194"/>
    <w:rsid w:val="063E7D85"/>
    <w:rsid w:val="06426774"/>
    <w:rsid w:val="06494EFE"/>
    <w:rsid w:val="06500E91"/>
    <w:rsid w:val="065B399C"/>
    <w:rsid w:val="068F643B"/>
    <w:rsid w:val="069E5BE2"/>
    <w:rsid w:val="06A116ED"/>
    <w:rsid w:val="06AF49B9"/>
    <w:rsid w:val="06BC02D5"/>
    <w:rsid w:val="06BD0AAC"/>
    <w:rsid w:val="06BF7DC5"/>
    <w:rsid w:val="06C453DB"/>
    <w:rsid w:val="06C93A28"/>
    <w:rsid w:val="06D964E9"/>
    <w:rsid w:val="06F40DDE"/>
    <w:rsid w:val="06F814E9"/>
    <w:rsid w:val="07080C8B"/>
    <w:rsid w:val="070B4DB8"/>
    <w:rsid w:val="070E48A8"/>
    <w:rsid w:val="071579E5"/>
    <w:rsid w:val="071C5217"/>
    <w:rsid w:val="07293586"/>
    <w:rsid w:val="07295285"/>
    <w:rsid w:val="073071A3"/>
    <w:rsid w:val="073729EA"/>
    <w:rsid w:val="073A569E"/>
    <w:rsid w:val="073B0F31"/>
    <w:rsid w:val="073C1416"/>
    <w:rsid w:val="07465DF0"/>
    <w:rsid w:val="07500A1D"/>
    <w:rsid w:val="07585B80"/>
    <w:rsid w:val="07636392"/>
    <w:rsid w:val="076504E3"/>
    <w:rsid w:val="07743210"/>
    <w:rsid w:val="07746E01"/>
    <w:rsid w:val="07770C56"/>
    <w:rsid w:val="077B37AB"/>
    <w:rsid w:val="0785042E"/>
    <w:rsid w:val="07873B85"/>
    <w:rsid w:val="07880991"/>
    <w:rsid w:val="078F7797"/>
    <w:rsid w:val="079808BF"/>
    <w:rsid w:val="07A22852"/>
    <w:rsid w:val="07A5520D"/>
    <w:rsid w:val="07B45450"/>
    <w:rsid w:val="07B54D24"/>
    <w:rsid w:val="07C10A7E"/>
    <w:rsid w:val="07CA6A9F"/>
    <w:rsid w:val="07CD6512"/>
    <w:rsid w:val="07D22F85"/>
    <w:rsid w:val="07E127BD"/>
    <w:rsid w:val="080041F1"/>
    <w:rsid w:val="0802440D"/>
    <w:rsid w:val="08053EFD"/>
    <w:rsid w:val="08055CAB"/>
    <w:rsid w:val="080C703A"/>
    <w:rsid w:val="080E48E0"/>
    <w:rsid w:val="081D2FF5"/>
    <w:rsid w:val="0824348D"/>
    <w:rsid w:val="082C4FE6"/>
    <w:rsid w:val="082D29CB"/>
    <w:rsid w:val="083B347B"/>
    <w:rsid w:val="0847418A"/>
    <w:rsid w:val="08485BA0"/>
    <w:rsid w:val="085B3309"/>
    <w:rsid w:val="08635012"/>
    <w:rsid w:val="08670714"/>
    <w:rsid w:val="086C1AB6"/>
    <w:rsid w:val="086C7AD9"/>
    <w:rsid w:val="08757DB5"/>
    <w:rsid w:val="087C398E"/>
    <w:rsid w:val="087C729C"/>
    <w:rsid w:val="088F370D"/>
    <w:rsid w:val="089D7C92"/>
    <w:rsid w:val="08AC6F2B"/>
    <w:rsid w:val="08B7674E"/>
    <w:rsid w:val="08CA47FF"/>
    <w:rsid w:val="08CE0793"/>
    <w:rsid w:val="08DF02AB"/>
    <w:rsid w:val="08E30795"/>
    <w:rsid w:val="08E3168B"/>
    <w:rsid w:val="08EB05C3"/>
    <w:rsid w:val="08EF7874"/>
    <w:rsid w:val="090221EB"/>
    <w:rsid w:val="090E20D9"/>
    <w:rsid w:val="091E160B"/>
    <w:rsid w:val="092217DD"/>
    <w:rsid w:val="092254AC"/>
    <w:rsid w:val="092E2FE0"/>
    <w:rsid w:val="092E5A82"/>
    <w:rsid w:val="0932487E"/>
    <w:rsid w:val="093A7294"/>
    <w:rsid w:val="09565F9E"/>
    <w:rsid w:val="0960080F"/>
    <w:rsid w:val="09633091"/>
    <w:rsid w:val="097E3F67"/>
    <w:rsid w:val="098A290C"/>
    <w:rsid w:val="09940063"/>
    <w:rsid w:val="09976DD7"/>
    <w:rsid w:val="099C2AD0"/>
    <w:rsid w:val="09A15D0B"/>
    <w:rsid w:val="09A3577C"/>
    <w:rsid w:val="09A84B40"/>
    <w:rsid w:val="09BE7CE3"/>
    <w:rsid w:val="09C86F91"/>
    <w:rsid w:val="09D21BBD"/>
    <w:rsid w:val="09D234A9"/>
    <w:rsid w:val="09D74D3A"/>
    <w:rsid w:val="09E2485B"/>
    <w:rsid w:val="09ED2E9B"/>
    <w:rsid w:val="09F50350"/>
    <w:rsid w:val="09FE0C04"/>
    <w:rsid w:val="0A04716E"/>
    <w:rsid w:val="0A0F43A2"/>
    <w:rsid w:val="0A12645E"/>
    <w:rsid w:val="0A1A4457"/>
    <w:rsid w:val="0A1E592A"/>
    <w:rsid w:val="0A1F0B81"/>
    <w:rsid w:val="0A206DCD"/>
    <w:rsid w:val="0A263993"/>
    <w:rsid w:val="0A2D3AC2"/>
    <w:rsid w:val="0A30153B"/>
    <w:rsid w:val="0A636CB9"/>
    <w:rsid w:val="0A650C83"/>
    <w:rsid w:val="0A65503B"/>
    <w:rsid w:val="0A6B3D8E"/>
    <w:rsid w:val="0A6D7ABA"/>
    <w:rsid w:val="0A736B12"/>
    <w:rsid w:val="0A747118"/>
    <w:rsid w:val="0A8F4FD6"/>
    <w:rsid w:val="0A9D131E"/>
    <w:rsid w:val="0AA07F0D"/>
    <w:rsid w:val="0AA51080"/>
    <w:rsid w:val="0AA755DF"/>
    <w:rsid w:val="0AAE262A"/>
    <w:rsid w:val="0AD007F3"/>
    <w:rsid w:val="0ADE5B87"/>
    <w:rsid w:val="0AE74DB0"/>
    <w:rsid w:val="0AEC7E43"/>
    <w:rsid w:val="0AF10769"/>
    <w:rsid w:val="0AF84CA6"/>
    <w:rsid w:val="0AFA761E"/>
    <w:rsid w:val="0B022976"/>
    <w:rsid w:val="0B077F8D"/>
    <w:rsid w:val="0B120D44"/>
    <w:rsid w:val="0B1B5886"/>
    <w:rsid w:val="0B3F095E"/>
    <w:rsid w:val="0B41349E"/>
    <w:rsid w:val="0B445739"/>
    <w:rsid w:val="0B4D5672"/>
    <w:rsid w:val="0B5036E2"/>
    <w:rsid w:val="0B5A00BC"/>
    <w:rsid w:val="0B602D4D"/>
    <w:rsid w:val="0B785B6B"/>
    <w:rsid w:val="0B9255D3"/>
    <w:rsid w:val="0B9E269F"/>
    <w:rsid w:val="0BAD401F"/>
    <w:rsid w:val="0BC051FE"/>
    <w:rsid w:val="0BD16C8D"/>
    <w:rsid w:val="0BD26DFA"/>
    <w:rsid w:val="0BD27BF6"/>
    <w:rsid w:val="0BD7170D"/>
    <w:rsid w:val="0BDD7490"/>
    <w:rsid w:val="0BE8578D"/>
    <w:rsid w:val="0C061FF2"/>
    <w:rsid w:val="0C1108EA"/>
    <w:rsid w:val="0C142961"/>
    <w:rsid w:val="0C171FE8"/>
    <w:rsid w:val="0C2801BA"/>
    <w:rsid w:val="0C3B3C7D"/>
    <w:rsid w:val="0C4274CE"/>
    <w:rsid w:val="0C46604F"/>
    <w:rsid w:val="0C547201"/>
    <w:rsid w:val="0C566AD6"/>
    <w:rsid w:val="0C590374"/>
    <w:rsid w:val="0C5E1E2E"/>
    <w:rsid w:val="0C6F3656"/>
    <w:rsid w:val="0C9615C8"/>
    <w:rsid w:val="0C980234"/>
    <w:rsid w:val="0CAB2EAE"/>
    <w:rsid w:val="0CAE0414"/>
    <w:rsid w:val="0CAE4DBC"/>
    <w:rsid w:val="0CC15B59"/>
    <w:rsid w:val="0CC545F4"/>
    <w:rsid w:val="0CED66F1"/>
    <w:rsid w:val="0CF7474D"/>
    <w:rsid w:val="0CFA1C03"/>
    <w:rsid w:val="0CFB142B"/>
    <w:rsid w:val="0CFB4537"/>
    <w:rsid w:val="0D0B5B12"/>
    <w:rsid w:val="0D15419A"/>
    <w:rsid w:val="0D303E96"/>
    <w:rsid w:val="0D407F3C"/>
    <w:rsid w:val="0D470B14"/>
    <w:rsid w:val="0D4C3EF9"/>
    <w:rsid w:val="0D506456"/>
    <w:rsid w:val="0D5218FD"/>
    <w:rsid w:val="0D5A0848"/>
    <w:rsid w:val="0D621C7D"/>
    <w:rsid w:val="0D6B3323"/>
    <w:rsid w:val="0D731117"/>
    <w:rsid w:val="0D9A266D"/>
    <w:rsid w:val="0DA85EF7"/>
    <w:rsid w:val="0DB8556E"/>
    <w:rsid w:val="0DB95418"/>
    <w:rsid w:val="0DBA12E6"/>
    <w:rsid w:val="0DCE6B40"/>
    <w:rsid w:val="0DD759F4"/>
    <w:rsid w:val="0DD95207"/>
    <w:rsid w:val="0DE70528"/>
    <w:rsid w:val="0DED6FC6"/>
    <w:rsid w:val="0DFA638C"/>
    <w:rsid w:val="0DFF4637"/>
    <w:rsid w:val="0E0F7183"/>
    <w:rsid w:val="0E176739"/>
    <w:rsid w:val="0E19425F"/>
    <w:rsid w:val="0E1A1D85"/>
    <w:rsid w:val="0E1F1149"/>
    <w:rsid w:val="0E2B5D40"/>
    <w:rsid w:val="0E477A8E"/>
    <w:rsid w:val="0E4A266A"/>
    <w:rsid w:val="0E5057A7"/>
    <w:rsid w:val="0E5928AD"/>
    <w:rsid w:val="0E607817"/>
    <w:rsid w:val="0E686A3B"/>
    <w:rsid w:val="0E6A2D0C"/>
    <w:rsid w:val="0E73034D"/>
    <w:rsid w:val="0E736CD5"/>
    <w:rsid w:val="0E74188B"/>
    <w:rsid w:val="0E754830"/>
    <w:rsid w:val="0E7C659C"/>
    <w:rsid w:val="0E7D2A40"/>
    <w:rsid w:val="0E7D7B68"/>
    <w:rsid w:val="0E8F4521"/>
    <w:rsid w:val="0E9071C2"/>
    <w:rsid w:val="0E9109A6"/>
    <w:rsid w:val="0E9F4548"/>
    <w:rsid w:val="0EA0292D"/>
    <w:rsid w:val="0EA31D7A"/>
    <w:rsid w:val="0ECA7D6F"/>
    <w:rsid w:val="0ED231F4"/>
    <w:rsid w:val="0ED349D0"/>
    <w:rsid w:val="0ED63EFE"/>
    <w:rsid w:val="0EE478F4"/>
    <w:rsid w:val="0EE77579"/>
    <w:rsid w:val="0EEE683D"/>
    <w:rsid w:val="0EF05C4F"/>
    <w:rsid w:val="0F0071CD"/>
    <w:rsid w:val="0F081A63"/>
    <w:rsid w:val="0F0B4BFE"/>
    <w:rsid w:val="0F0E7B3C"/>
    <w:rsid w:val="0F0F5662"/>
    <w:rsid w:val="0F13775A"/>
    <w:rsid w:val="0F1B4006"/>
    <w:rsid w:val="0F1D66E0"/>
    <w:rsid w:val="0F24204F"/>
    <w:rsid w:val="0F267685"/>
    <w:rsid w:val="0F2F4AC3"/>
    <w:rsid w:val="0F3E7C84"/>
    <w:rsid w:val="0F4B48CB"/>
    <w:rsid w:val="0F506C15"/>
    <w:rsid w:val="0F563C3A"/>
    <w:rsid w:val="0F582B65"/>
    <w:rsid w:val="0F5C514C"/>
    <w:rsid w:val="0F5F45FE"/>
    <w:rsid w:val="0F645140"/>
    <w:rsid w:val="0F683055"/>
    <w:rsid w:val="0F7A0D2D"/>
    <w:rsid w:val="0F8D6973"/>
    <w:rsid w:val="0F9917B7"/>
    <w:rsid w:val="0F9A112B"/>
    <w:rsid w:val="0F9C6EF5"/>
    <w:rsid w:val="0FAB7138"/>
    <w:rsid w:val="0FB12275"/>
    <w:rsid w:val="0FB4296D"/>
    <w:rsid w:val="0FBC4503"/>
    <w:rsid w:val="0FC91EE1"/>
    <w:rsid w:val="0FD07903"/>
    <w:rsid w:val="0FD52407"/>
    <w:rsid w:val="0FE16FFE"/>
    <w:rsid w:val="0FF355A0"/>
    <w:rsid w:val="0FF516FB"/>
    <w:rsid w:val="0FFF516E"/>
    <w:rsid w:val="10086339"/>
    <w:rsid w:val="10095F6B"/>
    <w:rsid w:val="101A2F61"/>
    <w:rsid w:val="102313C5"/>
    <w:rsid w:val="1045075F"/>
    <w:rsid w:val="10563548"/>
    <w:rsid w:val="10692E98"/>
    <w:rsid w:val="106D0892"/>
    <w:rsid w:val="106D2F64"/>
    <w:rsid w:val="107015BE"/>
    <w:rsid w:val="10881228"/>
    <w:rsid w:val="108D4A90"/>
    <w:rsid w:val="10AE3748"/>
    <w:rsid w:val="10B03023"/>
    <w:rsid w:val="10B63710"/>
    <w:rsid w:val="10C84EB5"/>
    <w:rsid w:val="10D0497D"/>
    <w:rsid w:val="10D34930"/>
    <w:rsid w:val="10E25268"/>
    <w:rsid w:val="10F10820"/>
    <w:rsid w:val="10F863AD"/>
    <w:rsid w:val="10FC5772"/>
    <w:rsid w:val="10FC74F7"/>
    <w:rsid w:val="11056D4E"/>
    <w:rsid w:val="110761F2"/>
    <w:rsid w:val="110A7F1A"/>
    <w:rsid w:val="1110464B"/>
    <w:rsid w:val="111331E7"/>
    <w:rsid w:val="111C2F7A"/>
    <w:rsid w:val="111E1B8C"/>
    <w:rsid w:val="11274EE5"/>
    <w:rsid w:val="112903B5"/>
    <w:rsid w:val="112A0C88"/>
    <w:rsid w:val="113C0779"/>
    <w:rsid w:val="115455AE"/>
    <w:rsid w:val="115C6D6B"/>
    <w:rsid w:val="11665CA1"/>
    <w:rsid w:val="11684495"/>
    <w:rsid w:val="116C0B49"/>
    <w:rsid w:val="1173012A"/>
    <w:rsid w:val="117F6ACF"/>
    <w:rsid w:val="11B12A00"/>
    <w:rsid w:val="11BA1E1D"/>
    <w:rsid w:val="11BD3153"/>
    <w:rsid w:val="11C96EBD"/>
    <w:rsid w:val="11CB4489"/>
    <w:rsid w:val="11CC0572"/>
    <w:rsid w:val="11E20F50"/>
    <w:rsid w:val="11F27D2E"/>
    <w:rsid w:val="1202325C"/>
    <w:rsid w:val="12075B6A"/>
    <w:rsid w:val="120D5E88"/>
    <w:rsid w:val="121D1E44"/>
    <w:rsid w:val="12597320"/>
    <w:rsid w:val="125D3AFD"/>
    <w:rsid w:val="12645C66"/>
    <w:rsid w:val="127A7296"/>
    <w:rsid w:val="1292577B"/>
    <w:rsid w:val="1292638E"/>
    <w:rsid w:val="12A8795F"/>
    <w:rsid w:val="12AE556E"/>
    <w:rsid w:val="12B55819"/>
    <w:rsid w:val="12BA7692"/>
    <w:rsid w:val="12C74481"/>
    <w:rsid w:val="12CE5ABE"/>
    <w:rsid w:val="12CF313E"/>
    <w:rsid w:val="12EC1F42"/>
    <w:rsid w:val="12F34433"/>
    <w:rsid w:val="12FE3A23"/>
    <w:rsid w:val="130D26BB"/>
    <w:rsid w:val="131100CB"/>
    <w:rsid w:val="1314034F"/>
    <w:rsid w:val="131C20FB"/>
    <w:rsid w:val="131D659F"/>
    <w:rsid w:val="132632F9"/>
    <w:rsid w:val="132643C5"/>
    <w:rsid w:val="13337B71"/>
    <w:rsid w:val="133E02C4"/>
    <w:rsid w:val="133F37D4"/>
    <w:rsid w:val="13453400"/>
    <w:rsid w:val="13495B73"/>
    <w:rsid w:val="13515FD6"/>
    <w:rsid w:val="13555FEB"/>
    <w:rsid w:val="135A370B"/>
    <w:rsid w:val="136202C9"/>
    <w:rsid w:val="13632C34"/>
    <w:rsid w:val="13710699"/>
    <w:rsid w:val="1372481A"/>
    <w:rsid w:val="13810D46"/>
    <w:rsid w:val="13866C5A"/>
    <w:rsid w:val="13951726"/>
    <w:rsid w:val="13963FD3"/>
    <w:rsid w:val="139A653F"/>
    <w:rsid w:val="139B5C3A"/>
    <w:rsid w:val="139D3A91"/>
    <w:rsid w:val="13B14F39"/>
    <w:rsid w:val="13B73791"/>
    <w:rsid w:val="13C7475D"/>
    <w:rsid w:val="13CE04AF"/>
    <w:rsid w:val="13D84274"/>
    <w:rsid w:val="13D9039D"/>
    <w:rsid w:val="13DC1FB6"/>
    <w:rsid w:val="13DC7D34"/>
    <w:rsid w:val="13E250F3"/>
    <w:rsid w:val="13E91193"/>
    <w:rsid w:val="13F50FCF"/>
    <w:rsid w:val="13F974EB"/>
    <w:rsid w:val="13FD015B"/>
    <w:rsid w:val="13FD1F2D"/>
    <w:rsid w:val="14011A1D"/>
    <w:rsid w:val="140D66AF"/>
    <w:rsid w:val="141A488D"/>
    <w:rsid w:val="141D25CF"/>
    <w:rsid w:val="1421769B"/>
    <w:rsid w:val="142851FC"/>
    <w:rsid w:val="142923F2"/>
    <w:rsid w:val="14396509"/>
    <w:rsid w:val="14447B5C"/>
    <w:rsid w:val="144A3613"/>
    <w:rsid w:val="14504752"/>
    <w:rsid w:val="145558C5"/>
    <w:rsid w:val="145A5736"/>
    <w:rsid w:val="146F2E2A"/>
    <w:rsid w:val="1470543D"/>
    <w:rsid w:val="14726477"/>
    <w:rsid w:val="14787805"/>
    <w:rsid w:val="147D26C1"/>
    <w:rsid w:val="14997EA7"/>
    <w:rsid w:val="149F165C"/>
    <w:rsid w:val="14A97684"/>
    <w:rsid w:val="14AD5701"/>
    <w:rsid w:val="14B24AC5"/>
    <w:rsid w:val="14B270BA"/>
    <w:rsid w:val="14BB6070"/>
    <w:rsid w:val="14BF71E2"/>
    <w:rsid w:val="14D709D0"/>
    <w:rsid w:val="14DB226E"/>
    <w:rsid w:val="14DD2C3C"/>
    <w:rsid w:val="14E76E65"/>
    <w:rsid w:val="14F72E20"/>
    <w:rsid w:val="14FB253E"/>
    <w:rsid w:val="150C0679"/>
    <w:rsid w:val="15115DD4"/>
    <w:rsid w:val="15175149"/>
    <w:rsid w:val="151D2886"/>
    <w:rsid w:val="151E71BA"/>
    <w:rsid w:val="15201736"/>
    <w:rsid w:val="152C757A"/>
    <w:rsid w:val="15430044"/>
    <w:rsid w:val="15485AA9"/>
    <w:rsid w:val="15510782"/>
    <w:rsid w:val="155344FA"/>
    <w:rsid w:val="156220F0"/>
    <w:rsid w:val="15665787"/>
    <w:rsid w:val="15665DAC"/>
    <w:rsid w:val="15746899"/>
    <w:rsid w:val="1577056F"/>
    <w:rsid w:val="157C1E02"/>
    <w:rsid w:val="157F1FC7"/>
    <w:rsid w:val="15916DD0"/>
    <w:rsid w:val="1594066F"/>
    <w:rsid w:val="159B19FD"/>
    <w:rsid w:val="15AC59B8"/>
    <w:rsid w:val="15AE749F"/>
    <w:rsid w:val="15B17473"/>
    <w:rsid w:val="15B4486D"/>
    <w:rsid w:val="15C54CCC"/>
    <w:rsid w:val="15C745A0"/>
    <w:rsid w:val="15D512A7"/>
    <w:rsid w:val="15D5376B"/>
    <w:rsid w:val="15E2587E"/>
    <w:rsid w:val="15F1161D"/>
    <w:rsid w:val="15FD7FC2"/>
    <w:rsid w:val="16005D04"/>
    <w:rsid w:val="16027CCE"/>
    <w:rsid w:val="16087E1D"/>
    <w:rsid w:val="161F62B8"/>
    <w:rsid w:val="1621080B"/>
    <w:rsid w:val="16322361"/>
    <w:rsid w:val="164107F7"/>
    <w:rsid w:val="165A3666"/>
    <w:rsid w:val="165B2F3A"/>
    <w:rsid w:val="166318BE"/>
    <w:rsid w:val="166D3AD7"/>
    <w:rsid w:val="16732CAA"/>
    <w:rsid w:val="16777D74"/>
    <w:rsid w:val="167C35C5"/>
    <w:rsid w:val="16815CE2"/>
    <w:rsid w:val="16897AA8"/>
    <w:rsid w:val="168B3820"/>
    <w:rsid w:val="168D1478"/>
    <w:rsid w:val="169C5A2D"/>
    <w:rsid w:val="16A06D76"/>
    <w:rsid w:val="16A14DF1"/>
    <w:rsid w:val="16A9014A"/>
    <w:rsid w:val="16B54D41"/>
    <w:rsid w:val="16C546C1"/>
    <w:rsid w:val="16CA002F"/>
    <w:rsid w:val="16D73E12"/>
    <w:rsid w:val="16D8458B"/>
    <w:rsid w:val="16F2389F"/>
    <w:rsid w:val="16F2564D"/>
    <w:rsid w:val="17072AF7"/>
    <w:rsid w:val="17197E2E"/>
    <w:rsid w:val="17263548"/>
    <w:rsid w:val="172F064F"/>
    <w:rsid w:val="17334C3C"/>
    <w:rsid w:val="17377504"/>
    <w:rsid w:val="173B0BD0"/>
    <w:rsid w:val="17400BB1"/>
    <w:rsid w:val="174E3BBE"/>
    <w:rsid w:val="17577BA6"/>
    <w:rsid w:val="175A231E"/>
    <w:rsid w:val="175C5A0A"/>
    <w:rsid w:val="175F5A47"/>
    <w:rsid w:val="176D1177"/>
    <w:rsid w:val="17701D14"/>
    <w:rsid w:val="17702E89"/>
    <w:rsid w:val="17735226"/>
    <w:rsid w:val="17737C32"/>
    <w:rsid w:val="17784ADD"/>
    <w:rsid w:val="17792C77"/>
    <w:rsid w:val="177C0275"/>
    <w:rsid w:val="178564C1"/>
    <w:rsid w:val="1787048B"/>
    <w:rsid w:val="178766DD"/>
    <w:rsid w:val="179B7A92"/>
    <w:rsid w:val="17A54DB5"/>
    <w:rsid w:val="17A6044E"/>
    <w:rsid w:val="17B15508"/>
    <w:rsid w:val="17B9616B"/>
    <w:rsid w:val="17C25C94"/>
    <w:rsid w:val="17D10471"/>
    <w:rsid w:val="17E21B65"/>
    <w:rsid w:val="17E256C1"/>
    <w:rsid w:val="17E4768B"/>
    <w:rsid w:val="1835515B"/>
    <w:rsid w:val="183F48C2"/>
    <w:rsid w:val="185C1918"/>
    <w:rsid w:val="186858A4"/>
    <w:rsid w:val="1870751F"/>
    <w:rsid w:val="187D188E"/>
    <w:rsid w:val="187F001D"/>
    <w:rsid w:val="18805260"/>
    <w:rsid w:val="188449CB"/>
    <w:rsid w:val="18851615"/>
    <w:rsid w:val="1890511D"/>
    <w:rsid w:val="18982224"/>
    <w:rsid w:val="189C1D14"/>
    <w:rsid w:val="189F624C"/>
    <w:rsid w:val="18A1557C"/>
    <w:rsid w:val="18B43089"/>
    <w:rsid w:val="18BF5A03"/>
    <w:rsid w:val="18C43521"/>
    <w:rsid w:val="18D4410E"/>
    <w:rsid w:val="18E611E1"/>
    <w:rsid w:val="18EE443D"/>
    <w:rsid w:val="18F919FA"/>
    <w:rsid w:val="18F953B8"/>
    <w:rsid w:val="18FB73F6"/>
    <w:rsid w:val="18FD1047"/>
    <w:rsid w:val="190478B9"/>
    <w:rsid w:val="19103ABE"/>
    <w:rsid w:val="191C2E55"/>
    <w:rsid w:val="192A285A"/>
    <w:rsid w:val="193059E0"/>
    <w:rsid w:val="19353F17"/>
    <w:rsid w:val="1939159B"/>
    <w:rsid w:val="1953631E"/>
    <w:rsid w:val="195425EF"/>
    <w:rsid w:val="19630DB3"/>
    <w:rsid w:val="19636CD6"/>
    <w:rsid w:val="196D545F"/>
    <w:rsid w:val="19742560"/>
    <w:rsid w:val="197467ED"/>
    <w:rsid w:val="19800A63"/>
    <w:rsid w:val="19800B92"/>
    <w:rsid w:val="19882298"/>
    <w:rsid w:val="198D5B01"/>
    <w:rsid w:val="199B6AE0"/>
    <w:rsid w:val="199C7AF2"/>
    <w:rsid w:val="199F10A5"/>
    <w:rsid w:val="19A74E14"/>
    <w:rsid w:val="19B050C4"/>
    <w:rsid w:val="19B906A4"/>
    <w:rsid w:val="19C060B2"/>
    <w:rsid w:val="19C21571"/>
    <w:rsid w:val="19CE07A9"/>
    <w:rsid w:val="19D208DB"/>
    <w:rsid w:val="19EC5329"/>
    <w:rsid w:val="19F05074"/>
    <w:rsid w:val="19F648B0"/>
    <w:rsid w:val="19FB6838"/>
    <w:rsid w:val="19FE255B"/>
    <w:rsid w:val="1A0C111B"/>
    <w:rsid w:val="1A0E09F0"/>
    <w:rsid w:val="1A0F6516"/>
    <w:rsid w:val="1A105BD2"/>
    <w:rsid w:val="1A115AEE"/>
    <w:rsid w:val="1A1608A7"/>
    <w:rsid w:val="1A1C66C0"/>
    <w:rsid w:val="1A296C99"/>
    <w:rsid w:val="1A42393B"/>
    <w:rsid w:val="1A5212C4"/>
    <w:rsid w:val="1A62618C"/>
    <w:rsid w:val="1A644AB4"/>
    <w:rsid w:val="1A6C5A74"/>
    <w:rsid w:val="1A6D6D72"/>
    <w:rsid w:val="1A775798"/>
    <w:rsid w:val="1A82318C"/>
    <w:rsid w:val="1A8C5DB8"/>
    <w:rsid w:val="1A907E51"/>
    <w:rsid w:val="1AA17AB6"/>
    <w:rsid w:val="1AA84DF7"/>
    <w:rsid w:val="1AAC10A1"/>
    <w:rsid w:val="1AAD45DE"/>
    <w:rsid w:val="1AB865A1"/>
    <w:rsid w:val="1ABA7B1A"/>
    <w:rsid w:val="1ABC669E"/>
    <w:rsid w:val="1AC769DE"/>
    <w:rsid w:val="1AC92B69"/>
    <w:rsid w:val="1ACE5876"/>
    <w:rsid w:val="1AD4263E"/>
    <w:rsid w:val="1AD6375C"/>
    <w:rsid w:val="1ADC289C"/>
    <w:rsid w:val="1ADE1DAD"/>
    <w:rsid w:val="1AED1C0C"/>
    <w:rsid w:val="1AF548F2"/>
    <w:rsid w:val="1AF75928"/>
    <w:rsid w:val="1AFD0A64"/>
    <w:rsid w:val="1B046F80"/>
    <w:rsid w:val="1B0D4CB4"/>
    <w:rsid w:val="1B130357"/>
    <w:rsid w:val="1B1700D8"/>
    <w:rsid w:val="1B19589E"/>
    <w:rsid w:val="1B2145C5"/>
    <w:rsid w:val="1B3204C1"/>
    <w:rsid w:val="1B3267B5"/>
    <w:rsid w:val="1B3A3A66"/>
    <w:rsid w:val="1B3C7454"/>
    <w:rsid w:val="1B40161D"/>
    <w:rsid w:val="1B412331"/>
    <w:rsid w:val="1B441859"/>
    <w:rsid w:val="1B446E20"/>
    <w:rsid w:val="1B63658D"/>
    <w:rsid w:val="1B6606B1"/>
    <w:rsid w:val="1B66485B"/>
    <w:rsid w:val="1B664A7C"/>
    <w:rsid w:val="1B6706BA"/>
    <w:rsid w:val="1B687433"/>
    <w:rsid w:val="1B727DF1"/>
    <w:rsid w:val="1B844F9E"/>
    <w:rsid w:val="1B933A5E"/>
    <w:rsid w:val="1B9B4505"/>
    <w:rsid w:val="1BAF7FB0"/>
    <w:rsid w:val="1BB750B7"/>
    <w:rsid w:val="1BB92BDD"/>
    <w:rsid w:val="1BC74C70"/>
    <w:rsid w:val="1C054410"/>
    <w:rsid w:val="1C073948"/>
    <w:rsid w:val="1C0C1E63"/>
    <w:rsid w:val="1C2269D4"/>
    <w:rsid w:val="1C2535DE"/>
    <w:rsid w:val="1C2D7127"/>
    <w:rsid w:val="1C3B71E2"/>
    <w:rsid w:val="1C4701E9"/>
    <w:rsid w:val="1C4C2D3C"/>
    <w:rsid w:val="1C5648D0"/>
    <w:rsid w:val="1C5E7925"/>
    <w:rsid w:val="1C70222D"/>
    <w:rsid w:val="1C7A236C"/>
    <w:rsid w:val="1C89436F"/>
    <w:rsid w:val="1C912D1A"/>
    <w:rsid w:val="1C954E9B"/>
    <w:rsid w:val="1C972642"/>
    <w:rsid w:val="1CA67605"/>
    <w:rsid w:val="1CAC629E"/>
    <w:rsid w:val="1CAF2D2A"/>
    <w:rsid w:val="1CBF2475"/>
    <w:rsid w:val="1CCB2BC8"/>
    <w:rsid w:val="1CCD02AA"/>
    <w:rsid w:val="1CD008A6"/>
    <w:rsid w:val="1CD203FA"/>
    <w:rsid w:val="1CD30200"/>
    <w:rsid w:val="1CD477DC"/>
    <w:rsid w:val="1CD80D2E"/>
    <w:rsid w:val="1CEB6DC6"/>
    <w:rsid w:val="1CEF7861"/>
    <w:rsid w:val="1CF16E6C"/>
    <w:rsid w:val="1CFD070F"/>
    <w:rsid w:val="1D0B7468"/>
    <w:rsid w:val="1D0C6509"/>
    <w:rsid w:val="1D0E339D"/>
    <w:rsid w:val="1D174D30"/>
    <w:rsid w:val="1D190110"/>
    <w:rsid w:val="1D216C8C"/>
    <w:rsid w:val="1D350989"/>
    <w:rsid w:val="1D3927C4"/>
    <w:rsid w:val="1D5030CD"/>
    <w:rsid w:val="1D57253D"/>
    <w:rsid w:val="1D5F6196"/>
    <w:rsid w:val="1D6132A5"/>
    <w:rsid w:val="1D6D1ED1"/>
    <w:rsid w:val="1D70551D"/>
    <w:rsid w:val="1D7274E7"/>
    <w:rsid w:val="1D746DE1"/>
    <w:rsid w:val="1D7C3EC2"/>
    <w:rsid w:val="1D865839"/>
    <w:rsid w:val="1D876F9F"/>
    <w:rsid w:val="1D8E56D5"/>
    <w:rsid w:val="1D925EB7"/>
    <w:rsid w:val="1D9E02DC"/>
    <w:rsid w:val="1D9E208B"/>
    <w:rsid w:val="1DB15AC4"/>
    <w:rsid w:val="1DBE7130"/>
    <w:rsid w:val="1DC430B5"/>
    <w:rsid w:val="1DC65F93"/>
    <w:rsid w:val="1DDC572D"/>
    <w:rsid w:val="1DFB74DD"/>
    <w:rsid w:val="1E092034"/>
    <w:rsid w:val="1E0C680F"/>
    <w:rsid w:val="1E320A25"/>
    <w:rsid w:val="1E560BB7"/>
    <w:rsid w:val="1E5C38B3"/>
    <w:rsid w:val="1E6A4663"/>
    <w:rsid w:val="1E7A43DA"/>
    <w:rsid w:val="1E7E0C52"/>
    <w:rsid w:val="1E7F010E"/>
    <w:rsid w:val="1E827BFE"/>
    <w:rsid w:val="1E8C45D9"/>
    <w:rsid w:val="1E934CC5"/>
    <w:rsid w:val="1E967206"/>
    <w:rsid w:val="1EA9518B"/>
    <w:rsid w:val="1EB37DB8"/>
    <w:rsid w:val="1EB51E02"/>
    <w:rsid w:val="1EB8717C"/>
    <w:rsid w:val="1ED71BFE"/>
    <w:rsid w:val="1EE55E37"/>
    <w:rsid w:val="1EED151B"/>
    <w:rsid w:val="1EF05CA3"/>
    <w:rsid w:val="1EF32BAD"/>
    <w:rsid w:val="1EF94842"/>
    <w:rsid w:val="1F114ADE"/>
    <w:rsid w:val="1F117D5F"/>
    <w:rsid w:val="1F150525"/>
    <w:rsid w:val="1F241CD1"/>
    <w:rsid w:val="1F262338"/>
    <w:rsid w:val="1F301408"/>
    <w:rsid w:val="1F3548F1"/>
    <w:rsid w:val="1F3D58D3"/>
    <w:rsid w:val="1F445FB7"/>
    <w:rsid w:val="1F492760"/>
    <w:rsid w:val="1F4F20B9"/>
    <w:rsid w:val="1F584EA0"/>
    <w:rsid w:val="1F5D7D23"/>
    <w:rsid w:val="1F8D49AB"/>
    <w:rsid w:val="1F9D6372"/>
    <w:rsid w:val="1FB060A5"/>
    <w:rsid w:val="1FC3402A"/>
    <w:rsid w:val="1FC724A3"/>
    <w:rsid w:val="1FCD30FB"/>
    <w:rsid w:val="1FE7539E"/>
    <w:rsid w:val="1FED72F9"/>
    <w:rsid w:val="1FEE2AF8"/>
    <w:rsid w:val="1FF6169F"/>
    <w:rsid w:val="1FF94191"/>
    <w:rsid w:val="1FFD5361"/>
    <w:rsid w:val="1FFF2E24"/>
    <w:rsid w:val="20075DB2"/>
    <w:rsid w:val="200A09E3"/>
    <w:rsid w:val="203010B0"/>
    <w:rsid w:val="20346126"/>
    <w:rsid w:val="203D65A0"/>
    <w:rsid w:val="203F7B19"/>
    <w:rsid w:val="2054739C"/>
    <w:rsid w:val="205A734D"/>
    <w:rsid w:val="20671BE0"/>
    <w:rsid w:val="20757868"/>
    <w:rsid w:val="2084553F"/>
    <w:rsid w:val="20895274"/>
    <w:rsid w:val="209239FD"/>
    <w:rsid w:val="20937EA1"/>
    <w:rsid w:val="20963CB8"/>
    <w:rsid w:val="209F62DD"/>
    <w:rsid w:val="20A57BD4"/>
    <w:rsid w:val="20A81A1B"/>
    <w:rsid w:val="20B07FB6"/>
    <w:rsid w:val="20B63B8F"/>
    <w:rsid w:val="20B646FB"/>
    <w:rsid w:val="20B813FF"/>
    <w:rsid w:val="20B81D5F"/>
    <w:rsid w:val="20B846E5"/>
    <w:rsid w:val="20BD316F"/>
    <w:rsid w:val="20BD44DA"/>
    <w:rsid w:val="20E34258"/>
    <w:rsid w:val="20FC54E2"/>
    <w:rsid w:val="21080B55"/>
    <w:rsid w:val="210E39CB"/>
    <w:rsid w:val="21154D5A"/>
    <w:rsid w:val="21156B08"/>
    <w:rsid w:val="212136FE"/>
    <w:rsid w:val="21236A24"/>
    <w:rsid w:val="21311CC0"/>
    <w:rsid w:val="213276BA"/>
    <w:rsid w:val="21362AC0"/>
    <w:rsid w:val="213B74B1"/>
    <w:rsid w:val="213D1BBA"/>
    <w:rsid w:val="2149312A"/>
    <w:rsid w:val="21582E98"/>
    <w:rsid w:val="215A2310"/>
    <w:rsid w:val="215C64E4"/>
    <w:rsid w:val="21617F9F"/>
    <w:rsid w:val="21634E82"/>
    <w:rsid w:val="21635AC5"/>
    <w:rsid w:val="216D06F2"/>
    <w:rsid w:val="216D6944"/>
    <w:rsid w:val="21701A33"/>
    <w:rsid w:val="21823A71"/>
    <w:rsid w:val="21967F75"/>
    <w:rsid w:val="219D08AB"/>
    <w:rsid w:val="21B9578A"/>
    <w:rsid w:val="21C267AA"/>
    <w:rsid w:val="21DE318A"/>
    <w:rsid w:val="21ED1832"/>
    <w:rsid w:val="21EF5B80"/>
    <w:rsid w:val="21F763DE"/>
    <w:rsid w:val="22066450"/>
    <w:rsid w:val="220A7126"/>
    <w:rsid w:val="221768AF"/>
    <w:rsid w:val="221F0F05"/>
    <w:rsid w:val="223053CE"/>
    <w:rsid w:val="22356D36"/>
    <w:rsid w:val="2247129B"/>
    <w:rsid w:val="22507C8B"/>
    <w:rsid w:val="22554305"/>
    <w:rsid w:val="225570FC"/>
    <w:rsid w:val="22576990"/>
    <w:rsid w:val="225C42C2"/>
    <w:rsid w:val="226B0733"/>
    <w:rsid w:val="226D4721"/>
    <w:rsid w:val="227B4222"/>
    <w:rsid w:val="227F4693"/>
    <w:rsid w:val="228219CA"/>
    <w:rsid w:val="228D6B72"/>
    <w:rsid w:val="22A51AF2"/>
    <w:rsid w:val="22AB359E"/>
    <w:rsid w:val="22C72083"/>
    <w:rsid w:val="22C86D49"/>
    <w:rsid w:val="22CA6707"/>
    <w:rsid w:val="22D816FD"/>
    <w:rsid w:val="22D9692B"/>
    <w:rsid w:val="22E22A19"/>
    <w:rsid w:val="22F47480"/>
    <w:rsid w:val="22FA71A3"/>
    <w:rsid w:val="230218D6"/>
    <w:rsid w:val="230D3266"/>
    <w:rsid w:val="231B528E"/>
    <w:rsid w:val="232C687B"/>
    <w:rsid w:val="23307C29"/>
    <w:rsid w:val="233D1B3B"/>
    <w:rsid w:val="234C07DB"/>
    <w:rsid w:val="235216B7"/>
    <w:rsid w:val="23783E56"/>
    <w:rsid w:val="23871B0E"/>
    <w:rsid w:val="239A1546"/>
    <w:rsid w:val="239A35FA"/>
    <w:rsid w:val="23B40C3B"/>
    <w:rsid w:val="23BA5744"/>
    <w:rsid w:val="23BD5235"/>
    <w:rsid w:val="23C40371"/>
    <w:rsid w:val="23C9355E"/>
    <w:rsid w:val="23C93BD9"/>
    <w:rsid w:val="23CD5478"/>
    <w:rsid w:val="23DA5DE6"/>
    <w:rsid w:val="23DE1C48"/>
    <w:rsid w:val="23DF51AB"/>
    <w:rsid w:val="23E64E19"/>
    <w:rsid w:val="23EB7FF4"/>
    <w:rsid w:val="23ED4B71"/>
    <w:rsid w:val="23F073B8"/>
    <w:rsid w:val="23F5260B"/>
    <w:rsid w:val="23FF75FB"/>
    <w:rsid w:val="240210CD"/>
    <w:rsid w:val="240C3CC8"/>
    <w:rsid w:val="242A0B1C"/>
    <w:rsid w:val="242A28CA"/>
    <w:rsid w:val="242E5513"/>
    <w:rsid w:val="242F7EE0"/>
    <w:rsid w:val="24332DB1"/>
    <w:rsid w:val="244903E2"/>
    <w:rsid w:val="246D27B7"/>
    <w:rsid w:val="246E5A95"/>
    <w:rsid w:val="246F652F"/>
    <w:rsid w:val="247268A5"/>
    <w:rsid w:val="247C6E9E"/>
    <w:rsid w:val="248C70E1"/>
    <w:rsid w:val="248F46B9"/>
    <w:rsid w:val="249023E3"/>
    <w:rsid w:val="24944AF2"/>
    <w:rsid w:val="24975B38"/>
    <w:rsid w:val="24977834"/>
    <w:rsid w:val="249D12EE"/>
    <w:rsid w:val="24A772BB"/>
    <w:rsid w:val="24A85EE5"/>
    <w:rsid w:val="24B5060B"/>
    <w:rsid w:val="24B93C4E"/>
    <w:rsid w:val="24BF09F7"/>
    <w:rsid w:val="24C7636B"/>
    <w:rsid w:val="24CC3981"/>
    <w:rsid w:val="24D34D10"/>
    <w:rsid w:val="24E5798B"/>
    <w:rsid w:val="24F04849"/>
    <w:rsid w:val="25001CF4"/>
    <w:rsid w:val="250273A3"/>
    <w:rsid w:val="250626FC"/>
    <w:rsid w:val="250749B9"/>
    <w:rsid w:val="251D6CAE"/>
    <w:rsid w:val="25262F8B"/>
    <w:rsid w:val="25276E09"/>
    <w:rsid w:val="252D53FE"/>
    <w:rsid w:val="25423C43"/>
    <w:rsid w:val="256D244F"/>
    <w:rsid w:val="25757B75"/>
    <w:rsid w:val="25950217"/>
    <w:rsid w:val="25B3704A"/>
    <w:rsid w:val="25B54415"/>
    <w:rsid w:val="25B70BD7"/>
    <w:rsid w:val="25DF10A7"/>
    <w:rsid w:val="25E44CFA"/>
    <w:rsid w:val="25E62821"/>
    <w:rsid w:val="25EC2D81"/>
    <w:rsid w:val="25ED1E01"/>
    <w:rsid w:val="25F926B2"/>
    <w:rsid w:val="25FB3533"/>
    <w:rsid w:val="260438FF"/>
    <w:rsid w:val="260D5FFF"/>
    <w:rsid w:val="261C4494"/>
    <w:rsid w:val="26312B63"/>
    <w:rsid w:val="26380048"/>
    <w:rsid w:val="263A2B6C"/>
    <w:rsid w:val="26413EFB"/>
    <w:rsid w:val="26460FF7"/>
    <w:rsid w:val="26480B13"/>
    <w:rsid w:val="265579A6"/>
    <w:rsid w:val="26630315"/>
    <w:rsid w:val="268838D8"/>
    <w:rsid w:val="268A7650"/>
    <w:rsid w:val="26902A34"/>
    <w:rsid w:val="26B02E2F"/>
    <w:rsid w:val="26B96187"/>
    <w:rsid w:val="26BB1EFF"/>
    <w:rsid w:val="26C02530"/>
    <w:rsid w:val="26C22739"/>
    <w:rsid w:val="26D057A2"/>
    <w:rsid w:val="26D46B1D"/>
    <w:rsid w:val="26F43C86"/>
    <w:rsid w:val="270A253F"/>
    <w:rsid w:val="27127C7A"/>
    <w:rsid w:val="2725381D"/>
    <w:rsid w:val="273332C4"/>
    <w:rsid w:val="27342D76"/>
    <w:rsid w:val="273D46C2"/>
    <w:rsid w:val="274057F2"/>
    <w:rsid w:val="2747425D"/>
    <w:rsid w:val="274A3481"/>
    <w:rsid w:val="274D6007"/>
    <w:rsid w:val="27504E3F"/>
    <w:rsid w:val="27651E6B"/>
    <w:rsid w:val="277057A2"/>
    <w:rsid w:val="27807D96"/>
    <w:rsid w:val="27822A1D"/>
    <w:rsid w:val="278D368B"/>
    <w:rsid w:val="279A7D67"/>
    <w:rsid w:val="279C2B2E"/>
    <w:rsid w:val="27AA6C2C"/>
    <w:rsid w:val="27AC1848"/>
    <w:rsid w:val="27AE3812"/>
    <w:rsid w:val="27B01338"/>
    <w:rsid w:val="27B626C7"/>
    <w:rsid w:val="27BF66D8"/>
    <w:rsid w:val="27C15667"/>
    <w:rsid w:val="27CF05B7"/>
    <w:rsid w:val="27D71703"/>
    <w:rsid w:val="27DA63B5"/>
    <w:rsid w:val="27DD0F10"/>
    <w:rsid w:val="27F356C9"/>
    <w:rsid w:val="27F42ED2"/>
    <w:rsid w:val="27F50039"/>
    <w:rsid w:val="282B6C11"/>
    <w:rsid w:val="282E04AF"/>
    <w:rsid w:val="28395E4A"/>
    <w:rsid w:val="285D0AB8"/>
    <w:rsid w:val="286A0963"/>
    <w:rsid w:val="2895052E"/>
    <w:rsid w:val="289C7337"/>
    <w:rsid w:val="28A6098D"/>
    <w:rsid w:val="28B810E7"/>
    <w:rsid w:val="28C2087D"/>
    <w:rsid w:val="28D01566"/>
    <w:rsid w:val="28F811E9"/>
    <w:rsid w:val="29037B8D"/>
    <w:rsid w:val="291C1218"/>
    <w:rsid w:val="29206EB8"/>
    <w:rsid w:val="29252951"/>
    <w:rsid w:val="292813A2"/>
    <w:rsid w:val="292A6EC8"/>
    <w:rsid w:val="294526CE"/>
    <w:rsid w:val="294F4B81"/>
    <w:rsid w:val="29595666"/>
    <w:rsid w:val="295D700D"/>
    <w:rsid w:val="29620A37"/>
    <w:rsid w:val="2964062C"/>
    <w:rsid w:val="296811E1"/>
    <w:rsid w:val="296A5CAB"/>
    <w:rsid w:val="296E7A51"/>
    <w:rsid w:val="297168A5"/>
    <w:rsid w:val="29874881"/>
    <w:rsid w:val="29916F47"/>
    <w:rsid w:val="299F78B6"/>
    <w:rsid w:val="29DC7F52"/>
    <w:rsid w:val="29E325E0"/>
    <w:rsid w:val="29E654E5"/>
    <w:rsid w:val="29ED50D9"/>
    <w:rsid w:val="29EE7EF6"/>
    <w:rsid w:val="29F002BF"/>
    <w:rsid w:val="29F00F38"/>
    <w:rsid w:val="29F01FB9"/>
    <w:rsid w:val="2A1D4C7F"/>
    <w:rsid w:val="2A1F5012"/>
    <w:rsid w:val="2A204C44"/>
    <w:rsid w:val="2A2A3F71"/>
    <w:rsid w:val="2A2B114A"/>
    <w:rsid w:val="2A333AC3"/>
    <w:rsid w:val="2A452503"/>
    <w:rsid w:val="2A4B5348"/>
    <w:rsid w:val="2A4E6BE6"/>
    <w:rsid w:val="2A50091F"/>
    <w:rsid w:val="2A584A25"/>
    <w:rsid w:val="2A63541A"/>
    <w:rsid w:val="2A6603D4"/>
    <w:rsid w:val="2A684D89"/>
    <w:rsid w:val="2A6919D7"/>
    <w:rsid w:val="2A7A6258"/>
    <w:rsid w:val="2A8940C2"/>
    <w:rsid w:val="2A8D4D62"/>
    <w:rsid w:val="2A9A007E"/>
    <w:rsid w:val="2AA333D6"/>
    <w:rsid w:val="2AA5742F"/>
    <w:rsid w:val="2AB647F2"/>
    <w:rsid w:val="2AC0755D"/>
    <w:rsid w:val="2AD52E64"/>
    <w:rsid w:val="2AF91248"/>
    <w:rsid w:val="2AFC2BFF"/>
    <w:rsid w:val="2B02351F"/>
    <w:rsid w:val="2B076FF0"/>
    <w:rsid w:val="2B453F3B"/>
    <w:rsid w:val="2B4A4823"/>
    <w:rsid w:val="2B4E46A4"/>
    <w:rsid w:val="2B674404"/>
    <w:rsid w:val="2B715282"/>
    <w:rsid w:val="2B764647"/>
    <w:rsid w:val="2B794137"/>
    <w:rsid w:val="2B814ED2"/>
    <w:rsid w:val="2B857458"/>
    <w:rsid w:val="2BA34CD4"/>
    <w:rsid w:val="2BA475E2"/>
    <w:rsid w:val="2BA52305"/>
    <w:rsid w:val="2BA936A8"/>
    <w:rsid w:val="2BAD0407"/>
    <w:rsid w:val="2BB73536"/>
    <w:rsid w:val="2BD96984"/>
    <w:rsid w:val="2BDC2ECF"/>
    <w:rsid w:val="2BF03DE5"/>
    <w:rsid w:val="2BF46D89"/>
    <w:rsid w:val="2C0559CB"/>
    <w:rsid w:val="2C240F94"/>
    <w:rsid w:val="2C26004D"/>
    <w:rsid w:val="2C315A5A"/>
    <w:rsid w:val="2C336F38"/>
    <w:rsid w:val="2C3C5A1C"/>
    <w:rsid w:val="2C42277B"/>
    <w:rsid w:val="2C4B1C25"/>
    <w:rsid w:val="2C4C35F9"/>
    <w:rsid w:val="2C5F3D3B"/>
    <w:rsid w:val="2C6375F7"/>
    <w:rsid w:val="2C673F8F"/>
    <w:rsid w:val="2C676A76"/>
    <w:rsid w:val="2C6E51DE"/>
    <w:rsid w:val="2C7129CB"/>
    <w:rsid w:val="2C8605F4"/>
    <w:rsid w:val="2C866C92"/>
    <w:rsid w:val="2CBD0053"/>
    <w:rsid w:val="2CCB4545"/>
    <w:rsid w:val="2CD94E8D"/>
    <w:rsid w:val="2CE675AA"/>
    <w:rsid w:val="2CFA6AAF"/>
    <w:rsid w:val="2CFE48F4"/>
    <w:rsid w:val="2D1413E2"/>
    <w:rsid w:val="2D183950"/>
    <w:rsid w:val="2D2B0103"/>
    <w:rsid w:val="2D2D342B"/>
    <w:rsid w:val="2D31130C"/>
    <w:rsid w:val="2D317999"/>
    <w:rsid w:val="2D3617D4"/>
    <w:rsid w:val="2D3D6F98"/>
    <w:rsid w:val="2D5042E9"/>
    <w:rsid w:val="2D654973"/>
    <w:rsid w:val="2D687FBF"/>
    <w:rsid w:val="2D6C5D01"/>
    <w:rsid w:val="2D6F4CB6"/>
    <w:rsid w:val="2D753E4D"/>
    <w:rsid w:val="2D7D7F0E"/>
    <w:rsid w:val="2D855BA2"/>
    <w:rsid w:val="2D865FF5"/>
    <w:rsid w:val="2D8B73E4"/>
    <w:rsid w:val="2D8C1308"/>
    <w:rsid w:val="2D915768"/>
    <w:rsid w:val="2D9E56F5"/>
    <w:rsid w:val="2D9E7E85"/>
    <w:rsid w:val="2DB41456"/>
    <w:rsid w:val="2DB87198"/>
    <w:rsid w:val="2DB9736D"/>
    <w:rsid w:val="2DCE63C1"/>
    <w:rsid w:val="2DE03FF9"/>
    <w:rsid w:val="2DE75388"/>
    <w:rsid w:val="2DF47AA5"/>
    <w:rsid w:val="2DFE26D1"/>
    <w:rsid w:val="2E04418C"/>
    <w:rsid w:val="2E0705CD"/>
    <w:rsid w:val="2E156399"/>
    <w:rsid w:val="2E1819E5"/>
    <w:rsid w:val="2E24482E"/>
    <w:rsid w:val="2E2A1718"/>
    <w:rsid w:val="2E2B796A"/>
    <w:rsid w:val="2E385BE3"/>
    <w:rsid w:val="2E421230"/>
    <w:rsid w:val="2E515DC8"/>
    <w:rsid w:val="2E586DAA"/>
    <w:rsid w:val="2E5B540C"/>
    <w:rsid w:val="2E667F96"/>
    <w:rsid w:val="2E746F19"/>
    <w:rsid w:val="2E7547BD"/>
    <w:rsid w:val="2E7A26A0"/>
    <w:rsid w:val="2E7A31F7"/>
    <w:rsid w:val="2E8226AB"/>
    <w:rsid w:val="2E8F0A35"/>
    <w:rsid w:val="2EA32933"/>
    <w:rsid w:val="2EA35A7F"/>
    <w:rsid w:val="2EA72D69"/>
    <w:rsid w:val="2EAC407E"/>
    <w:rsid w:val="2EAE23EB"/>
    <w:rsid w:val="2EDC0C65"/>
    <w:rsid w:val="2EE1627B"/>
    <w:rsid w:val="2EE44C58"/>
    <w:rsid w:val="2EE66438"/>
    <w:rsid w:val="2EEB70FA"/>
    <w:rsid w:val="2F236894"/>
    <w:rsid w:val="2F3A40A7"/>
    <w:rsid w:val="2F3A598B"/>
    <w:rsid w:val="2F3D7961"/>
    <w:rsid w:val="2F3E191F"/>
    <w:rsid w:val="2F574C94"/>
    <w:rsid w:val="2F601896"/>
    <w:rsid w:val="2F650C5A"/>
    <w:rsid w:val="2F6C6772"/>
    <w:rsid w:val="2F74165F"/>
    <w:rsid w:val="2F74578F"/>
    <w:rsid w:val="2F7E3ACA"/>
    <w:rsid w:val="2F802713"/>
    <w:rsid w:val="2F891B90"/>
    <w:rsid w:val="2F9737B2"/>
    <w:rsid w:val="2FB77743"/>
    <w:rsid w:val="2FB971F8"/>
    <w:rsid w:val="2FC17E5A"/>
    <w:rsid w:val="2FC3685F"/>
    <w:rsid w:val="2FD065E6"/>
    <w:rsid w:val="2FD10505"/>
    <w:rsid w:val="2FD96870"/>
    <w:rsid w:val="2FE51D9B"/>
    <w:rsid w:val="2FE569A5"/>
    <w:rsid w:val="2FE620FC"/>
    <w:rsid w:val="2FE70DEC"/>
    <w:rsid w:val="2FE778C1"/>
    <w:rsid w:val="2FF0366D"/>
    <w:rsid w:val="2FF3270A"/>
    <w:rsid w:val="2FF75053"/>
    <w:rsid w:val="2FFE2E5D"/>
    <w:rsid w:val="30063B76"/>
    <w:rsid w:val="300734A0"/>
    <w:rsid w:val="302329BA"/>
    <w:rsid w:val="30241C05"/>
    <w:rsid w:val="302428C3"/>
    <w:rsid w:val="302923B0"/>
    <w:rsid w:val="30313054"/>
    <w:rsid w:val="3037780B"/>
    <w:rsid w:val="304E0B54"/>
    <w:rsid w:val="30580BC9"/>
    <w:rsid w:val="306233EC"/>
    <w:rsid w:val="30676C54"/>
    <w:rsid w:val="307A6987"/>
    <w:rsid w:val="308279FC"/>
    <w:rsid w:val="309D332E"/>
    <w:rsid w:val="30AB4D93"/>
    <w:rsid w:val="30B023A9"/>
    <w:rsid w:val="30B17ECF"/>
    <w:rsid w:val="30BE40AA"/>
    <w:rsid w:val="30C47C02"/>
    <w:rsid w:val="30C916BD"/>
    <w:rsid w:val="30E14B62"/>
    <w:rsid w:val="30E262DA"/>
    <w:rsid w:val="30EE2ED1"/>
    <w:rsid w:val="30F1651D"/>
    <w:rsid w:val="31027BAC"/>
    <w:rsid w:val="31097910"/>
    <w:rsid w:val="311956BC"/>
    <w:rsid w:val="311E2ED7"/>
    <w:rsid w:val="31210BB1"/>
    <w:rsid w:val="31216E03"/>
    <w:rsid w:val="312245A1"/>
    <w:rsid w:val="31224B83"/>
    <w:rsid w:val="31267258"/>
    <w:rsid w:val="31440D43"/>
    <w:rsid w:val="31496359"/>
    <w:rsid w:val="314B20D2"/>
    <w:rsid w:val="314F08CF"/>
    <w:rsid w:val="315619EE"/>
    <w:rsid w:val="315C449C"/>
    <w:rsid w:val="3161544B"/>
    <w:rsid w:val="3169073F"/>
    <w:rsid w:val="316E1EB2"/>
    <w:rsid w:val="317127DE"/>
    <w:rsid w:val="3173284C"/>
    <w:rsid w:val="31785E93"/>
    <w:rsid w:val="31806C37"/>
    <w:rsid w:val="31834F09"/>
    <w:rsid w:val="31853836"/>
    <w:rsid w:val="318555E4"/>
    <w:rsid w:val="318C280E"/>
    <w:rsid w:val="319142F1"/>
    <w:rsid w:val="31917FF8"/>
    <w:rsid w:val="3192385D"/>
    <w:rsid w:val="3196159F"/>
    <w:rsid w:val="31981AC4"/>
    <w:rsid w:val="319D4E95"/>
    <w:rsid w:val="319F5F79"/>
    <w:rsid w:val="31AA504A"/>
    <w:rsid w:val="31AF4AA2"/>
    <w:rsid w:val="31B42CDD"/>
    <w:rsid w:val="31B82709"/>
    <w:rsid w:val="31B93075"/>
    <w:rsid w:val="31B9528D"/>
    <w:rsid w:val="31C003CA"/>
    <w:rsid w:val="31D05482"/>
    <w:rsid w:val="31EA18EB"/>
    <w:rsid w:val="31EB0A23"/>
    <w:rsid w:val="3200110E"/>
    <w:rsid w:val="32042FF1"/>
    <w:rsid w:val="320818EC"/>
    <w:rsid w:val="32125567"/>
    <w:rsid w:val="32193F7E"/>
    <w:rsid w:val="321C165B"/>
    <w:rsid w:val="32313075"/>
    <w:rsid w:val="3234700A"/>
    <w:rsid w:val="323D2592"/>
    <w:rsid w:val="323F1C36"/>
    <w:rsid w:val="32400B34"/>
    <w:rsid w:val="32471D7E"/>
    <w:rsid w:val="325D21E6"/>
    <w:rsid w:val="325F17DD"/>
    <w:rsid w:val="3272097D"/>
    <w:rsid w:val="327701E8"/>
    <w:rsid w:val="327A2C6E"/>
    <w:rsid w:val="32851956"/>
    <w:rsid w:val="329E6876"/>
    <w:rsid w:val="32A30CC6"/>
    <w:rsid w:val="32AB72CC"/>
    <w:rsid w:val="32AC08B4"/>
    <w:rsid w:val="32CC2D9E"/>
    <w:rsid w:val="32E817DB"/>
    <w:rsid w:val="32EA3D66"/>
    <w:rsid w:val="32F96543"/>
    <w:rsid w:val="32F96AA8"/>
    <w:rsid w:val="33062754"/>
    <w:rsid w:val="3307027A"/>
    <w:rsid w:val="330E57AB"/>
    <w:rsid w:val="3316226B"/>
    <w:rsid w:val="3317670F"/>
    <w:rsid w:val="332B3F69"/>
    <w:rsid w:val="333015F2"/>
    <w:rsid w:val="3330731C"/>
    <w:rsid w:val="33337555"/>
    <w:rsid w:val="33370B5F"/>
    <w:rsid w:val="33380434"/>
    <w:rsid w:val="3338549E"/>
    <w:rsid w:val="334310F3"/>
    <w:rsid w:val="33435756"/>
    <w:rsid w:val="33441C51"/>
    <w:rsid w:val="33452C02"/>
    <w:rsid w:val="334B6320"/>
    <w:rsid w:val="334F46D5"/>
    <w:rsid w:val="3361168D"/>
    <w:rsid w:val="33680D19"/>
    <w:rsid w:val="336F654B"/>
    <w:rsid w:val="33745910"/>
    <w:rsid w:val="33792F26"/>
    <w:rsid w:val="337C246F"/>
    <w:rsid w:val="3381639C"/>
    <w:rsid w:val="3388779B"/>
    <w:rsid w:val="33887E8D"/>
    <w:rsid w:val="338B0EAB"/>
    <w:rsid w:val="338B773A"/>
    <w:rsid w:val="339715FE"/>
    <w:rsid w:val="339A2E9C"/>
    <w:rsid w:val="33AF52A6"/>
    <w:rsid w:val="33B757FC"/>
    <w:rsid w:val="33B8412C"/>
    <w:rsid w:val="33BD1DBC"/>
    <w:rsid w:val="33CD5A8A"/>
    <w:rsid w:val="33D934D4"/>
    <w:rsid w:val="33DE0FDB"/>
    <w:rsid w:val="33DE722D"/>
    <w:rsid w:val="33F7209D"/>
    <w:rsid w:val="33FE2F6A"/>
    <w:rsid w:val="340E07E5"/>
    <w:rsid w:val="340E12E0"/>
    <w:rsid w:val="3410167E"/>
    <w:rsid w:val="34117602"/>
    <w:rsid w:val="34140EA1"/>
    <w:rsid w:val="341449FD"/>
    <w:rsid w:val="341B3FDD"/>
    <w:rsid w:val="341F50C6"/>
    <w:rsid w:val="34207846"/>
    <w:rsid w:val="34235BF7"/>
    <w:rsid w:val="343E7CCC"/>
    <w:rsid w:val="344219DC"/>
    <w:rsid w:val="344F012B"/>
    <w:rsid w:val="34514203"/>
    <w:rsid w:val="345D63A4"/>
    <w:rsid w:val="34602A32"/>
    <w:rsid w:val="34640A9B"/>
    <w:rsid w:val="34666A21"/>
    <w:rsid w:val="3467531B"/>
    <w:rsid w:val="347914E6"/>
    <w:rsid w:val="347B17C3"/>
    <w:rsid w:val="347F01C2"/>
    <w:rsid w:val="349250A0"/>
    <w:rsid w:val="34AA710F"/>
    <w:rsid w:val="34B561E0"/>
    <w:rsid w:val="34C93A39"/>
    <w:rsid w:val="34D643A8"/>
    <w:rsid w:val="34DD35B3"/>
    <w:rsid w:val="34E71780"/>
    <w:rsid w:val="34EC7728"/>
    <w:rsid w:val="34EE76E2"/>
    <w:rsid w:val="34F62354"/>
    <w:rsid w:val="34F860CC"/>
    <w:rsid w:val="34FA02FD"/>
    <w:rsid w:val="35041B9A"/>
    <w:rsid w:val="35050F88"/>
    <w:rsid w:val="35171958"/>
    <w:rsid w:val="35204D3A"/>
    <w:rsid w:val="352C7EA8"/>
    <w:rsid w:val="35354043"/>
    <w:rsid w:val="353B6B78"/>
    <w:rsid w:val="353D56B0"/>
    <w:rsid w:val="354B136D"/>
    <w:rsid w:val="354B26A0"/>
    <w:rsid w:val="35553903"/>
    <w:rsid w:val="35642B02"/>
    <w:rsid w:val="35753BC1"/>
    <w:rsid w:val="35812566"/>
    <w:rsid w:val="35814314"/>
    <w:rsid w:val="3589141A"/>
    <w:rsid w:val="358C5FA8"/>
    <w:rsid w:val="358D0F0B"/>
    <w:rsid w:val="35926521"/>
    <w:rsid w:val="35A3072E"/>
    <w:rsid w:val="35B93AAE"/>
    <w:rsid w:val="35C15DF1"/>
    <w:rsid w:val="35EA2872"/>
    <w:rsid w:val="35EB3E83"/>
    <w:rsid w:val="35EB515B"/>
    <w:rsid w:val="35F53E9B"/>
    <w:rsid w:val="36022D51"/>
    <w:rsid w:val="36056A97"/>
    <w:rsid w:val="36074A7F"/>
    <w:rsid w:val="36140CE4"/>
    <w:rsid w:val="36171DC5"/>
    <w:rsid w:val="3619279E"/>
    <w:rsid w:val="36213401"/>
    <w:rsid w:val="362979CB"/>
    <w:rsid w:val="36394BEF"/>
    <w:rsid w:val="363C7777"/>
    <w:rsid w:val="36453593"/>
    <w:rsid w:val="36483084"/>
    <w:rsid w:val="36545584"/>
    <w:rsid w:val="366F0610"/>
    <w:rsid w:val="367222F9"/>
    <w:rsid w:val="36743EE1"/>
    <w:rsid w:val="36767D38"/>
    <w:rsid w:val="36923549"/>
    <w:rsid w:val="369E4A52"/>
    <w:rsid w:val="36A46F22"/>
    <w:rsid w:val="36A75D66"/>
    <w:rsid w:val="36B66098"/>
    <w:rsid w:val="36B75FBF"/>
    <w:rsid w:val="36BD0C45"/>
    <w:rsid w:val="36C50230"/>
    <w:rsid w:val="36D729D5"/>
    <w:rsid w:val="36DD42E7"/>
    <w:rsid w:val="36F54FB9"/>
    <w:rsid w:val="36FB00F6"/>
    <w:rsid w:val="36FB1EA4"/>
    <w:rsid w:val="36FD5C1C"/>
    <w:rsid w:val="37272C99"/>
    <w:rsid w:val="37282D41"/>
    <w:rsid w:val="372E13CA"/>
    <w:rsid w:val="373E0984"/>
    <w:rsid w:val="374260F0"/>
    <w:rsid w:val="374A0160"/>
    <w:rsid w:val="37645C9B"/>
    <w:rsid w:val="376C672D"/>
    <w:rsid w:val="376E6B1A"/>
    <w:rsid w:val="3776777C"/>
    <w:rsid w:val="37866CC0"/>
    <w:rsid w:val="378E2FA6"/>
    <w:rsid w:val="379A16BD"/>
    <w:rsid w:val="37A246BB"/>
    <w:rsid w:val="37AB1B1C"/>
    <w:rsid w:val="37AB3EC2"/>
    <w:rsid w:val="37BE184F"/>
    <w:rsid w:val="37DF431C"/>
    <w:rsid w:val="37E00298"/>
    <w:rsid w:val="37E038AB"/>
    <w:rsid w:val="37F25055"/>
    <w:rsid w:val="37F4701F"/>
    <w:rsid w:val="37FB7520"/>
    <w:rsid w:val="38084423"/>
    <w:rsid w:val="380B343F"/>
    <w:rsid w:val="380E11B5"/>
    <w:rsid w:val="38170F5F"/>
    <w:rsid w:val="38455ACD"/>
    <w:rsid w:val="3848736B"/>
    <w:rsid w:val="385968C7"/>
    <w:rsid w:val="385E1608"/>
    <w:rsid w:val="38611B4B"/>
    <w:rsid w:val="386817BB"/>
    <w:rsid w:val="386C3059"/>
    <w:rsid w:val="387D5266"/>
    <w:rsid w:val="38855B19"/>
    <w:rsid w:val="38882F13"/>
    <w:rsid w:val="389B22E9"/>
    <w:rsid w:val="38A74DA6"/>
    <w:rsid w:val="38A9475B"/>
    <w:rsid w:val="38AA5930"/>
    <w:rsid w:val="38B302F9"/>
    <w:rsid w:val="38B40620"/>
    <w:rsid w:val="38B51168"/>
    <w:rsid w:val="38B95B73"/>
    <w:rsid w:val="38D147F0"/>
    <w:rsid w:val="38D37640"/>
    <w:rsid w:val="38D806EF"/>
    <w:rsid w:val="38D8249D"/>
    <w:rsid w:val="38E55930"/>
    <w:rsid w:val="38F01AA4"/>
    <w:rsid w:val="38F12CD3"/>
    <w:rsid w:val="38F94775"/>
    <w:rsid w:val="390360E4"/>
    <w:rsid w:val="39062BB4"/>
    <w:rsid w:val="390C65EA"/>
    <w:rsid w:val="391B682D"/>
    <w:rsid w:val="392971ED"/>
    <w:rsid w:val="39325651"/>
    <w:rsid w:val="394B628A"/>
    <w:rsid w:val="39500E6A"/>
    <w:rsid w:val="39501A09"/>
    <w:rsid w:val="39504729"/>
    <w:rsid w:val="3951224F"/>
    <w:rsid w:val="39561614"/>
    <w:rsid w:val="3966204D"/>
    <w:rsid w:val="396E1053"/>
    <w:rsid w:val="397A5357"/>
    <w:rsid w:val="397A79F8"/>
    <w:rsid w:val="39A35E40"/>
    <w:rsid w:val="39B50A30"/>
    <w:rsid w:val="39B844AF"/>
    <w:rsid w:val="39C8338C"/>
    <w:rsid w:val="39DE1D35"/>
    <w:rsid w:val="39F07CBA"/>
    <w:rsid w:val="39FF1CAB"/>
    <w:rsid w:val="39FF7EFD"/>
    <w:rsid w:val="3A03223E"/>
    <w:rsid w:val="3A047097"/>
    <w:rsid w:val="3A065683"/>
    <w:rsid w:val="3A094ACB"/>
    <w:rsid w:val="3A0B68A2"/>
    <w:rsid w:val="3A221D1C"/>
    <w:rsid w:val="3A2312DB"/>
    <w:rsid w:val="3A2E3EC4"/>
    <w:rsid w:val="3A347BA7"/>
    <w:rsid w:val="3A451DB4"/>
    <w:rsid w:val="3A5116BA"/>
    <w:rsid w:val="3A527464"/>
    <w:rsid w:val="3A614714"/>
    <w:rsid w:val="3A63223A"/>
    <w:rsid w:val="3A663AD8"/>
    <w:rsid w:val="3A7C5D33"/>
    <w:rsid w:val="3A831862"/>
    <w:rsid w:val="3A847442"/>
    <w:rsid w:val="3A865F28"/>
    <w:rsid w:val="3A872856"/>
    <w:rsid w:val="3A917E24"/>
    <w:rsid w:val="3A9E1078"/>
    <w:rsid w:val="3AA60379"/>
    <w:rsid w:val="3AA84186"/>
    <w:rsid w:val="3AB54861"/>
    <w:rsid w:val="3ABC5BC1"/>
    <w:rsid w:val="3AC85F07"/>
    <w:rsid w:val="3AD35612"/>
    <w:rsid w:val="3AEC0481"/>
    <w:rsid w:val="3AF9494C"/>
    <w:rsid w:val="3B013D5F"/>
    <w:rsid w:val="3B027CA5"/>
    <w:rsid w:val="3B131EB2"/>
    <w:rsid w:val="3B1C4D45"/>
    <w:rsid w:val="3B2207C1"/>
    <w:rsid w:val="3B227CE0"/>
    <w:rsid w:val="3B2C28E8"/>
    <w:rsid w:val="3B3763D1"/>
    <w:rsid w:val="3B46744C"/>
    <w:rsid w:val="3B6409B2"/>
    <w:rsid w:val="3B693880"/>
    <w:rsid w:val="3B712735"/>
    <w:rsid w:val="3B7346FF"/>
    <w:rsid w:val="3B791C8D"/>
    <w:rsid w:val="3B7F1A97"/>
    <w:rsid w:val="3B903503"/>
    <w:rsid w:val="3B94435B"/>
    <w:rsid w:val="3B9C6DBC"/>
    <w:rsid w:val="3BB306D2"/>
    <w:rsid w:val="3BD827B4"/>
    <w:rsid w:val="3BDC6748"/>
    <w:rsid w:val="3BEA3AE0"/>
    <w:rsid w:val="3BF43ABB"/>
    <w:rsid w:val="3BF82E56"/>
    <w:rsid w:val="3BFA6BCE"/>
    <w:rsid w:val="3BFE6FD7"/>
    <w:rsid w:val="3C027831"/>
    <w:rsid w:val="3C0B0DDB"/>
    <w:rsid w:val="3C0B2B89"/>
    <w:rsid w:val="3C123F18"/>
    <w:rsid w:val="3C125CC6"/>
    <w:rsid w:val="3C1D466B"/>
    <w:rsid w:val="3C1F03E3"/>
    <w:rsid w:val="3C1F6635"/>
    <w:rsid w:val="3C2E55CC"/>
    <w:rsid w:val="3C2F6E1E"/>
    <w:rsid w:val="3C375E4F"/>
    <w:rsid w:val="3C3E6BD4"/>
    <w:rsid w:val="3C445814"/>
    <w:rsid w:val="3C4F64BA"/>
    <w:rsid w:val="3C5E53AF"/>
    <w:rsid w:val="3C6A5B02"/>
    <w:rsid w:val="3C716C78"/>
    <w:rsid w:val="3C7D61AA"/>
    <w:rsid w:val="3C850B8E"/>
    <w:rsid w:val="3C853BB1"/>
    <w:rsid w:val="3C8800D3"/>
    <w:rsid w:val="3C8F6EBE"/>
    <w:rsid w:val="3C9C66B4"/>
    <w:rsid w:val="3CA005EF"/>
    <w:rsid w:val="3CB054DF"/>
    <w:rsid w:val="3CB939B5"/>
    <w:rsid w:val="3CBC20D5"/>
    <w:rsid w:val="3CC03FCC"/>
    <w:rsid w:val="3CCD215A"/>
    <w:rsid w:val="3CDA245A"/>
    <w:rsid w:val="3CE77152"/>
    <w:rsid w:val="3CFB2BFE"/>
    <w:rsid w:val="3D0575D8"/>
    <w:rsid w:val="3D0B0597"/>
    <w:rsid w:val="3D0C0967"/>
    <w:rsid w:val="3D144C31"/>
    <w:rsid w:val="3D1B30D0"/>
    <w:rsid w:val="3D1E06B7"/>
    <w:rsid w:val="3D22462E"/>
    <w:rsid w:val="3D281519"/>
    <w:rsid w:val="3D353699"/>
    <w:rsid w:val="3D363C36"/>
    <w:rsid w:val="3D3746A6"/>
    <w:rsid w:val="3D4177E3"/>
    <w:rsid w:val="3D557F06"/>
    <w:rsid w:val="3D584511"/>
    <w:rsid w:val="3D591ABC"/>
    <w:rsid w:val="3D5B7D81"/>
    <w:rsid w:val="3D8A3F82"/>
    <w:rsid w:val="3D8B4BB3"/>
    <w:rsid w:val="3D8E3A72"/>
    <w:rsid w:val="3D9308A4"/>
    <w:rsid w:val="3D951166"/>
    <w:rsid w:val="3DA61E89"/>
    <w:rsid w:val="3DA74B34"/>
    <w:rsid w:val="3DA867DC"/>
    <w:rsid w:val="3DAD5B84"/>
    <w:rsid w:val="3DB46334"/>
    <w:rsid w:val="3DB94676"/>
    <w:rsid w:val="3DBC05DF"/>
    <w:rsid w:val="3DBD1B50"/>
    <w:rsid w:val="3DCE0312"/>
    <w:rsid w:val="3DCF7FC2"/>
    <w:rsid w:val="3DE71FBC"/>
    <w:rsid w:val="3DF70654"/>
    <w:rsid w:val="3DF8713D"/>
    <w:rsid w:val="3DFC6BCD"/>
    <w:rsid w:val="3E067AAC"/>
    <w:rsid w:val="3E0D0E3B"/>
    <w:rsid w:val="3E151A9D"/>
    <w:rsid w:val="3E23065E"/>
    <w:rsid w:val="3E246184"/>
    <w:rsid w:val="3E285C74"/>
    <w:rsid w:val="3E2F0898"/>
    <w:rsid w:val="3E3E0BE3"/>
    <w:rsid w:val="3E4C5161"/>
    <w:rsid w:val="3E5227EB"/>
    <w:rsid w:val="3E524A9F"/>
    <w:rsid w:val="3E5A3EDC"/>
    <w:rsid w:val="3E5D3CED"/>
    <w:rsid w:val="3E66679D"/>
    <w:rsid w:val="3E686071"/>
    <w:rsid w:val="3E7F371C"/>
    <w:rsid w:val="3E824A11"/>
    <w:rsid w:val="3E824F32"/>
    <w:rsid w:val="3E8E2510"/>
    <w:rsid w:val="3E921340"/>
    <w:rsid w:val="3E99447C"/>
    <w:rsid w:val="3E9E1A93"/>
    <w:rsid w:val="3EC2309F"/>
    <w:rsid w:val="3ECA6D2C"/>
    <w:rsid w:val="3ECB056B"/>
    <w:rsid w:val="3ED265CC"/>
    <w:rsid w:val="3ED731F7"/>
    <w:rsid w:val="3EDA0523"/>
    <w:rsid w:val="3EDB4A95"/>
    <w:rsid w:val="3EEB139D"/>
    <w:rsid w:val="3EEF6A7D"/>
    <w:rsid w:val="3EF15791"/>
    <w:rsid w:val="3EFB6EE5"/>
    <w:rsid w:val="3EFE69D5"/>
    <w:rsid w:val="3F0110BB"/>
    <w:rsid w:val="3F086251"/>
    <w:rsid w:val="3F0F473E"/>
    <w:rsid w:val="3F163D1F"/>
    <w:rsid w:val="3F171845"/>
    <w:rsid w:val="3F284C2E"/>
    <w:rsid w:val="3F38048F"/>
    <w:rsid w:val="3F3B5533"/>
    <w:rsid w:val="3F512FA9"/>
    <w:rsid w:val="3F5860E5"/>
    <w:rsid w:val="3F5A7D5C"/>
    <w:rsid w:val="3F5B0661"/>
    <w:rsid w:val="3F607C2D"/>
    <w:rsid w:val="3F631AE2"/>
    <w:rsid w:val="3F6A406B"/>
    <w:rsid w:val="3F7607FD"/>
    <w:rsid w:val="3F8213B4"/>
    <w:rsid w:val="3F8F587F"/>
    <w:rsid w:val="3F9259DE"/>
    <w:rsid w:val="3F972073"/>
    <w:rsid w:val="3FA05CDE"/>
    <w:rsid w:val="3FA7706D"/>
    <w:rsid w:val="3FAA26CB"/>
    <w:rsid w:val="3FC52C55"/>
    <w:rsid w:val="3FCF2A56"/>
    <w:rsid w:val="3FD93355"/>
    <w:rsid w:val="3FDF05B5"/>
    <w:rsid w:val="3FE44C08"/>
    <w:rsid w:val="3FEE2A60"/>
    <w:rsid w:val="3FF80D4F"/>
    <w:rsid w:val="3FFE1488"/>
    <w:rsid w:val="3FFF2A05"/>
    <w:rsid w:val="400977DC"/>
    <w:rsid w:val="401A15ED"/>
    <w:rsid w:val="402059D1"/>
    <w:rsid w:val="40224945"/>
    <w:rsid w:val="40267F92"/>
    <w:rsid w:val="40324B88"/>
    <w:rsid w:val="403A7797"/>
    <w:rsid w:val="40442B0E"/>
    <w:rsid w:val="404A3A03"/>
    <w:rsid w:val="40532D51"/>
    <w:rsid w:val="405B04B1"/>
    <w:rsid w:val="407231D7"/>
    <w:rsid w:val="407A6407"/>
    <w:rsid w:val="4093139F"/>
    <w:rsid w:val="40957AD0"/>
    <w:rsid w:val="409C46F8"/>
    <w:rsid w:val="409D025C"/>
    <w:rsid w:val="40AA5894"/>
    <w:rsid w:val="40BB6C9A"/>
    <w:rsid w:val="40C81E0C"/>
    <w:rsid w:val="40DF1663"/>
    <w:rsid w:val="40E51BFB"/>
    <w:rsid w:val="40FE2CBD"/>
    <w:rsid w:val="41076015"/>
    <w:rsid w:val="41105E87"/>
    <w:rsid w:val="4114296E"/>
    <w:rsid w:val="411E335F"/>
    <w:rsid w:val="412C782A"/>
    <w:rsid w:val="41313092"/>
    <w:rsid w:val="41427B88"/>
    <w:rsid w:val="4168325C"/>
    <w:rsid w:val="416B25A1"/>
    <w:rsid w:val="4171348E"/>
    <w:rsid w:val="41792266"/>
    <w:rsid w:val="418C2076"/>
    <w:rsid w:val="418F600A"/>
    <w:rsid w:val="41A019D6"/>
    <w:rsid w:val="41A05B22"/>
    <w:rsid w:val="41AF045B"/>
    <w:rsid w:val="41C444BD"/>
    <w:rsid w:val="41CF6407"/>
    <w:rsid w:val="41DC43EB"/>
    <w:rsid w:val="41DD3F14"/>
    <w:rsid w:val="41F019C5"/>
    <w:rsid w:val="4200449D"/>
    <w:rsid w:val="42032168"/>
    <w:rsid w:val="42055261"/>
    <w:rsid w:val="42066111"/>
    <w:rsid w:val="42073DF3"/>
    <w:rsid w:val="42162288"/>
    <w:rsid w:val="421901A8"/>
    <w:rsid w:val="421D53C4"/>
    <w:rsid w:val="4221632B"/>
    <w:rsid w:val="42333392"/>
    <w:rsid w:val="423A3BCC"/>
    <w:rsid w:val="423A7D24"/>
    <w:rsid w:val="424741EF"/>
    <w:rsid w:val="424C7A58"/>
    <w:rsid w:val="424E57D2"/>
    <w:rsid w:val="4251506E"/>
    <w:rsid w:val="425A78D9"/>
    <w:rsid w:val="425C5EED"/>
    <w:rsid w:val="42731488"/>
    <w:rsid w:val="428C60A6"/>
    <w:rsid w:val="428E0070"/>
    <w:rsid w:val="42984A4B"/>
    <w:rsid w:val="429D6505"/>
    <w:rsid w:val="42A51253"/>
    <w:rsid w:val="42AB0C22"/>
    <w:rsid w:val="42B065B6"/>
    <w:rsid w:val="42B26C49"/>
    <w:rsid w:val="42B64416"/>
    <w:rsid w:val="42BA2C13"/>
    <w:rsid w:val="42CB5C7D"/>
    <w:rsid w:val="42CD06AF"/>
    <w:rsid w:val="42D35CD5"/>
    <w:rsid w:val="42DD01B9"/>
    <w:rsid w:val="42DF267A"/>
    <w:rsid w:val="42F46FDC"/>
    <w:rsid w:val="42FA336E"/>
    <w:rsid w:val="430846B1"/>
    <w:rsid w:val="43087E22"/>
    <w:rsid w:val="430F4532"/>
    <w:rsid w:val="4318590D"/>
    <w:rsid w:val="43211167"/>
    <w:rsid w:val="432F7AB9"/>
    <w:rsid w:val="433A6FE6"/>
    <w:rsid w:val="433B5A81"/>
    <w:rsid w:val="434273F8"/>
    <w:rsid w:val="43452E25"/>
    <w:rsid w:val="4347117C"/>
    <w:rsid w:val="43480868"/>
    <w:rsid w:val="434E0A89"/>
    <w:rsid w:val="43501757"/>
    <w:rsid w:val="4350713C"/>
    <w:rsid w:val="4361299F"/>
    <w:rsid w:val="436653E0"/>
    <w:rsid w:val="436E2E42"/>
    <w:rsid w:val="43770B04"/>
    <w:rsid w:val="43812344"/>
    <w:rsid w:val="43813731"/>
    <w:rsid w:val="438C45B0"/>
    <w:rsid w:val="439128F1"/>
    <w:rsid w:val="4396542E"/>
    <w:rsid w:val="43976CCF"/>
    <w:rsid w:val="439B0C97"/>
    <w:rsid w:val="43B104BA"/>
    <w:rsid w:val="43B91E1D"/>
    <w:rsid w:val="43C4431A"/>
    <w:rsid w:val="43CA35C0"/>
    <w:rsid w:val="43E06D85"/>
    <w:rsid w:val="43F536CA"/>
    <w:rsid w:val="43F674E5"/>
    <w:rsid w:val="43F83C25"/>
    <w:rsid w:val="44005116"/>
    <w:rsid w:val="441478F0"/>
    <w:rsid w:val="44191BBB"/>
    <w:rsid w:val="44250560"/>
    <w:rsid w:val="442E38B9"/>
    <w:rsid w:val="443F212B"/>
    <w:rsid w:val="4443784A"/>
    <w:rsid w:val="444A6219"/>
    <w:rsid w:val="445A645C"/>
    <w:rsid w:val="445B5032"/>
    <w:rsid w:val="44683D25"/>
    <w:rsid w:val="4469669F"/>
    <w:rsid w:val="446D6D8C"/>
    <w:rsid w:val="4475773A"/>
    <w:rsid w:val="44781916"/>
    <w:rsid w:val="44801F58"/>
    <w:rsid w:val="448B4867"/>
    <w:rsid w:val="448E07FB"/>
    <w:rsid w:val="44900492"/>
    <w:rsid w:val="44924575"/>
    <w:rsid w:val="449C3299"/>
    <w:rsid w:val="44A21D84"/>
    <w:rsid w:val="44B00772"/>
    <w:rsid w:val="44B02BBF"/>
    <w:rsid w:val="44B22E48"/>
    <w:rsid w:val="44B30262"/>
    <w:rsid w:val="44B459CC"/>
    <w:rsid w:val="44B951CC"/>
    <w:rsid w:val="44C10289"/>
    <w:rsid w:val="44CD14E0"/>
    <w:rsid w:val="44D25F7E"/>
    <w:rsid w:val="44D83825"/>
    <w:rsid w:val="44E0039F"/>
    <w:rsid w:val="44E4041B"/>
    <w:rsid w:val="44E81CBA"/>
    <w:rsid w:val="44E915E3"/>
    <w:rsid w:val="44F06DC0"/>
    <w:rsid w:val="44F20B0B"/>
    <w:rsid w:val="44F41C55"/>
    <w:rsid w:val="44FA4D5E"/>
    <w:rsid w:val="450A60D4"/>
    <w:rsid w:val="450A7B13"/>
    <w:rsid w:val="45280308"/>
    <w:rsid w:val="452B604A"/>
    <w:rsid w:val="452E418E"/>
    <w:rsid w:val="452E5F4C"/>
    <w:rsid w:val="453401F6"/>
    <w:rsid w:val="45372C41"/>
    <w:rsid w:val="453B2421"/>
    <w:rsid w:val="453C1767"/>
    <w:rsid w:val="45401AF6"/>
    <w:rsid w:val="45505AB1"/>
    <w:rsid w:val="455537FB"/>
    <w:rsid w:val="455728DE"/>
    <w:rsid w:val="45612018"/>
    <w:rsid w:val="4568104C"/>
    <w:rsid w:val="456B4699"/>
    <w:rsid w:val="456E0038"/>
    <w:rsid w:val="45813EBC"/>
    <w:rsid w:val="45815C6A"/>
    <w:rsid w:val="458946E9"/>
    <w:rsid w:val="458A28C0"/>
    <w:rsid w:val="458E77C7"/>
    <w:rsid w:val="45961716"/>
    <w:rsid w:val="459F1EC7"/>
    <w:rsid w:val="459F3E95"/>
    <w:rsid w:val="45A47C0E"/>
    <w:rsid w:val="45A57BAB"/>
    <w:rsid w:val="45A73654"/>
    <w:rsid w:val="45C53DA9"/>
    <w:rsid w:val="45E508CF"/>
    <w:rsid w:val="45F20916"/>
    <w:rsid w:val="45F35533"/>
    <w:rsid w:val="45FA0FE0"/>
    <w:rsid w:val="45FE550D"/>
    <w:rsid w:val="4603066A"/>
    <w:rsid w:val="4609638B"/>
    <w:rsid w:val="461067B3"/>
    <w:rsid w:val="46116FEE"/>
    <w:rsid w:val="461318E1"/>
    <w:rsid w:val="461C1AB0"/>
    <w:rsid w:val="461D5993"/>
    <w:rsid w:val="462206B3"/>
    <w:rsid w:val="462A164D"/>
    <w:rsid w:val="463351B6"/>
    <w:rsid w:val="464078D3"/>
    <w:rsid w:val="46577FD6"/>
    <w:rsid w:val="46603AD2"/>
    <w:rsid w:val="466960D4"/>
    <w:rsid w:val="46696E2A"/>
    <w:rsid w:val="468951B6"/>
    <w:rsid w:val="46976927"/>
    <w:rsid w:val="469D4D26"/>
    <w:rsid w:val="46A11C36"/>
    <w:rsid w:val="46A16181"/>
    <w:rsid w:val="46A377BC"/>
    <w:rsid w:val="46A614B6"/>
    <w:rsid w:val="46B226AF"/>
    <w:rsid w:val="46B978EF"/>
    <w:rsid w:val="46BB3737"/>
    <w:rsid w:val="46C074DD"/>
    <w:rsid w:val="46CE3FEF"/>
    <w:rsid w:val="46CF6A32"/>
    <w:rsid w:val="46D955A7"/>
    <w:rsid w:val="46E574B5"/>
    <w:rsid w:val="46FD7572"/>
    <w:rsid w:val="470A2303"/>
    <w:rsid w:val="470E1780"/>
    <w:rsid w:val="47133957"/>
    <w:rsid w:val="47134FE8"/>
    <w:rsid w:val="471548BC"/>
    <w:rsid w:val="47166351"/>
    <w:rsid w:val="471707E9"/>
    <w:rsid w:val="472B46E1"/>
    <w:rsid w:val="47462CC7"/>
    <w:rsid w:val="47522374"/>
    <w:rsid w:val="476D25D3"/>
    <w:rsid w:val="477F442B"/>
    <w:rsid w:val="479E6FA7"/>
    <w:rsid w:val="47A07E0C"/>
    <w:rsid w:val="47A10846"/>
    <w:rsid w:val="47A3011A"/>
    <w:rsid w:val="47AA76FA"/>
    <w:rsid w:val="47AC7B82"/>
    <w:rsid w:val="47B7493F"/>
    <w:rsid w:val="47BB21AF"/>
    <w:rsid w:val="47BF53F5"/>
    <w:rsid w:val="47C22C96"/>
    <w:rsid w:val="47C3256A"/>
    <w:rsid w:val="47D44777"/>
    <w:rsid w:val="47DC362C"/>
    <w:rsid w:val="47E11D08"/>
    <w:rsid w:val="48000077"/>
    <w:rsid w:val="48016FAE"/>
    <w:rsid w:val="48021647"/>
    <w:rsid w:val="480B5051"/>
    <w:rsid w:val="48117779"/>
    <w:rsid w:val="48205C0E"/>
    <w:rsid w:val="482E3126"/>
    <w:rsid w:val="48335942"/>
    <w:rsid w:val="483A74D0"/>
    <w:rsid w:val="483B47F6"/>
    <w:rsid w:val="483B65A4"/>
    <w:rsid w:val="485B6C46"/>
    <w:rsid w:val="485D6D3C"/>
    <w:rsid w:val="48623B31"/>
    <w:rsid w:val="48664D2B"/>
    <w:rsid w:val="486C49B0"/>
    <w:rsid w:val="4870272E"/>
    <w:rsid w:val="48967C7F"/>
    <w:rsid w:val="48973AEB"/>
    <w:rsid w:val="489B41A5"/>
    <w:rsid w:val="489E4A98"/>
    <w:rsid w:val="48AD1A9B"/>
    <w:rsid w:val="48CE566A"/>
    <w:rsid w:val="48D676A5"/>
    <w:rsid w:val="48D72771"/>
    <w:rsid w:val="48DA17A5"/>
    <w:rsid w:val="48DF33D4"/>
    <w:rsid w:val="48E24F42"/>
    <w:rsid w:val="48EC6D4C"/>
    <w:rsid w:val="48F03833"/>
    <w:rsid w:val="48F72E27"/>
    <w:rsid w:val="48FC2D2D"/>
    <w:rsid w:val="490911CB"/>
    <w:rsid w:val="490B3BC3"/>
    <w:rsid w:val="490D6193"/>
    <w:rsid w:val="4918435D"/>
    <w:rsid w:val="492359B6"/>
    <w:rsid w:val="492839CD"/>
    <w:rsid w:val="49290AF3"/>
    <w:rsid w:val="49311309"/>
    <w:rsid w:val="49366D6C"/>
    <w:rsid w:val="49387723"/>
    <w:rsid w:val="493D1461"/>
    <w:rsid w:val="494260A8"/>
    <w:rsid w:val="49597E0E"/>
    <w:rsid w:val="496C61DA"/>
    <w:rsid w:val="496E34E7"/>
    <w:rsid w:val="49724248"/>
    <w:rsid w:val="497B65F9"/>
    <w:rsid w:val="498B5309"/>
    <w:rsid w:val="498D1081"/>
    <w:rsid w:val="499D3DB7"/>
    <w:rsid w:val="499F2116"/>
    <w:rsid w:val="49A05A0F"/>
    <w:rsid w:val="49B4660E"/>
    <w:rsid w:val="49B54134"/>
    <w:rsid w:val="49BC2869"/>
    <w:rsid w:val="49BF4FB3"/>
    <w:rsid w:val="49C03205"/>
    <w:rsid w:val="49C756F2"/>
    <w:rsid w:val="49CD756F"/>
    <w:rsid w:val="49DC7715"/>
    <w:rsid w:val="49EB5DA8"/>
    <w:rsid w:val="49EE6CD1"/>
    <w:rsid w:val="49F033BE"/>
    <w:rsid w:val="49F213CC"/>
    <w:rsid w:val="49FC191B"/>
    <w:rsid w:val="4A023139"/>
    <w:rsid w:val="4A05330E"/>
    <w:rsid w:val="4A093F42"/>
    <w:rsid w:val="4A0B01F8"/>
    <w:rsid w:val="4A113A61"/>
    <w:rsid w:val="4A162E25"/>
    <w:rsid w:val="4A183041"/>
    <w:rsid w:val="4A19181B"/>
    <w:rsid w:val="4A273F46"/>
    <w:rsid w:val="4A331C29"/>
    <w:rsid w:val="4A350ADD"/>
    <w:rsid w:val="4A4060F4"/>
    <w:rsid w:val="4A4554B8"/>
    <w:rsid w:val="4A475610"/>
    <w:rsid w:val="4A484FA8"/>
    <w:rsid w:val="4A5676C5"/>
    <w:rsid w:val="4A630034"/>
    <w:rsid w:val="4A633B90"/>
    <w:rsid w:val="4A6718D3"/>
    <w:rsid w:val="4A704B0B"/>
    <w:rsid w:val="4A730277"/>
    <w:rsid w:val="4A791606"/>
    <w:rsid w:val="4A7B576F"/>
    <w:rsid w:val="4A8719E6"/>
    <w:rsid w:val="4A9B2378"/>
    <w:rsid w:val="4A9F106C"/>
    <w:rsid w:val="4AAC5537"/>
    <w:rsid w:val="4ABB1C1E"/>
    <w:rsid w:val="4AC705C3"/>
    <w:rsid w:val="4AE57050"/>
    <w:rsid w:val="4AEC59EB"/>
    <w:rsid w:val="4AF561A9"/>
    <w:rsid w:val="4AF6313B"/>
    <w:rsid w:val="4B013AD5"/>
    <w:rsid w:val="4B023555"/>
    <w:rsid w:val="4B165A7F"/>
    <w:rsid w:val="4B182BCD"/>
    <w:rsid w:val="4B1A6EF6"/>
    <w:rsid w:val="4B1B110F"/>
    <w:rsid w:val="4B29449C"/>
    <w:rsid w:val="4B391D0B"/>
    <w:rsid w:val="4B4475D2"/>
    <w:rsid w:val="4B55797D"/>
    <w:rsid w:val="4B645E12"/>
    <w:rsid w:val="4B763E21"/>
    <w:rsid w:val="4B810A76"/>
    <w:rsid w:val="4B841097"/>
    <w:rsid w:val="4B8509C1"/>
    <w:rsid w:val="4B9B047E"/>
    <w:rsid w:val="4B9D4B4F"/>
    <w:rsid w:val="4B9E42E5"/>
    <w:rsid w:val="4B9F509C"/>
    <w:rsid w:val="4BA12666"/>
    <w:rsid w:val="4BA15CE6"/>
    <w:rsid w:val="4BC114B6"/>
    <w:rsid w:val="4BC13264"/>
    <w:rsid w:val="4BD016F9"/>
    <w:rsid w:val="4BE3142D"/>
    <w:rsid w:val="4BE41E83"/>
    <w:rsid w:val="4BFE5155"/>
    <w:rsid w:val="4C001FDF"/>
    <w:rsid w:val="4C066EC9"/>
    <w:rsid w:val="4C0D64AA"/>
    <w:rsid w:val="4C100436"/>
    <w:rsid w:val="4C1928CE"/>
    <w:rsid w:val="4C2832E3"/>
    <w:rsid w:val="4C3A5BBA"/>
    <w:rsid w:val="4C3B7986"/>
    <w:rsid w:val="4C3F4AC0"/>
    <w:rsid w:val="4C4A0649"/>
    <w:rsid w:val="4C523EBC"/>
    <w:rsid w:val="4C6A4346"/>
    <w:rsid w:val="4C721766"/>
    <w:rsid w:val="4C7A2FF8"/>
    <w:rsid w:val="4C7E5ECA"/>
    <w:rsid w:val="4C7E73A7"/>
    <w:rsid w:val="4C806C7C"/>
    <w:rsid w:val="4C8229F4"/>
    <w:rsid w:val="4C876AA5"/>
    <w:rsid w:val="4C9141EC"/>
    <w:rsid w:val="4C9871DB"/>
    <w:rsid w:val="4C996E8F"/>
    <w:rsid w:val="4CA87F80"/>
    <w:rsid w:val="4CAC7A71"/>
    <w:rsid w:val="4CAE37E9"/>
    <w:rsid w:val="4CBB4158"/>
    <w:rsid w:val="4CD36635"/>
    <w:rsid w:val="4CD40D75"/>
    <w:rsid w:val="4CDF431E"/>
    <w:rsid w:val="4CE11854"/>
    <w:rsid w:val="4CE37DB9"/>
    <w:rsid w:val="4CEB00CB"/>
    <w:rsid w:val="4CFB6302"/>
    <w:rsid w:val="4CFE5DF2"/>
    <w:rsid w:val="4D002DB2"/>
    <w:rsid w:val="4D07695E"/>
    <w:rsid w:val="4D0A29E9"/>
    <w:rsid w:val="4D0E00FB"/>
    <w:rsid w:val="4D176606"/>
    <w:rsid w:val="4D1B3A15"/>
    <w:rsid w:val="4D1C122D"/>
    <w:rsid w:val="4D1F0243"/>
    <w:rsid w:val="4D225F85"/>
    <w:rsid w:val="4D281E45"/>
    <w:rsid w:val="4D4128AF"/>
    <w:rsid w:val="4D4C4DB0"/>
    <w:rsid w:val="4D4E6D7A"/>
    <w:rsid w:val="4D517E35"/>
    <w:rsid w:val="4D5325E2"/>
    <w:rsid w:val="4D6A4089"/>
    <w:rsid w:val="4D6C0422"/>
    <w:rsid w:val="4D791D20"/>
    <w:rsid w:val="4D87403A"/>
    <w:rsid w:val="4D97427D"/>
    <w:rsid w:val="4D9C1893"/>
    <w:rsid w:val="4DA840B8"/>
    <w:rsid w:val="4DA8648A"/>
    <w:rsid w:val="4DAB700D"/>
    <w:rsid w:val="4DBB41D6"/>
    <w:rsid w:val="4DC1579E"/>
    <w:rsid w:val="4DC25072"/>
    <w:rsid w:val="4DC4528E"/>
    <w:rsid w:val="4DCC40AD"/>
    <w:rsid w:val="4DCC4F6C"/>
    <w:rsid w:val="4DEC4FB0"/>
    <w:rsid w:val="4DF711BF"/>
    <w:rsid w:val="4DFF2090"/>
    <w:rsid w:val="4E0062C6"/>
    <w:rsid w:val="4E075D8A"/>
    <w:rsid w:val="4E0D2791"/>
    <w:rsid w:val="4E12593F"/>
    <w:rsid w:val="4E1812AD"/>
    <w:rsid w:val="4E263853"/>
    <w:rsid w:val="4E3046D1"/>
    <w:rsid w:val="4E3C4E24"/>
    <w:rsid w:val="4E4E38D2"/>
    <w:rsid w:val="4E5D524D"/>
    <w:rsid w:val="4E620D9E"/>
    <w:rsid w:val="4E6368A2"/>
    <w:rsid w:val="4E6A7577"/>
    <w:rsid w:val="4E717C99"/>
    <w:rsid w:val="4E920EE8"/>
    <w:rsid w:val="4E9407BC"/>
    <w:rsid w:val="4E9C58C3"/>
    <w:rsid w:val="4EA41EB1"/>
    <w:rsid w:val="4EA73B9A"/>
    <w:rsid w:val="4EAA6232"/>
    <w:rsid w:val="4EBF1EAD"/>
    <w:rsid w:val="4EC00FAD"/>
    <w:rsid w:val="4EEC5046"/>
    <w:rsid w:val="4EEC51FC"/>
    <w:rsid w:val="4F053468"/>
    <w:rsid w:val="4F07403C"/>
    <w:rsid w:val="4F204746"/>
    <w:rsid w:val="4F333370"/>
    <w:rsid w:val="4F346A41"/>
    <w:rsid w:val="4F4026F2"/>
    <w:rsid w:val="4F440434"/>
    <w:rsid w:val="4F45166E"/>
    <w:rsid w:val="4F490537"/>
    <w:rsid w:val="4F4B48DD"/>
    <w:rsid w:val="4F5036FC"/>
    <w:rsid w:val="4F693DE7"/>
    <w:rsid w:val="4F702FD7"/>
    <w:rsid w:val="4F7149BE"/>
    <w:rsid w:val="4F72228E"/>
    <w:rsid w:val="4F74239C"/>
    <w:rsid w:val="4F8847C5"/>
    <w:rsid w:val="4F98252E"/>
    <w:rsid w:val="4F9843DC"/>
    <w:rsid w:val="4F9C5B1D"/>
    <w:rsid w:val="4FA25A10"/>
    <w:rsid w:val="4FA709C3"/>
    <w:rsid w:val="4FA931B8"/>
    <w:rsid w:val="4FB124B6"/>
    <w:rsid w:val="4FB629B4"/>
    <w:rsid w:val="4FBB7D02"/>
    <w:rsid w:val="4FC62A8C"/>
    <w:rsid w:val="4FC82E13"/>
    <w:rsid w:val="4FC96B8B"/>
    <w:rsid w:val="4FCC2000"/>
    <w:rsid w:val="4FD317B8"/>
    <w:rsid w:val="4FD55530"/>
    <w:rsid w:val="4FDE263F"/>
    <w:rsid w:val="4FE20F0D"/>
    <w:rsid w:val="4FE51552"/>
    <w:rsid w:val="4FE87897"/>
    <w:rsid w:val="4FF95922"/>
    <w:rsid w:val="50163700"/>
    <w:rsid w:val="50281B04"/>
    <w:rsid w:val="502A41CA"/>
    <w:rsid w:val="50317489"/>
    <w:rsid w:val="50340D88"/>
    <w:rsid w:val="503C19ED"/>
    <w:rsid w:val="503C735D"/>
    <w:rsid w:val="50406E4E"/>
    <w:rsid w:val="50416722"/>
    <w:rsid w:val="50460F8B"/>
    <w:rsid w:val="50504C4B"/>
    <w:rsid w:val="50586946"/>
    <w:rsid w:val="50630D8E"/>
    <w:rsid w:val="5065280B"/>
    <w:rsid w:val="506616A5"/>
    <w:rsid w:val="506F14E1"/>
    <w:rsid w:val="5071117D"/>
    <w:rsid w:val="50795868"/>
    <w:rsid w:val="50805059"/>
    <w:rsid w:val="50842312"/>
    <w:rsid w:val="50937573"/>
    <w:rsid w:val="50937738"/>
    <w:rsid w:val="509C6E7C"/>
    <w:rsid w:val="50A218B6"/>
    <w:rsid w:val="50A502B2"/>
    <w:rsid w:val="50BE7D72"/>
    <w:rsid w:val="50C671AF"/>
    <w:rsid w:val="50D650BC"/>
    <w:rsid w:val="50DF0D45"/>
    <w:rsid w:val="50ED5940"/>
    <w:rsid w:val="50F801BF"/>
    <w:rsid w:val="50FB4B23"/>
    <w:rsid w:val="51087240"/>
    <w:rsid w:val="510A54D2"/>
    <w:rsid w:val="510C4F82"/>
    <w:rsid w:val="512F2A1E"/>
    <w:rsid w:val="51300B78"/>
    <w:rsid w:val="51345D4D"/>
    <w:rsid w:val="5139564B"/>
    <w:rsid w:val="514069D9"/>
    <w:rsid w:val="51477D68"/>
    <w:rsid w:val="5153495F"/>
    <w:rsid w:val="5162104E"/>
    <w:rsid w:val="51646541"/>
    <w:rsid w:val="516E1798"/>
    <w:rsid w:val="516E3547"/>
    <w:rsid w:val="51705511"/>
    <w:rsid w:val="51776D26"/>
    <w:rsid w:val="51791EEB"/>
    <w:rsid w:val="517C465B"/>
    <w:rsid w:val="51897E16"/>
    <w:rsid w:val="51956FC1"/>
    <w:rsid w:val="51986815"/>
    <w:rsid w:val="519A7F79"/>
    <w:rsid w:val="51A0391C"/>
    <w:rsid w:val="51A613EA"/>
    <w:rsid w:val="51A62CFD"/>
    <w:rsid w:val="51CC64BF"/>
    <w:rsid w:val="51D52115"/>
    <w:rsid w:val="51E23F34"/>
    <w:rsid w:val="51E71970"/>
    <w:rsid w:val="51E952C3"/>
    <w:rsid w:val="51F22ECA"/>
    <w:rsid w:val="51F37EF0"/>
    <w:rsid w:val="51F53C68"/>
    <w:rsid w:val="5201260D"/>
    <w:rsid w:val="52021F07"/>
    <w:rsid w:val="520774F7"/>
    <w:rsid w:val="520D4018"/>
    <w:rsid w:val="52102850"/>
    <w:rsid w:val="521A1F7F"/>
    <w:rsid w:val="521A6BBB"/>
    <w:rsid w:val="522E0F28"/>
    <w:rsid w:val="523D7E25"/>
    <w:rsid w:val="523F4B18"/>
    <w:rsid w:val="5247070E"/>
    <w:rsid w:val="525E35BB"/>
    <w:rsid w:val="526E7576"/>
    <w:rsid w:val="527821A3"/>
    <w:rsid w:val="52846D9A"/>
    <w:rsid w:val="528F7C18"/>
    <w:rsid w:val="529945F3"/>
    <w:rsid w:val="529C56A0"/>
    <w:rsid w:val="529F0F39"/>
    <w:rsid w:val="529F5982"/>
    <w:rsid w:val="52A02946"/>
    <w:rsid w:val="52CE09D3"/>
    <w:rsid w:val="52D06E52"/>
    <w:rsid w:val="52D95337"/>
    <w:rsid w:val="52DB726C"/>
    <w:rsid w:val="52F17723"/>
    <w:rsid w:val="53052BA8"/>
    <w:rsid w:val="53071EA5"/>
    <w:rsid w:val="533407C0"/>
    <w:rsid w:val="534A1D91"/>
    <w:rsid w:val="535B5D4C"/>
    <w:rsid w:val="536F1460"/>
    <w:rsid w:val="53746E0E"/>
    <w:rsid w:val="537B63EF"/>
    <w:rsid w:val="53933738"/>
    <w:rsid w:val="539531BF"/>
    <w:rsid w:val="5398074C"/>
    <w:rsid w:val="539A15FA"/>
    <w:rsid w:val="539A6875"/>
    <w:rsid w:val="53A039CC"/>
    <w:rsid w:val="53A1505A"/>
    <w:rsid w:val="53B449A8"/>
    <w:rsid w:val="53C027A0"/>
    <w:rsid w:val="53C2651B"/>
    <w:rsid w:val="53C657AD"/>
    <w:rsid w:val="53C658BC"/>
    <w:rsid w:val="53C723EA"/>
    <w:rsid w:val="53D374C2"/>
    <w:rsid w:val="53E04BF9"/>
    <w:rsid w:val="53E350D7"/>
    <w:rsid w:val="53E57531"/>
    <w:rsid w:val="53EA297E"/>
    <w:rsid w:val="53F800A5"/>
    <w:rsid w:val="53FC2A05"/>
    <w:rsid w:val="54063E08"/>
    <w:rsid w:val="5411465D"/>
    <w:rsid w:val="541C372E"/>
    <w:rsid w:val="542F6414"/>
    <w:rsid w:val="543437E8"/>
    <w:rsid w:val="543547EF"/>
    <w:rsid w:val="543D0CE9"/>
    <w:rsid w:val="545F186C"/>
    <w:rsid w:val="5463310B"/>
    <w:rsid w:val="54662BFB"/>
    <w:rsid w:val="54663956"/>
    <w:rsid w:val="54686973"/>
    <w:rsid w:val="54724797"/>
    <w:rsid w:val="54837309"/>
    <w:rsid w:val="548D19E4"/>
    <w:rsid w:val="54921C42"/>
    <w:rsid w:val="549E2395"/>
    <w:rsid w:val="54A51975"/>
    <w:rsid w:val="54BD28F5"/>
    <w:rsid w:val="54C341E7"/>
    <w:rsid w:val="54C6369A"/>
    <w:rsid w:val="54C65448"/>
    <w:rsid w:val="54DA789F"/>
    <w:rsid w:val="54EF499E"/>
    <w:rsid w:val="54F73313"/>
    <w:rsid w:val="54F80955"/>
    <w:rsid w:val="55016556"/>
    <w:rsid w:val="55052414"/>
    <w:rsid w:val="550D3076"/>
    <w:rsid w:val="55115E79"/>
    <w:rsid w:val="55223C6A"/>
    <w:rsid w:val="552E275D"/>
    <w:rsid w:val="553A3451"/>
    <w:rsid w:val="554C24FC"/>
    <w:rsid w:val="555170A7"/>
    <w:rsid w:val="555B64D8"/>
    <w:rsid w:val="555E07DE"/>
    <w:rsid w:val="556A6EF7"/>
    <w:rsid w:val="556E5EBA"/>
    <w:rsid w:val="55762D8F"/>
    <w:rsid w:val="55766E6E"/>
    <w:rsid w:val="5587536D"/>
    <w:rsid w:val="558C1CFE"/>
    <w:rsid w:val="558D30EB"/>
    <w:rsid w:val="558F0311"/>
    <w:rsid w:val="55933948"/>
    <w:rsid w:val="5596306C"/>
    <w:rsid w:val="559B174B"/>
    <w:rsid w:val="559D03AC"/>
    <w:rsid w:val="55A0038E"/>
    <w:rsid w:val="55A0213D"/>
    <w:rsid w:val="55A81A65"/>
    <w:rsid w:val="55AA66B5"/>
    <w:rsid w:val="55AA6B17"/>
    <w:rsid w:val="55B856D8"/>
    <w:rsid w:val="55CE0CF4"/>
    <w:rsid w:val="55D446DE"/>
    <w:rsid w:val="56077213"/>
    <w:rsid w:val="56150744"/>
    <w:rsid w:val="56337093"/>
    <w:rsid w:val="56424FA2"/>
    <w:rsid w:val="565328D9"/>
    <w:rsid w:val="565A678F"/>
    <w:rsid w:val="56607186"/>
    <w:rsid w:val="567134D2"/>
    <w:rsid w:val="567333AD"/>
    <w:rsid w:val="5676628F"/>
    <w:rsid w:val="567D422C"/>
    <w:rsid w:val="568F468B"/>
    <w:rsid w:val="56925F29"/>
    <w:rsid w:val="569A2FA8"/>
    <w:rsid w:val="56A12DE0"/>
    <w:rsid w:val="56A245D8"/>
    <w:rsid w:val="56A27DAB"/>
    <w:rsid w:val="56AA01D0"/>
    <w:rsid w:val="56B22A9C"/>
    <w:rsid w:val="56B71599"/>
    <w:rsid w:val="56BC0E13"/>
    <w:rsid w:val="56C1236A"/>
    <w:rsid w:val="56C67981"/>
    <w:rsid w:val="56D007FF"/>
    <w:rsid w:val="56DD28E7"/>
    <w:rsid w:val="56E15768"/>
    <w:rsid w:val="56E66275"/>
    <w:rsid w:val="570D3802"/>
    <w:rsid w:val="570E7D16"/>
    <w:rsid w:val="570F757A"/>
    <w:rsid w:val="5721105B"/>
    <w:rsid w:val="572648C3"/>
    <w:rsid w:val="57266671"/>
    <w:rsid w:val="57266966"/>
    <w:rsid w:val="572A4DAB"/>
    <w:rsid w:val="573614CE"/>
    <w:rsid w:val="57387FCA"/>
    <w:rsid w:val="573A34BC"/>
    <w:rsid w:val="573B036F"/>
    <w:rsid w:val="574134AB"/>
    <w:rsid w:val="57446652"/>
    <w:rsid w:val="57460AC2"/>
    <w:rsid w:val="57465881"/>
    <w:rsid w:val="574F5BC8"/>
    <w:rsid w:val="5750172E"/>
    <w:rsid w:val="57527466"/>
    <w:rsid w:val="57585886"/>
    <w:rsid w:val="57671CF1"/>
    <w:rsid w:val="576955EE"/>
    <w:rsid w:val="579104A4"/>
    <w:rsid w:val="579962B0"/>
    <w:rsid w:val="57AD0DA8"/>
    <w:rsid w:val="57B72A76"/>
    <w:rsid w:val="57C3426C"/>
    <w:rsid w:val="57C767A7"/>
    <w:rsid w:val="57CB6E0C"/>
    <w:rsid w:val="57CC79D8"/>
    <w:rsid w:val="57CD1151"/>
    <w:rsid w:val="57CE1F93"/>
    <w:rsid w:val="57CF0AB7"/>
    <w:rsid w:val="57D4431F"/>
    <w:rsid w:val="57E26F6C"/>
    <w:rsid w:val="57E44562"/>
    <w:rsid w:val="57E87072"/>
    <w:rsid w:val="57EA3B43"/>
    <w:rsid w:val="57ED033C"/>
    <w:rsid w:val="57EE3633"/>
    <w:rsid w:val="57EE701B"/>
    <w:rsid w:val="57FD1D82"/>
    <w:rsid w:val="57FE314A"/>
    <w:rsid w:val="57FF35D6"/>
    <w:rsid w:val="58003C4B"/>
    <w:rsid w:val="580D2F1D"/>
    <w:rsid w:val="581035A9"/>
    <w:rsid w:val="581806B0"/>
    <w:rsid w:val="58201313"/>
    <w:rsid w:val="58310633"/>
    <w:rsid w:val="583442DA"/>
    <w:rsid w:val="583E1858"/>
    <w:rsid w:val="58407993"/>
    <w:rsid w:val="5842572D"/>
    <w:rsid w:val="584D343E"/>
    <w:rsid w:val="585B47B7"/>
    <w:rsid w:val="58692CBA"/>
    <w:rsid w:val="586E207E"/>
    <w:rsid w:val="586E6522"/>
    <w:rsid w:val="587D1DB6"/>
    <w:rsid w:val="587F428B"/>
    <w:rsid w:val="58823D7B"/>
    <w:rsid w:val="58825FE5"/>
    <w:rsid w:val="588743D1"/>
    <w:rsid w:val="5887701A"/>
    <w:rsid w:val="588E7E29"/>
    <w:rsid w:val="589719CB"/>
    <w:rsid w:val="589E2AD0"/>
    <w:rsid w:val="58A75590"/>
    <w:rsid w:val="58B77EC9"/>
    <w:rsid w:val="58BE01D2"/>
    <w:rsid w:val="58D25B75"/>
    <w:rsid w:val="58D42829"/>
    <w:rsid w:val="58E4759A"/>
    <w:rsid w:val="58EF7663"/>
    <w:rsid w:val="59010E00"/>
    <w:rsid w:val="59034EBC"/>
    <w:rsid w:val="59172716"/>
    <w:rsid w:val="591C0E16"/>
    <w:rsid w:val="591F781C"/>
    <w:rsid w:val="59282B75"/>
    <w:rsid w:val="593A6404"/>
    <w:rsid w:val="593E781A"/>
    <w:rsid w:val="5954396A"/>
    <w:rsid w:val="59585D49"/>
    <w:rsid w:val="59592D2E"/>
    <w:rsid w:val="59835887"/>
    <w:rsid w:val="59854859"/>
    <w:rsid w:val="599F2853"/>
    <w:rsid w:val="59AA2E4E"/>
    <w:rsid w:val="59B42BA3"/>
    <w:rsid w:val="59BB66E8"/>
    <w:rsid w:val="59C0439F"/>
    <w:rsid w:val="59C4289D"/>
    <w:rsid w:val="59C503C4"/>
    <w:rsid w:val="59C77C98"/>
    <w:rsid w:val="59C87211"/>
    <w:rsid w:val="59D86349"/>
    <w:rsid w:val="59EE791A"/>
    <w:rsid w:val="59EF76C0"/>
    <w:rsid w:val="59FB5AD2"/>
    <w:rsid w:val="59FD190B"/>
    <w:rsid w:val="5A00240A"/>
    <w:rsid w:val="5A19426B"/>
    <w:rsid w:val="5A1D0200"/>
    <w:rsid w:val="5A270860"/>
    <w:rsid w:val="5A2A0227"/>
    <w:rsid w:val="5A355549"/>
    <w:rsid w:val="5A494B51"/>
    <w:rsid w:val="5A4E03B9"/>
    <w:rsid w:val="5A6416FB"/>
    <w:rsid w:val="5A785436"/>
    <w:rsid w:val="5A920D5A"/>
    <w:rsid w:val="5A93303B"/>
    <w:rsid w:val="5A984327"/>
    <w:rsid w:val="5AB126F6"/>
    <w:rsid w:val="5AB741B0"/>
    <w:rsid w:val="5ABE2233"/>
    <w:rsid w:val="5AC1776A"/>
    <w:rsid w:val="5AC62645"/>
    <w:rsid w:val="5ADC7773"/>
    <w:rsid w:val="5AE20B01"/>
    <w:rsid w:val="5AE605F2"/>
    <w:rsid w:val="5AEA0C5E"/>
    <w:rsid w:val="5AEB3E5A"/>
    <w:rsid w:val="5AED1307"/>
    <w:rsid w:val="5AF30F60"/>
    <w:rsid w:val="5AFD12A8"/>
    <w:rsid w:val="5AFF3461"/>
    <w:rsid w:val="5B0257AA"/>
    <w:rsid w:val="5B04316E"/>
    <w:rsid w:val="5B044B9C"/>
    <w:rsid w:val="5B184523"/>
    <w:rsid w:val="5B1C4013"/>
    <w:rsid w:val="5B242EC8"/>
    <w:rsid w:val="5B24641B"/>
    <w:rsid w:val="5B2555BE"/>
    <w:rsid w:val="5B294982"/>
    <w:rsid w:val="5B307ABF"/>
    <w:rsid w:val="5B353166"/>
    <w:rsid w:val="5B3C46B5"/>
    <w:rsid w:val="5B411CCC"/>
    <w:rsid w:val="5B481C47"/>
    <w:rsid w:val="5B4D241F"/>
    <w:rsid w:val="5B4E6197"/>
    <w:rsid w:val="5B4F14EB"/>
    <w:rsid w:val="5B4F39A0"/>
    <w:rsid w:val="5B5437AD"/>
    <w:rsid w:val="5B5E0B95"/>
    <w:rsid w:val="5B61676C"/>
    <w:rsid w:val="5B6836FC"/>
    <w:rsid w:val="5B7420A1"/>
    <w:rsid w:val="5B7E4CCE"/>
    <w:rsid w:val="5B8322E4"/>
    <w:rsid w:val="5B865931"/>
    <w:rsid w:val="5B8878FB"/>
    <w:rsid w:val="5B8B2F47"/>
    <w:rsid w:val="5B8F0C89"/>
    <w:rsid w:val="5BA17F6A"/>
    <w:rsid w:val="5BAC7496"/>
    <w:rsid w:val="5BB56B61"/>
    <w:rsid w:val="5BB57FC4"/>
    <w:rsid w:val="5BB66216"/>
    <w:rsid w:val="5BBD57F6"/>
    <w:rsid w:val="5BC50070"/>
    <w:rsid w:val="5BC728D7"/>
    <w:rsid w:val="5BD32F24"/>
    <w:rsid w:val="5BDF5D95"/>
    <w:rsid w:val="5BF777B8"/>
    <w:rsid w:val="5BFE7528"/>
    <w:rsid w:val="5C207F86"/>
    <w:rsid w:val="5C22639B"/>
    <w:rsid w:val="5C234A1A"/>
    <w:rsid w:val="5C255255"/>
    <w:rsid w:val="5C3372E4"/>
    <w:rsid w:val="5C344306"/>
    <w:rsid w:val="5C3C6D4A"/>
    <w:rsid w:val="5C4066A5"/>
    <w:rsid w:val="5C4750C0"/>
    <w:rsid w:val="5C4B1054"/>
    <w:rsid w:val="5C567725"/>
    <w:rsid w:val="5C5872CD"/>
    <w:rsid w:val="5C722698"/>
    <w:rsid w:val="5C725DD3"/>
    <w:rsid w:val="5C7A2B20"/>
    <w:rsid w:val="5C8F25FB"/>
    <w:rsid w:val="5C907C24"/>
    <w:rsid w:val="5C9108EC"/>
    <w:rsid w:val="5C923B59"/>
    <w:rsid w:val="5C9D4C23"/>
    <w:rsid w:val="5CB65F8D"/>
    <w:rsid w:val="5CB81C17"/>
    <w:rsid w:val="5CCC1A69"/>
    <w:rsid w:val="5CCD0745"/>
    <w:rsid w:val="5CD032CE"/>
    <w:rsid w:val="5CD13CE5"/>
    <w:rsid w:val="5CD544A4"/>
    <w:rsid w:val="5CD85DEB"/>
    <w:rsid w:val="5D0A3484"/>
    <w:rsid w:val="5D0E5BDE"/>
    <w:rsid w:val="5D172CE4"/>
    <w:rsid w:val="5D1A6C78"/>
    <w:rsid w:val="5D2344D7"/>
    <w:rsid w:val="5D283143"/>
    <w:rsid w:val="5D3031BF"/>
    <w:rsid w:val="5D347D3A"/>
    <w:rsid w:val="5D485594"/>
    <w:rsid w:val="5D4B5084"/>
    <w:rsid w:val="5D557CB0"/>
    <w:rsid w:val="5D5C103F"/>
    <w:rsid w:val="5D5C7A80"/>
    <w:rsid w:val="5D600B2F"/>
    <w:rsid w:val="5D6972B8"/>
    <w:rsid w:val="5D6D6DA8"/>
    <w:rsid w:val="5D7A7717"/>
    <w:rsid w:val="5DA100D9"/>
    <w:rsid w:val="5DB42C29"/>
    <w:rsid w:val="5DBC1ADE"/>
    <w:rsid w:val="5DBF512A"/>
    <w:rsid w:val="5DC15346"/>
    <w:rsid w:val="5DD21301"/>
    <w:rsid w:val="5DE05969"/>
    <w:rsid w:val="5DE639C7"/>
    <w:rsid w:val="5DF07362"/>
    <w:rsid w:val="5DF344C2"/>
    <w:rsid w:val="5DF36E65"/>
    <w:rsid w:val="5DF43025"/>
    <w:rsid w:val="5E023994"/>
    <w:rsid w:val="5E0C14B0"/>
    <w:rsid w:val="5E205881"/>
    <w:rsid w:val="5E2420F9"/>
    <w:rsid w:val="5E2467F1"/>
    <w:rsid w:val="5E282CCF"/>
    <w:rsid w:val="5E3D200F"/>
    <w:rsid w:val="5E3E0745"/>
    <w:rsid w:val="5E40626B"/>
    <w:rsid w:val="5E4F2952"/>
    <w:rsid w:val="5E5B12F6"/>
    <w:rsid w:val="5E734C2C"/>
    <w:rsid w:val="5E802B0B"/>
    <w:rsid w:val="5E836BEB"/>
    <w:rsid w:val="5E8720EC"/>
    <w:rsid w:val="5E8C0BF6"/>
    <w:rsid w:val="5E8F1717"/>
    <w:rsid w:val="5E934F1A"/>
    <w:rsid w:val="5E9B5A83"/>
    <w:rsid w:val="5E9D3D74"/>
    <w:rsid w:val="5EAC3900"/>
    <w:rsid w:val="5EB07BFF"/>
    <w:rsid w:val="5EB81446"/>
    <w:rsid w:val="5EC40C4A"/>
    <w:rsid w:val="5ED14D86"/>
    <w:rsid w:val="5EDF5A84"/>
    <w:rsid w:val="5EE05174"/>
    <w:rsid w:val="5EE93A8C"/>
    <w:rsid w:val="5EEC1F4F"/>
    <w:rsid w:val="5EED4A38"/>
    <w:rsid w:val="5EF6586C"/>
    <w:rsid w:val="5F0059FA"/>
    <w:rsid w:val="5F021772"/>
    <w:rsid w:val="5F13397F"/>
    <w:rsid w:val="5F1576F7"/>
    <w:rsid w:val="5F1A2B43"/>
    <w:rsid w:val="5F230066"/>
    <w:rsid w:val="5F3C1030"/>
    <w:rsid w:val="5F3E0472"/>
    <w:rsid w:val="5F4146C0"/>
    <w:rsid w:val="5F443B39"/>
    <w:rsid w:val="5F4D6E91"/>
    <w:rsid w:val="5F526256"/>
    <w:rsid w:val="5F574BF4"/>
    <w:rsid w:val="5F605B3E"/>
    <w:rsid w:val="5F6418D5"/>
    <w:rsid w:val="5F693D64"/>
    <w:rsid w:val="5F7268F8"/>
    <w:rsid w:val="5F7E529D"/>
    <w:rsid w:val="5F93677F"/>
    <w:rsid w:val="5F9F5213"/>
    <w:rsid w:val="5FA23C0D"/>
    <w:rsid w:val="5FA647F3"/>
    <w:rsid w:val="5FAA42E4"/>
    <w:rsid w:val="5FB837BB"/>
    <w:rsid w:val="5FC34763"/>
    <w:rsid w:val="5FD16B14"/>
    <w:rsid w:val="5FD21EE2"/>
    <w:rsid w:val="5FEF1CF6"/>
    <w:rsid w:val="5FF84994"/>
    <w:rsid w:val="5FF93F4E"/>
    <w:rsid w:val="5FFC638B"/>
    <w:rsid w:val="5FFD4B02"/>
    <w:rsid w:val="600236F9"/>
    <w:rsid w:val="600E6291"/>
    <w:rsid w:val="60234709"/>
    <w:rsid w:val="6025396A"/>
    <w:rsid w:val="602A71D2"/>
    <w:rsid w:val="602E5DFE"/>
    <w:rsid w:val="603C0CB4"/>
    <w:rsid w:val="60402552"/>
    <w:rsid w:val="60433717"/>
    <w:rsid w:val="60487659"/>
    <w:rsid w:val="604A517F"/>
    <w:rsid w:val="604C7149"/>
    <w:rsid w:val="604E1113"/>
    <w:rsid w:val="60583D40"/>
    <w:rsid w:val="605F2D86"/>
    <w:rsid w:val="6062071A"/>
    <w:rsid w:val="606D5311"/>
    <w:rsid w:val="60860A04"/>
    <w:rsid w:val="608C39E9"/>
    <w:rsid w:val="608E59B3"/>
    <w:rsid w:val="60A54AAB"/>
    <w:rsid w:val="60B30E7E"/>
    <w:rsid w:val="60B5337C"/>
    <w:rsid w:val="60BD35DF"/>
    <w:rsid w:val="60CC405A"/>
    <w:rsid w:val="60CE5DB0"/>
    <w:rsid w:val="60D57752"/>
    <w:rsid w:val="60DF4DDA"/>
    <w:rsid w:val="60E45767"/>
    <w:rsid w:val="60E6759D"/>
    <w:rsid w:val="60EC16EE"/>
    <w:rsid w:val="6109328C"/>
    <w:rsid w:val="610E2650"/>
    <w:rsid w:val="61174766"/>
    <w:rsid w:val="612105D5"/>
    <w:rsid w:val="61235CB9"/>
    <w:rsid w:val="61271964"/>
    <w:rsid w:val="61347CD3"/>
    <w:rsid w:val="613C540F"/>
    <w:rsid w:val="613C71BD"/>
    <w:rsid w:val="613F280A"/>
    <w:rsid w:val="614736D5"/>
    <w:rsid w:val="614C5B4C"/>
    <w:rsid w:val="615A4C37"/>
    <w:rsid w:val="615E218B"/>
    <w:rsid w:val="616D55C9"/>
    <w:rsid w:val="617161A2"/>
    <w:rsid w:val="617526CF"/>
    <w:rsid w:val="61783F6D"/>
    <w:rsid w:val="617E56FB"/>
    <w:rsid w:val="618741B1"/>
    <w:rsid w:val="618834CE"/>
    <w:rsid w:val="618E3791"/>
    <w:rsid w:val="619F599E"/>
    <w:rsid w:val="61BC6889"/>
    <w:rsid w:val="61C471B3"/>
    <w:rsid w:val="61D12D05"/>
    <w:rsid w:val="61DC44FC"/>
    <w:rsid w:val="61DC62AA"/>
    <w:rsid w:val="61DE2022"/>
    <w:rsid w:val="61E215D8"/>
    <w:rsid w:val="61EA24F2"/>
    <w:rsid w:val="61EB3135"/>
    <w:rsid w:val="61FB637A"/>
    <w:rsid w:val="62040ACF"/>
    <w:rsid w:val="62065260"/>
    <w:rsid w:val="62083543"/>
    <w:rsid w:val="621023F8"/>
    <w:rsid w:val="62123618"/>
    <w:rsid w:val="621B3775"/>
    <w:rsid w:val="6227291A"/>
    <w:rsid w:val="62272D3E"/>
    <w:rsid w:val="622C5484"/>
    <w:rsid w:val="62305CA3"/>
    <w:rsid w:val="62355DE3"/>
    <w:rsid w:val="623622E8"/>
    <w:rsid w:val="62364782"/>
    <w:rsid w:val="623E7365"/>
    <w:rsid w:val="62485429"/>
    <w:rsid w:val="625A74DD"/>
    <w:rsid w:val="625B3673"/>
    <w:rsid w:val="626369CC"/>
    <w:rsid w:val="6278337F"/>
    <w:rsid w:val="627E55B4"/>
    <w:rsid w:val="628A3F58"/>
    <w:rsid w:val="629343BE"/>
    <w:rsid w:val="629F09D1"/>
    <w:rsid w:val="62A36DC8"/>
    <w:rsid w:val="62A72D5C"/>
    <w:rsid w:val="62D13F91"/>
    <w:rsid w:val="62D653F0"/>
    <w:rsid w:val="62DB0C58"/>
    <w:rsid w:val="62DF24F6"/>
    <w:rsid w:val="62E01AAE"/>
    <w:rsid w:val="62E33669"/>
    <w:rsid w:val="62E864D0"/>
    <w:rsid w:val="62E93375"/>
    <w:rsid w:val="62F20DD5"/>
    <w:rsid w:val="62FF792E"/>
    <w:rsid w:val="6300246C"/>
    <w:rsid w:val="630932C0"/>
    <w:rsid w:val="630E06AB"/>
    <w:rsid w:val="631877B6"/>
    <w:rsid w:val="63267317"/>
    <w:rsid w:val="633E6EDE"/>
    <w:rsid w:val="63421592"/>
    <w:rsid w:val="63464323"/>
    <w:rsid w:val="635456C4"/>
    <w:rsid w:val="635736CC"/>
    <w:rsid w:val="636B1083"/>
    <w:rsid w:val="636D5D54"/>
    <w:rsid w:val="636E0A52"/>
    <w:rsid w:val="638D6ECA"/>
    <w:rsid w:val="63927568"/>
    <w:rsid w:val="6394356A"/>
    <w:rsid w:val="63AD1B70"/>
    <w:rsid w:val="63B53257"/>
    <w:rsid w:val="63B854D2"/>
    <w:rsid w:val="63B868A3"/>
    <w:rsid w:val="63BE20DB"/>
    <w:rsid w:val="63C61B2C"/>
    <w:rsid w:val="63C66B93"/>
    <w:rsid w:val="63D17CE2"/>
    <w:rsid w:val="63D40BE9"/>
    <w:rsid w:val="63DF040F"/>
    <w:rsid w:val="63E3542C"/>
    <w:rsid w:val="63FD42B6"/>
    <w:rsid w:val="64002BE9"/>
    <w:rsid w:val="640D4E41"/>
    <w:rsid w:val="64102431"/>
    <w:rsid w:val="641461CF"/>
    <w:rsid w:val="64177A6E"/>
    <w:rsid w:val="6420238B"/>
    <w:rsid w:val="64216B3E"/>
    <w:rsid w:val="642A2DA9"/>
    <w:rsid w:val="643336D4"/>
    <w:rsid w:val="64451E1C"/>
    <w:rsid w:val="644D4F80"/>
    <w:rsid w:val="645E62AD"/>
    <w:rsid w:val="64662B1A"/>
    <w:rsid w:val="6468651B"/>
    <w:rsid w:val="646B6454"/>
    <w:rsid w:val="64923598"/>
    <w:rsid w:val="64941876"/>
    <w:rsid w:val="64A5243A"/>
    <w:rsid w:val="64B27796"/>
    <w:rsid w:val="64D37E39"/>
    <w:rsid w:val="64D4770D"/>
    <w:rsid w:val="64DE18E8"/>
    <w:rsid w:val="64E33DF4"/>
    <w:rsid w:val="64F46001"/>
    <w:rsid w:val="64F531DE"/>
    <w:rsid w:val="64FE478A"/>
    <w:rsid w:val="650357D0"/>
    <w:rsid w:val="65077AE2"/>
    <w:rsid w:val="651601FB"/>
    <w:rsid w:val="651B1728"/>
    <w:rsid w:val="652B3C53"/>
    <w:rsid w:val="65373578"/>
    <w:rsid w:val="654900FB"/>
    <w:rsid w:val="655645C6"/>
    <w:rsid w:val="655B1FE0"/>
    <w:rsid w:val="655C5A01"/>
    <w:rsid w:val="655F03DC"/>
    <w:rsid w:val="655F347A"/>
    <w:rsid w:val="65646CE3"/>
    <w:rsid w:val="65654809"/>
    <w:rsid w:val="657D1029"/>
    <w:rsid w:val="65882A82"/>
    <w:rsid w:val="658B4A39"/>
    <w:rsid w:val="65954D6B"/>
    <w:rsid w:val="65976984"/>
    <w:rsid w:val="65984BDE"/>
    <w:rsid w:val="659D28D8"/>
    <w:rsid w:val="65AD5D5E"/>
    <w:rsid w:val="65B072E2"/>
    <w:rsid w:val="65B512EC"/>
    <w:rsid w:val="65B6475E"/>
    <w:rsid w:val="65DF0A5F"/>
    <w:rsid w:val="65E816C2"/>
    <w:rsid w:val="65EB0A60"/>
    <w:rsid w:val="6601121B"/>
    <w:rsid w:val="66024B2B"/>
    <w:rsid w:val="660364FC"/>
    <w:rsid w:val="6607273D"/>
    <w:rsid w:val="660A368A"/>
    <w:rsid w:val="661A0661"/>
    <w:rsid w:val="661B7F19"/>
    <w:rsid w:val="66212E26"/>
    <w:rsid w:val="66285F62"/>
    <w:rsid w:val="66317058"/>
    <w:rsid w:val="66342FEC"/>
    <w:rsid w:val="66344907"/>
    <w:rsid w:val="66383CCB"/>
    <w:rsid w:val="663A30CA"/>
    <w:rsid w:val="66447F69"/>
    <w:rsid w:val="66455262"/>
    <w:rsid w:val="666F5074"/>
    <w:rsid w:val="66800CB5"/>
    <w:rsid w:val="66843DD5"/>
    <w:rsid w:val="66AB0941"/>
    <w:rsid w:val="66B75538"/>
    <w:rsid w:val="66BE6020"/>
    <w:rsid w:val="66C043ED"/>
    <w:rsid w:val="66D41C46"/>
    <w:rsid w:val="66D44878"/>
    <w:rsid w:val="66D87988"/>
    <w:rsid w:val="66DF23AF"/>
    <w:rsid w:val="66E520A5"/>
    <w:rsid w:val="66F3668F"/>
    <w:rsid w:val="66F70A93"/>
    <w:rsid w:val="671101BE"/>
    <w:rsid w:val="6714713A"/>
    <w:rsid w:val="671D35ED"/>
    <w:rsid w:val="671F124A"/>
    <w:rsid w:val="673D77EB"/>
    <w:rsid w:val="67414BB2"/>
    <w:rsid w:val="67455F68"/>
    <w:rsid w:val="675130E9"/>
    <w:rsid w:val="6753700F"/>
    <w:rsid w:val="6757570C"/>
    <w:rsid w:val="67591430"/>
    <w:rsid w:val="67702502"/>
    <w:rsid w:val="67753429"/>
    <w:rsid w:val="677A33C6"/>
    <w:rsid w:val="678B3B2D"/>
    <w:rsid w:val="678C0773"/>
    <w:rsid w:val="678E6299"/>
    <w:rsid w:val="67915D89"/>
    <w:rsid w:val="67B1720A"/>
    <w:rsid w:val="67C717AB"/>
    <w:rsid w:val="67D0065F"/>
    <w:rsid w:val="67D04C04"/>
    <w:rsid w:val="67D939B4"/>
    <w:rsid w:val="67E416FE"/>
    <w:rsid w:val="67EF2A24"/>
    <w:rsid w:val="67F27B00"/>
    <w:rsid w:val="67F57A19"/>
    <w:rsid w:val="680B1697"/>
    <w:rsid w:val="68112A26"/>
    <w:rsid w:val="681744E0"/>
    <w:rsid w:val="681A370C"/>
    <w:rsid w:val="681F5143"/>
    <w:rsid w:val="681F6961"/>
    <w:rsid w:val="68273978"/>
    <w:rsid w:val="68297D70"/>
    <w:rsid w:val="683B72E1"/>
    <w:rsid w:val="68610A2F"/>
    <w:rsid w:val="68805514"/>
    <w:rsid w:val="688651C2"/>
    <w:rsid w:val="688B219F"/>
    <w:rsid w:val="68921DB9"/>
    <w:rsid w:val="68936099"/>
    <w:rsid w:val="689C49E5"/>
    <w:rsid w:val="68A40554"/>
    <w:rsid w:val="68A67CFB"/>
    <w:rsid w:val="68A815DC"/>
    <w:rsid w:val="68B34101"/>
    <w:rsid w:val="68BD5B1A"/>
    <w:rsid w:val="68C12D2C"/>
    <w:rsid w:val="68CD07B5"/>
    <w:rsid w:val="68D91796"/>
    <w:rsid w:val="68E97798"/>
    <w:rsid w:val="68EE5CE8"/>
    <w:rsid w:val="68F6059A"/>
    <w:rsid w:val="68F91E38"/>
    <w:rsid w:val="690802CD"/>
    <w:rsid w:val="690F51B7"/>
    <w:rsid w:val="69277674"/>
    <w:rsid w:val="692A1FE3"/>
    <w:rsid w:val="692C5BC4"/>
    <w:rsid w:val="692F369E"/>
    <w:rsid w:val="69311CCB"/>
    <w:rsid w:val="69316E2F"/>
    <w:rsid w:val="6933534A"/>
    <w:rsid w:val="693C3AD3"/>
    <w:rsid w:val="69405234"/>
    <w:rsid w:val="694E2071"/>
    <w:rsid w:val="69584DB0"/>
    <w:rsid w:val="69594684"/>
    <w:rsid w:val="695A25BD"/>
    <w:rsid w:val="69750F1B"/>
    <w:rsid w:val="69766163"/>
    <w:rsid w:val="697A3B33"/>
    <w:rsid w:val="697D748A"/>
    <w:rsid w:val="69943F9A"/>
    <w:rsid w:val="69981651"/>
    <w:rsid w:val="699851AD"/>
    <w:rsid w:val="699A126A"/>
    <w:rsid w:val="699A7177"/>
    <w:rsid w:val="699B5970"/>
    <w:rsid w:val="699E0E62"/>
    <w:rsid w:val="69A41DA4"/>
    <w:rsid w:val="69B80FA9"/>
    <w:rsid w:val="69BD10B7"/>
    <w:rsid w:val="69CB138A"/>
    <w:rsid w:val="69D44760"/>
    <w:rsid w:val="69DA3FE1"/>
    <w:rsid w:val="69DA7573"/>
    <w:rsid w:val="69DB1359"/>
    <w:rsid w:val="69DF102E"/>
    <w:rsid w:val="69E11994"/>
    <w:rsid w:val="69E93615"/>
    <w:rsid w:val="69F16F5E"/>
    <w:rsid w:val="6A024D1C"/>
    <w:rsid w:val="6A060132"/>
    <w:rsid w:val="6A060785"/>
    <w:rsid w:val="6A06480C"/>
    <w:rsid w:val="6A082C8B"/>
    <w:rsid w:val="6A152CA1"/>
    <w:rsid w:val="6A206B82"/>
    <w:rsid w:val="6A2B4D5A"/>
    <w:rsid w:val="6A2C1D99"/>
    <w:rsid w:val="6A3274DB"/>
    <w:rsid w:val="6A374E86"/>
    <w:rsid w:val="6A520EC7"/>
    <w:rsid w:val="6A5F2D69"/>
    <w:rsid w:val="6A633A0D"/>
    <w:rsid w:val="6A6652AB"/>
    <w:rsid w:val="6A6E249E"/>
    <w:rsid w:val="6A7B38A6"/>
    <w:rsid w:val="6A8B4D12"/>
    <w:rsid w:val="6A8F5AE3"/>
    <w:rsid w:val="6AA14535"/>
    <w:rsid w:val="6AA3205B"/>
    <w:rsid w:val="6AA714FE"/>
    <w:rsid w:val="6AA81420"/>
    <w:rsid w:val="6ABA73A5"/>
    <w:rsid w:val="6AC56093"/>
    <w:rsid w:val="6ACA3A8C"/>
    <w:rsid w:val="6ACF10A2"/>
    <w:rsid w:val="6AF87E20"/>
    <w:rsid w:val="6AF940E0"/>
    <w:rsid w:val="6AFF300A"/>
    <w:rsid w:val="6B1C0AB8"/>
    <w:rsid w:val="6B322639"/>
    <w:rsid w:val="6B3610CD"/>
    <w:rsid w:val="6B376C47"/>
    <w:rsid w:val="6B3970AA"/>
    <w:rsid w:val="6B3F5FB7"/>
    <w:rsid w:val="6B463D2E"/>
    <w:rsid w:val="6B480E55"/>
    <w:rsid w:val="6B511AB7"/>
    <w:rsid w:val="6B52582F"/>
    <w:rsid w:val="6B533A81"/>
    <w:rsid w:val="6B574BF4"/>
    <w:rsid w:val="6B6A0DCB"/>
    <w:rsid w:val="6B6A6E0E"/>
    <w:rsid w:val="6B792DBC"/>
    <w:rsid w:val="6B7C06CC"/>
    <w:rsid w:val="6B7C326E"/>
    <w:rsid w:val="6B8974A3"/>
    <w:rsid w:val="6B8A4FC9"/>
    <w:rsid w:val="6B947BF6"/>
    <w:rsid w:val="6B9E5350"/>
    <w:rsid w:val="6BA0659B"/>
    <w:rsid w:val="6BA95452"/>
    <w:rsid w:val="6BAF2C82"/>
    <w:rsid w:val="6BBB53B4"/>
    <w:rsid w:val="6BE51D9B"/>
    <w:rsid w:val="6BEA1BB5"/>
    <w:rsid w:val="6BEF307E"/>
    <w:rsid w:val="6BF6299B"/>
    <w:rsid w:val="6BFB1AB8"/>
    <w:rsid w:val="6BFC4628"/>
    <w:rsid w:val="6BFE3303"/>
    <w:rsid w:val="6BFF7765"/>
    <w:rsid w:val="6C00528B"/>
    <w:rsid w:val="6C24541E"/>
    <w:rsid w:val="6C2471CC"/>
    <w:rsid w:val="6C256AA0"/>
    <w:rsid w:val="6C2E2018"/>
    <w:rsid w:val="6C326E57"/>
    <w:rsid w:val="6C380520"/>
    <w:rsid w:val="6C496C32"/>
    <w:rsid w:val="6C5008E1"/>
    <w:rsid w:val="6C636C38"/>
    <w:rsid w:val="6C6B11A8"/>
    <w:rsid w:val="6C702411"/>
    <w:rsid w:val="6C7C2B64"/>
    <w:rsid w:val="6C7C7E8A"/>
    <w:rsid w:val="6C9B7D09"/>
    <w:rsid w:val="6C9D2ADA"/>
    <w:rsid w:val="6CA51C88"/>
    <w:rsid w:val="6CBD79F6"/>
    <w:rsid w:val="6CC03A88"/>
    <w:rsid w:val="6CD75FEC"/>
    <w:rsid w:val="6CF179C6"/>
    <w:rsid w:val="6CF272CA"/>
    <w:rsid w:val="6D05528D"/>
    <w:rsid w:val="6D0B3EE8"/>
    <w:rsid w:val="6D132AFC"/>
    <w:rsid w:val="6D140FEE"/>
    <w:rsid w:val="6D1B05CF"/>
    <w:rsid w:val="6D2241ED"/>
    <w:rsid w:val="6D52463D"/>
    <w:rsid w:val="6D526662"/>
    <w:rsid w:val="6D582082"/>
    <w:rsid w:val="6D6111AA"/>
    <w:rsid w:val="6D657A9C"/>
    <w:rsid w:val="6D6A4B3C"/>
    <w:rsid w:val="6D6D4BA2"/>
    <w:rsid w:val="6D6F3CF2"/>
    <w:rsid w:val="6D7B72BF"/>
    <w:rsid w:val="6D934609"/>
    <w:rsid w:val="6D941941"/>
    <w:rsid w:val="6D94212F"/>
    <w:rsid w:val="6D9E2A69"/>
    <w:rsid w:val="6DA92B20"/>
    <w:rsid w:val="6DAA1F76"/>
    <w:rsid w:val="6DB34098"/>
    <w:rsid w:val="6DB545B6"/>
    <w:rsid w:val="6DB60C4F"/>
    <w:rsid w:val="6DBB76BC"/>
    <w:rsid w:val="6DBE0F5A"/>
    <w:rsid w:val="6DBE53FE"/>
    <w:rsid w:val="6DC42A14"/>
    <w:rsid w:val="6DC5334B"/>
    <w:rsid w:val="6DCB6CEA"/>
    <w:rsid w:val="6DCE5641"/>
    <w:rsid w:val="6DD15131"/>
    <w:rsid w:val="6DD662A4"/>
    <w:rsid w:val="6DE02FB4"/>
    <w:rsid w:val="6DE21869"/>
    <w:rsid w:val="6DF245B9"/>
    <w:rsid w:val="6DF80910"/>
    <w:rsid w:val="6DFB21AE"/>
    <w:rsid w:val="6E054DDB"/>
    <w:rsid w:val="6E0E0E0B"/>
    <w:rsid w:val="6E276E8A"/>
    <w:rsid w:val="6E3D27C7"/>
    <w:rsid w:val="6E510020"/>
    <w:rsid w:val="6E51210E"/>
    <w:rsid w:val="6E514CED"/>
    <w:rsid w:val="6E58025B"/>
    <w:rsid w:val="6E597B85"/>
    <w:rsid w:val="6E6715F2"/>
    <w:rsid w:val="6E6934E7"/>
    <w:rsid w:val="6E6B2E90"/>
    <w:rsid w:val="6E6C2030"/>
    <w:rsid w:val="6E702D0B"/>
    <w:rsid w:val="6E7B6E4B"/>
    <w:rsid w:val="6E7D0E15"/>
    <w:rsid w:val="6E81433E"/>
    <w:rsid w:val="6E8403F6"/>
    <w:rsid w:val="6E84712D"/>
    <w:rsid w:val="6E9C74ED"/>
    <w:rsid w:val="6E9D2AAE"/>
    <w:rsid w:val="6EAE3EAA"/>
    <w:rsid w:val="6EB563D5"/>
    <w:rsid w:val="6EBB05F6"/>
    <w:rsid w:val="6EBE1B99"/>
    <w:rsid w:val="6EBE56B6"/>
    <w:rsid w:val="6EC25149"/>
    <w:rsid w:val="6EC74D03"/>
    <w:rsid w:val="6EC802E2"/>
    <w:rsid w:val="6ED16233"/>
    <w:rsid w:val="6ED92677"/>
    <w:rsid w:val="6EDE7B06"/>
    <w:rsid w:val="6EF2163D"/>
    <w:rsid w:val="6EF32E85"/>
    <w:rsid w:val="6EF50549"/>
    <w:rsid w:val="6EF5262D"/>
    <w:rsid w:val="6EF9270F"/>
    <w:rsid w:val="6F0D2199"/>
    <w:rsid w:val="6F17385C"/>
    <w:rsid w:val="6F1810D0"/>
    <w:rsid w:val="6F225983"/>
    <w:rsid w:val="6F286FD3"/>
    <w:rsid w:val="6F287D25"/>
    <w:rsid w:val="6F3B6D06"/>
    <w:rsid w:val="6F415205"/>
    <w:rsid w:val="6F4240ED"/>
    <w:rsid w:val="6F523856"/>
    <w:rsid w:val="6F63625D"/>
    <w:rsid w:val="6F79513C"/>
    <w:rsid w:val="6F910920"/>
    <w:rsid w:val="6F9155B8"/>
    <w:rsid w:val="6F963F3C"/>
    <w:rsid w:val="6F9B77A5"/>
    <w:rsid w:val="6F9C52CB"/>
    <w:rsid w:val="6F9D48C5"/>
    <w:rsid w:val="6F9F7969"/>
    <w:rsid w:val="6FAE4E88"/>
    <w:rsid w:val="6FB40867"/>
    <w:rsid w:val="6FC0720B"/>
    <w:rsid w:val="6FD73DA0"/>
    <w:rsid w:val="6FDC1B6B"/>
    <w:rsid w:val="6FFC5590"/>
    <w:rsid w:val="6FFD220E"/>
    <w:rsid w:val="700058F0"/>
    <w:rsid w:val="701B28B0"/>
    <w:rsid w:val="703419A7"/>
    <w:rsid w:val="704143DA"/>
    <w:rsid w:val="704A4D27"/>
    <w:rsid w:val="70597200"/>
    <w:rsid w:val="70643A4D"/>
    <w:rsid w:val="706933FF"/>
    <w:rsid w:val="706D1DD0"/>
    <w:rsid w:val="708244C1"/>
    <w:rsid w:val="70856B87"/>
    <w:rsid w:val="708C17E3"/>
    <w:rsid w:val="708F339A"/>
    <w:rsid w:val="70922116"/>
    <w:rsid w:val="7093199C"/>
    <w:rsid w:val="709A5CAE"/>
    <w:rsid w:val="709D754D"/>
    <w:rsid w:val="709F5073"/>
    <w:rsid w:val="70BF260C"/>
    <w:rsid w:val="70C60851"/>
    <w:rsid w:val="70C95A75"/>
    <w:rsid w:val="70D31CE1"/>
    <w:rsid w:val="70D32F6E"/>
    <w:rsid w:val="70D421D0"/>
    <w:rsid w:val="70D527EE"/>
    <w:rsid w:val="710475CC"/>
    <w:rsid w:val="710650F2"/>
    <w:rsid w:val="71121CE9"/>
    <w:rsid w:val="71213CDA"/>
    <w:rsid w:val="712233AE"/>
    <w:rsid w:val="71297032"/>
    <w:rsid w:val="713F3D33"/>
    <w:rsid w:val="714300F4"/>
    <w:rsid w:val="71490244"/>
    <w:rsid w:val="714B11BF"/>
    <w:rsid w:val="71594B6E"/>
    <w:rsid w:val="715B5300"/>
    <w:rsid w:val="715C7591"/>
    <w:rsid w:val="7169742F"/>
    <w:rsid w:val="71804EA4"/>
    <w:rsid w:val="71A36DE5"/>
    <w:rsid w:val="71A839A9"/>
    <w:rsid w:val="71B26AD7"/>
    <w:rsid w:val="71B40089"/>
    <w:rsid w:val="71B40FF2"/>
    <w:rsid w:val="71B82B42"/>
    <w:rsid w:val="71D27F8A"/>
    <w:rsid w:val="71DD22F7"/>
    <w:rsid w:val="71E05943"/>
    <w:rsid w:val="71E371E1"/>
    <w:rsid w:val="71EA67C2"/>
    <w:rsid w:val="71FB5ABE"/>
    <w:rsid w:val="72037883"/>
    <w:rsid w:val="720F23F1"/>
    <w:rsid w:val="72135E5F"/>
    <w:rsid w:val="723932A5"/>
    <w:rsid w:val="723F1AF6"/>
    <w:rsid w:val="72411764"/>
    <w:rsid w:val="724E4FA2"/>
    <w:rsid w:val="72553024"/>
    <w:rsid w:val="72587BCF"/>
    <w:rsid w:val="726A345E"/>
    <w:rsid w:val="726B17C6"/>
    <w:rsid w:val="726C4512"/>
    <w:rsid w:val="726D142B"/>
    <w:rsid w:val="727662A7"/>
    <w:rsid w:val="728409C4"/>
    <w:rsid w:val="72842772"/>
    <w:rsid w:val="72A1635F"/>
    <w:rsid w:val="72A72905"/>
    <w:rsid w:val="72C80C35"/>
    <w:rsid w:val="72DA014C"/>
    <w:rsid w:val="72E27499"/>
    <w:rsid w:val="72EB590D"/>
    <w:rsid w:val="72FD42D3"/>
    <w:rsid w:val="730B4C41"/>
    <w:rsid w:val="730E3FE8"/>
    <w:rsid w:val="730F10D1"/>
    <w:rsid w:val="73122968"/>
    <w:rsid w:val="7318735E"/>
    <w:rsid w:val="731F5D5E"/>
    <w:rsid w:val="731F693F"/>
    <w:rsid w:val="732301DD"/>
    <w:rsid w:val="73235A27"/>
    <w:rsid w:val="73245D03"/>
    <w:rsid w:val="732D5129"/>
    <w:rsid w:val="732D52DF"/>
    <w:rsid w:val="734B3290"/>
    <w:rsid w:val="734C7A8B"/>
    <w:rsid w:val="7356225B"/>
    <w:rsid w:val="735F4F8D"/>
    <w:rsid w:val="7362321D"/>
    <w:rsid w:val="73642610"/>
    <w:rsid w:val="736E4946"/>
    <w:rsid w:val="7370719A"/>
    <w:rsid w:val="73715DD6"/>
    <w:rsid w:val="73742472"/>
    <w:rsid w:val="73750FEF"/>
    <w:rsid w:val="737E18B7"/>
    <w:rsid w:val="73AA41B8"/>
    <w:rsid w:val="73AA69D4"/>
    <w:rsid w:val="73B21561"/>
    <w:rsid w:val="73C51AD5"/>
    <w:rsid w:val="73DB2866"/>
    <w:rsid w:val="73E32257"/>
    <w:rsid w:val="73E334C8"/>
    <w:rsid w:val="73EA052A"/>
    <w:rsid w:val="73F25E01"/>
    <w:rsid w:val="740250A2"/>
    <w:rsid w:val="74086CFF"/>
    <w:rsid w:val="740A4EF9"/>
    <w:rsid w:val="741B2C62"/>
    <w:rsid w:val="741E793C"/>
    <w:rsid w:val="74202C97"/>
    <w:rsid w:val="744526F6"/>
    <w:rsid w:val="74584F5A"/>
    <w:rsid w:val="745E3944"/>
    <w:rsid w:val="746F2FAE"/>
    <w:rsid w:val="747A3995"/>
    <w:rsid w:val="747F58E7"/>
    <w:rsid w:val="747F7695"/>
    <w:rsid w:val="748D30FC"/>
    <w:rsid w:val="7499400E"/>
    <w:rsid w:val="74996C40"/>
    <w:rsid w:val="74A0585D"/>
    <w:rsid w:val="74A27A84"/>
    <w:rsid w:val="74A628A0"/>
    <w:rsid w:val="74B3733F"/>
    <w:rsid w:val="74B5463B"/>
    <w:rsid w:val="74BE4029"/>
    <w:rsid w:val="74CA6452"/>
    <w:rsid w:val="74CC6652"/>
    <w:rsid w:val="74F040EF"/>
    <w:rsid w:val="74FE759E"/>
    <w:rsid w:val="75000178"/>
    <w:rsid w:val="75057441"/>
    <w:rsid w:val="7516167C"/>
    <w:rsid w:val="75173427"/>
    <w:rsid w:val="75267D78"/>
    <w:rsid w:val="75377F70"/>
    <w:rsid w:val="754461E9"/>
    <w:rsid w:val="754B3A1B"/>
    <w:rsid w:val="755F5FDC"/>
    <w:rsid w:val="75661F2A"/>
    <w:rsid w:val="75721A76"/>
    <w:rsid w:val="757950D3"/>
    <w:rsid w:val="75842A89"/>
    <w:rsid w:val="758F6705"/>
    <w:rsid w:val="759068E8"/>
    <w:rsid w:val="759233F8"/>
    <w:rsid w:val="75924FB3"/>
    <w:rsid w:val="759E0F0F"/>
    <w:rsid w:val="759E3B4B"/>
    <w:rsid w:val="75A35605"/>
    <w:rsid w:val="75BC52D2"/>
    <w:rsid w:val="75C80BC8"/>
    <w:rsid w:val="75D42376"/>
    <w:rsid w:val="75DB6F21"/>
    <w:rsid w:val="75DE488F"/>
    <w:rsid w:val="75F145C2"/>
    <w:rsid w:val="75FE6CDF"/>
    <w:rsid w:val="760360A4"/>
    <w:rsid w:val="760B4F58"/>
    <w:rsid w:val="76132F33"/>
    <w:rsid w:val="761B26DB"/>
    <w:rsid w:val="761C7166"/>
    <w:rsid w:val="761E4C8C"/>
    <w:rsid w:val="76287024"/>
    <w:rsid w:val="7635099D"/>
    <w:rsid w:val="76373F9F"/>
    <w:rsid w:val="764B35A7"/>
    <w:rsid w:val="766B2934"/>
    <w:rsid w:val="7677439C"/>
    <w:rsid w:val="76777C07"/>
    <w:rsid w:val="76780840"/>
    <w:rsid w:val="76944F4E"/>
    <w:rsid w:val="76A416AB"/>
    <w:rsid w:val="76AF7FDA"/>
    <w:rsid w:val="76B81ECA"/>
    <w:rsid w:val="76B92C06"/>
    <w:rsid w:val="76BE1FCB"/>
    <w:rsid w:val="76CA0970"/>
    <w:rsid w:val="76CA4E14"/>
    <w:rsid w:val="76CC5BC2"/>
    <w:rsid w:val="76D27D1B"/>
    <w:rsid w:val="76E77774"/>
    <w:rsid w:val="76F679B7"/>
    <w:rsid w:val="76FB6D7B"/>
    <w:rsid w:val="76FF4961"/>
    <w:rsid w:val="7702262F"/>
    <w:rsid w:val="770B1E2E"/>
    <w:rsid w:val="77193CE8"/>
    <w:rsid w:val="771A18F7"/>
    <w:rsid w:val="772269FE"/>
    <w:rsid w:val="77251E38"/>
    <w:rsid w:val="77344372"/>
    <w:rsid w:val="77534E09"/>
    <w:rsid w:val="775E2AF9"/>
    <w:rsid w:val="776028B6"/>
    <w:rsid w:val="776B3F01"/>
    <w:rsid w:val="7774302C"/>
    <w:rsid w:val="77762421"/>
    <w:rsid w:val="77822FF8"/>
    <w:rsid w:val="77A127E1"/>
    <w:rsid w:val="77A6275A"/>
    <w:rsid w:val="77B07B65"/>
    <w:rsid w:val="77B56B1F"/>
    <w:rsid w:val="77B873FF"/>
    <w:rsid w:val="77C22B7A"/>
    <w:rsid w:val="77C47AB5"/>
    <w:rsid w:val="77C55396"/>
    <w:rsid w:val="77CB2BF1"/>
    <w:rsid w:val="77CD7DF1"/>
    <w:rsid w:val="77D45F4A"/>
    <w:rsid w:val="77D543BA"/>
    <w:rsid w:val="77E14B4F"/>
    <w:rsid w:val="77EB5041"/>
    <w:rsid w:val="77EC3E8D"/>
    <w:rsid w:val="77F2017E"/>
    <w:rsid w:val="77FC0D3A"/>
    <w:rsid w:val="780D360D"/>
    <w:rsid w:val="780F09F4"/>
    <w:rsid w:val="78234083"/>
    <w:rsid w:val="782A10A4"/>
    <w:rsid w:val="782A3DBC"/>
    <w:rsid w:val="782B18E2"/>
    <w:rsid w:val="78325843"/>
    <w:rsid w:val="784B5AE0"/>
    <w:rsid w:val="78571C40"/>
    <w:rsid w:val="78663F8F"/>
    <w:rsid w:val="787978D1"/>
    <w:rsid w:val="787B45B2"/>
    <w:rsid w:val="788334CC"/>
    <w:rsid w:val="78850FF2"/>
    <w:rsid w:val="788736F7"/>
    <w:rsid w:val="78A90480"/>
    <w:rsid w:val="78B418D7"/>
    <w:rsid w:val="78B47B29"/>
    <w:rsid w:val="78BD247C"/>
    <w:rsid w:val="78C37D6C"/>
    <w:rsid w:val="78D439AE"/>
    <w:rsid w:val="78E73A5B"/>
    <w:rsid w:val="78EA354B"/>
    <w:rsid w:val="78EE303B"/>
    <w:rsid w:val="790B5DC1"/>
    <w:rsid w:val="790C1713"/>
    <w:rsid w:val="790E2D96"/>
    <w:rsid w:val="79142376"/>
    <w:rsid w:val="7919698C"/>
    <w:rsid w:val="791E4FA3"/>
    <w:rsid w:val="79205380"/>
    <w:rsid w:val="79240F16"/>
    <w:rsid w:val="794D4C08"/>
    <w:rsid w:val="79537F3F"/>
    <w:rsid w:val="795D2923"/>
    <w:rsid w:val="795E2CD5"/>
    <w:rsid w:val="796110D2"/>
    <w:rsid w:val="796450AB"/>
    <w:rsid w:val="796A6A86"/>
    <w:rsid w:val="796D74E8"/>
    <w:rsid w:val="79711576"/>
    <w:rsid w:val="79723C00"/>
    <w:rsid w:val="79882B42"/>
    <w:rsid w:val="798922B6"/>
    <w:rsid w:val="798D67CE"/>
    <w:rsid w:val="7991260D"/>
    <w:rsid w:val="799314ED"/>
    <w:rsid w:val="79A27982"/>
    <w:rsid w:val="79A6682F"/>
    <w:rsid w:val="79A951B4"/>
    <w:rsid w:val="79C63670"/>
    <w:rsid w:val="79C8388C"/>
    <w:rsid w:val="79D805DD"/>
    <w:rsid w:val="79E1494E"/>
    <w:rsid w:val="79E74049"/>
    <w:rsid w:val="79EB30D7"/>
    <w:rsid w:val="79EB757B"/>
    <w:rsid w:val="79EE2A5F"/>
    <w:rsid w:val="79F93A46"/>
    <w:rsid w:val="79FB4D02"/>
    <w:rsid w:val="7A066163"/>
    <w:rsid w:val="7A0C4D21"/>
    <w:rsid w:val="7A1D20E5"/>
    <w:rsid w:val="7A320D06"/>
    <w:rsid w:val="7A364017"/>
    <w:rsid w:val="7A377612"/>
    <w:rsid w:val="7A3A3373"/>
    <w:rsid w:val="7A3E3B4E"/>
    <w:rsid w:val="7A4F27B3"/>
    <w:rsid w:val="7A5E5F9F"/>
    <w:rsid w:val="7A6D2D01"/>
    <w:rsid w:val="7A6F7B00"/>
    <w:rsid w:val="7A707A80"/>
    <w:rsid w:val="7A745551"/>
    <w:rsid w:val="7A8265E1"/>
    <w:rsid w:val="7A884DCA"/>
    <w:rsid w:val="7A8F139B"/>
    <w:rsid w:val="7ABB6F4D"/>
    <w:rsid w:val="7ACD6C80"/>
    <w:rsid w:val="7ADE59BA"/>
    <w:rsid w:val="7AEC5358"/>
    <w:rsid w:val="7AF45EAA"/>
    <w:rsid w:val="7B020C68"/>
    <w:rsid w:val="7B1F6DB5"/>
    <w:rsid w:val="7B346CFF"/>
    <w:rsid w:val="7B3D06D4"/>
    <w:rsid w:val="7B461379"/>
    <w:rsid w:val="7B4C1A2E"/>
    <w:rsid w:val="7B535713"/>
    <w:rsid w:val="7B542EFE"/>
    <w:rsid w:val="7B544DE1"/>
    <w:rsid w:val="7B5B49DF"/>
    <w:rsid w:val="7B686D42"/>
    <w:rsid w:val="7B6C46EB"/>
    <w:rsid w:val="7B7315D6"/>
    <w:rsid w:val="7B7A2964"/>
    <w:rsid w:val="7B7D678D"/>
    <w:rsid w:val="7B7E7CBD"/>
    <w:rsid w:val="7B7F441F"/>
    <w:rsid w:val="7B841746"/>
    <w:rsid w:val="7B915F00"/>
    <w:rsid w:val="7B9B28DB"/>
    <w:rsid w:val="7BA619AB"/>
    <w:rsid w:val="7BAA061D"/>
    <w:rsid w:val="7BB96FE3"/>
    <w:rsid w:val="7BD4261A"/>
    <w:rsid w:val="7BE52CD1"/>
    <w:rsid w:val="7C08168C"/>
    <w:rsid w:val="7C0B3F04"/>
    <w:rsid w:val="7C0B6314"/>
    <w:rsid w:val="7C23124E"/>
    <w:rsid w:val="7C280612"/>
    <w:rsid w:val="7C2B3597"/>
    <w:rsid w:val="7C43482E"/>
    <w:rsid w:val="7C5238E1"/>
    <w:rsid w:val="7C596A1E"/>
    <w:rsid w:val="7C6A471C"/>
    <w:rsid w:val="7C6C5AC7"/>
    <w:rsid w:val="7C7A4BE6"/>
    <w:rsid w:val="7C7B691F"/>
    <w:rsid w:val="7C7B6CED"/>
    <w:rsid w:val="7C8141C6"/>
    <w:rsid w:val="7C815F74"/>
    <w:rsid w:val="7C9E7C51"/>
    <w:rsid w:val="7CA4405F"/>
    <w:rsid w:val="7CA823A0"/>
    <w:rsid w:val="7CA852AF"/>
    <w:rsid w:val="7CC6544B"/>
    <w:rsid w:val="7CCF4F32"/>
    <w:rsid w:val="7CD04806"/>
    <w:rsid w:val="7CD2057E"/>
    <w:rsid w:val="7CDD764F"/>
    <w:rsid w:val="7CE02C9B"/>
    <w:rsid w:val="7CE1085B"/>
    <w:rsid w:val="7CEC1640"/>
    <w:rsid w:val="7CEE7975"/>
    <w:rsid w:val="7CF404F4"/>
    <w:rsid w:val="7CFB0C9E"/>
    <w:rsid w:val="7CFB7AD5"/>
    <w:rsid w:val="7D0239FF"/>
    <w:rsid w:val="7D1C2C77"/>
    <w:rsid w:val="7D3D00ED"/>
    <w:rsid w:val="7D45234D"/>
    <w:rsid w:val="7D473F98"/>
    <w:rsid w:val="7D513B99"/>
    <w:rsid w:val="7D5351D9"/>
    <w:rsid w:val="7D5471E5"/>
    <w:rsid w:val="7D5E40CD"/>
    <w:rsid w:val="7D605B8A"/>
    <w:rsid w:val="7D620E06"/>
    <w:rsid w:val="7D6733BC"/>
    <w:rsid w:val="7D762D8F"/>
    <w:rsid w:val="7D80622C"/>
    <w:rsid w:val="7D821FA4"/>
    <w:rsid w:val="7D843F76"/>
    <w:rsid w:val="7D84755A"/>
    <w:rsid w:val="7D8A4E5E"/>
    <w:rsid w:val="7D9237C6"/>
    <w:rsid w:val="7DA55C93"/>
    <w:rsid w:val="7DB72754"/>
    <w:rsid w:val="7DB75640"/>
    <w:rsid w:val="7DBF6D54"/>
    <w:rsid w:val="7DC84E92"/>
    <w:rsid w:val="7DCD56F2"/>
    <w:rsid w:val="7DD204B6"/>
    <w:rsid w:val="7DDA2983"/>
    <w:rsid w:val="7DDB6EBC"/>
    <w:rsid w:val="7DE0456D"/>
    <w:rsid w:val="7DE72C5C"/>
    <w:rsid w:val="7E040C0B"/>
    <w:rsid w:val="7E1A10DE"/>
    <w:rsid w:val="7E1A7A97"/>
    <w:rsid w:val="7E215319"/>
    <w:rsid w:val="7E244E09"/>
    <w:rsid w:val="7E3037AE"/>
    <w:rsid w:val="7E3F3803"/>
    <w:rsid w:val="7E3F7E95"/>
    <w:rsid w:val="7E525E1A"/>
    <w:rsid w:val="7E6301C0"/>
    <w:rsid w:val="7E6D4A6E"/>
    <w:rsid w:val="7E7127D3"/>
    <w:rsid w:val="7E837D82"/>
    <w:rsid w:val="7E8E2D23"/>
    <w:rsid w:val="7E955D07"/>
    <w:rsid w:val="7EA45F4A"/>
    <w:rsid w:val="7EAF0B77"/>
    <w:rsid w:val="7EB048EF"/>
    <w:rsid w:val="7ED05532"/>
    <w:rsid w:val="7ED44C97"/>
    <w:rsid w:val="7EE84089"/>
    <w:rsid w:val="7EF76873"/>
    <w:rsid w:val="7F001CE7"/>
    <w:rsid w:val="7F0A2D7C"/>
    <w:rsid w:val="7F182BC0"/>
    <w:rsid w:val="7F191A5A"/>
    <w:rsid w:val="7F1C6D34"/>
    <w:rsid w:val="7F3379FA"/>
    <w:rsid w:val="7F364DF4"/>
    <w:rsid w:val="7F3A0148"/>
    <w:rsid w:val="7F402117"/>
    <w:rsid w:val="7F475253"/>
    <w:rsid w:val="7F497A68"/>
    <w:rsid w:val="7F4A08A0"/>
    <w:rsid w:val="7F4C0C96"/>
    <w:rsid w:val="7F5636E8"/>
    <w:rsid w:val="7F5E08E1"/>
    <w:rsid w:val="7F5E259D"/>
    <w:rsid w:val="7F6C26A7"/>
    <w:rsid w:val="7F6C4CBA"/>
    <w:rsid w:val="7F6C6A68"/>
    <w:rsid w:val="7F743B6E"/>
    <w:rsid w:val="7F7973D7"/>
    <w:rsid w:val="7F7A5511"/>
    <w:rsid w:val="7F7D0C75"/>
    <w:rsid w:val="7F896D0A"/>
    <w:rsid w:val="7F8C6A29"/>
    <w:rsid w:val="7F8E2E82"/>
    <w:rsid w:val="7F963AE5"/>
    <w:rsid w:val="7F970818"/>
    <w:rsid w:val="7F9B10FB"/>
    <w:rsid w:val="7F9B517E"/>
    <w:rsid w:val="7FAD3976"/>
    <w:rsid w:val="7FB1091F"/>
    <w:rsid w:val="7FB8043E"/>
    <w:rsid w:val="7FCC7507"/>
    <w:rsid w:val="7FDD5BB8"/>
    <w:rsid w:val="7FE47E50"/>
    <w:rsid w:val="7FE72592"/>
    <w:rsid w:val="7FED510C"/>
    <w:rsid w:val="7FED6AD5"/>
    <w:rsid w:val="7FED72E8"/>
    <w:rsid w:val="7FEE7E86"/>
    <w:rsid w:val="7FFD24D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nhideWhenUsed="0" w:uiPriority="1" w:semiHidden="0" w:name="heading 2" w:locked="1"/>
    <w:lsdException w:qFormat="1" w:unhideWhenUsed="0" w:uiPriority="99" w:semiHidden="0" w:name="heading 3" w:locked="1"/>
    <w:lsdException w:qFormat="1" w:unhideWhenUsed="0" w:uiPriority="99"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ocked="1"/>
    <w:lsdException w:unhideWhenUsed="0" w:uiPriority="0" w:semiHidden="0" w:name="index 2" w:locked="1"/>
    <w:lsdException w:unhideWhenUsed="0" w:uiPriority="0" w:semiHidden="0" w:name="index 3" w:locked="1"/>
    <w:lsdException w:unhideWhenUsed="0" w:uiPriority="0" w:semiHidden="0" w:name="index 4" w:locked="1"/>
    <w:lsdException w:unhideWhenUsed="0" w:uiPriority="0" w:semiHidden="0" w:name="index 5" w:locked="1"/>
    <w:lsdException w:unhideWhenUsed="0" w:uiPriority="0" w:semiHidden="0" w:name="index 6" w:locked="1"/>
    <w:lsdException w:unhideWhenUsed="0" w:uiPriority="0" w:semiHidden="0" w:name="index 7" w:locked="1"/>
    <w:lsdException w:unhideWhenUsed="0" w:uiPriority="0" w:semiHidden="0" w:name="index 8" w:locked="1"/>
    <w:lsdException w:unhideWhenUsed="0" w:uiPriority="0" w:semiHidden="0" w:name="index 9" w:locked="1"/>
    <w:lsdException w:qFormat="1" w:unhideWhenUsed="0" w:uiPriority="0" w:semiHidden="0" w:name="toc 1" w:locked="1"/>
    <w:lsdException w:qFormat="1" w:uiPriority="39"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0" w:semiHidden="0" w:name="Normal Indent" w:locked="1"/>
    <w:lsdException w:unhideWhenUsed="0" w:uiPriority="0" w:semiHidden="0" w:name="footnote text" w:locked="1"/>
    <w:lsdException w:qFormat="1" w:unhideWhenUsed="0" w:uiPriority="0" w:name="annotation text"/>
    <w:lsdException w:qFormat="1" w:unhideWhenUsed="0" w:uiPriority="0" w:semiHidden="0" w:name="header"/>
    <w:lsdException w:qFormat="1" w:unhideWhenUsed="0" w:uiPriority="99" w:semiHidden="0" w:name="footer"/>
    <w:lsdException w:qFormat="1" w:unhideWhenUsed="0" w:uiPriority="99" w:semiHidden="0" w:name="index heading" w:locked="1"/>
    <w:lsdException w:qFormat="1" w:unhideWhenUsed="0" w:uiPriority="99" w:semiHidden="0" w:name="caption" w:locked="1"/>
    <w:lsdException w:unhideWhenUsed="0" w:uiPriority="0" w:semiHidden="0" w:name="table of figures" w:locked="1"/>
    <w:lsdException w:unhideWhenUsed="0" w:uiPriority="0" w:semiHidden="0" w:name="envelope address" w:locked="1"/>
    <w:lsdException w:unhideWhenUsed="0" w:uiPriority="0" w:semiHidden="0" w:name="envelope return" w:locked="1"/>
    <w:lsdException w:unhideWhenUsed="0" w:uiPriority="0" w:semiHidden="0" w:name="footnote reference" w:locked="1"/>
    <w:lsdException w:qFormat="1" w:unhideWhenUsed="0" w:uiPriority="0" w:name="annotation reference"/>
    <w:lsdException w:unhideWhenUsed="0" w:uiPriority="0" w:semiHidden="0" w:name="line number" w:locked="1"/>
    <w:lsdException w:qFormat="1" w:unhideWhenUsed="0" w:uiPriority="0" w:semiHidden="0" w:name="page number" w:locked="1"/>
    <w:lsdException w:unhideWhenUsed="0" w:uiPriority="0" w:semiHidden="0" w:name="endnote reference" w:locked="1"/>
    <w:lsdException w:unhideWhenUsed="0" w:uiPriority="0" w:semiHidden="0" w:name="endnote text" w:locked="1"/>
    <w:lsdException w:unhideWhenUsed="0" w:uiPriority="0" w:semiHidden="0" w:name="table of authorities" w:locked="1"/>
    <w:lsdException w:unhideWhenUsed="0" w:uiPriority="0" w:semiHidden="0" w:name="macro" w:locked="1"/>
    <w:lsdException w:unhideWhenUsed="0" w:uiPriority="0" w:semiHidden="0" w:name="toa heading" w:locked="1"/>
    <w:lsdException w:qFormat="1" w:unhideWhenUsed="0" w:uiPriority="0" w:semiHidden="0" w:name="List" w:locked="1"/>
    <w:lsdException w:unhideWhenUsed="0" w:uiPriority="0" w:semiHidden="0" w:name="List Bullet" w:locked="1"/>
    <w:lsdException w:unhideWhenUsed="0" w:uiPriority="0" w:semiHidden="0" w:name="List Number" w:locked="1"/>
    <w:lsdException w:unhideWhenUsed="0" w:uiPriority="0" w:semiHidden="0" w:name="List 2" w:locked="1"/>
    <w:lsdException w:unhideWhenUsed="0" w:uiPriority="0" w:semiHidden="0" w:name="List 3" w:locked="1"/>
    <w:lsdException w:unhideWhenUsed="0" w:uiPriority="0" w:semiHidden="0" w:name="List 4" w:locked="1"/>
    <w:lsdException w:unhideWhenUsed="0" w:uiPriority="0" w:semiHidden="0" w:name="List 5" w:locked="1"/>
    <w:lsdException w:qFormat="1" w:unhideWhenUsed="0" w:uiPriority="0" w:semiHidden="0" w:name="List Bullet 2" w:locked="1"/>
    <w:lsdException w:unhideWhenUsed="0" w:uiPriority="0" w:semiHidden="0" w:name="List Bullet 3" w:locked="1"/>
    <w:lsdException w:unhideWhenUsed="0" w:uiPriority="0" w:semiHidden="0" w:name="List Bullet 4" w:locked="1"/>
    <w:lsdException w:qFormat="1" w:unhideWhenUsed="0" w:uiPriority="0" w:semiHidden="0" w:name="List Bullet 5" w:locked="1"/>
    <w:lsdException w:unhideWhenUsed="0" w:uiPriority="0" w:semiHidden="0" w:name="List Number 2" w:locked="1"/>
    <w:lsdException w:unhideWhenUsed="0" w:uiPriority="0" w:semiHidden="0" w:name="List Number 3" w:locked="1"/>
    <w:lsdException w:unhideWhenUsed="0" w:uiPriority="0" w:semiHidden="0" w:name="List Number 4" w:locked="1"/>
    <w:lsdException w:unhideWhenUsed="0" w:uiPriority="0" w:semiHidden="0" w:name="List Number 5" w:locked="1"/>
    <w:lsdException w:qFormat="1" w:unhideWhenUsed="0" w:uiPriority="0" w:semiHidden="0" w:name="Title" w:locked="1"/>
    <w:lsdException w:unhideWhenUsed="0" w:uiPriority="0" w:semiHidden="0" w:name="Closing" w:locked="1"/>
    <w:lsdException w:unhideWhenUsed="0" w:uiPriority="0" w:semiHidden="0" w:name="Signature" w:locked="1"/>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ocked="1"/>
    <w:lsdException w:unhideWhenUsed="0" w:uiPriority="0" w:semiHidden="0" w:name="List Continue 2" w:locked="1"/>
    <w:lsdException w:unhideWhenUsed="0" w:uiPriority="0" w:semiHidden="0" w:name="List Continue 3" w:locked="1"/>
    <w:lsdException w:unhideWhenUsed="0" w:uiPriority="0" w:semiHidden="0" w:name="List Continue 4" w:locked="1"/>
    <w:lsdException w:unhideWhenUsed="0" w:uiPriority="0" w:semiHidden="0" w:name="List Continue 5" w:locked="1"/>
    <w:lsdException w:unhideWhenUsed="0" w:uiPriority="0" w:semiHidden="0" w:name="Message Header" w:locked="1"/>
    <w:lsdException w:qFormat="1" w:unhideWhenUsed="0" w:uiPriority="0" w:semiHidden="0" w:name="Subtitle" w:locked="1"/>
    <w:lsdException w:unhideWhenUsed="0" w:uiPriority="0" w:semiHidden="0" w:name="Salutation" w:locked="1"/>
    <w:lsdException w:qFormat="1" w:unhideWhenUsed="0" w:uiPriority="0" w:semiHidden="0" w:name="Date"/>
    <w:lsdException w:unhideWhenUsed="0" w:uiPriority="0" w:semiHidden="0" w:name="Body Text First Indent" w:locked="1"/>
    <w:lsdException w:qFormat="1" w:unhideWhenUsed="0" w:uiPriority="0" w:semiHidden="0" w:name="Body Text First Indent 2" w:locked="1"/>
    <w:lsdException w:unhideWhenUsed="0" w:uiPriority="0" w:semiHidden="0" w:name="Note Heading" w:locked="1"/>
    <w:lsdException w:unhideWhenUsed="0" w:uiPriority="0" w:semiHidden="0" w:name="Body Text 2" w:locked="1"/>
    <w:lsdException w:unhideWhenUsed="0" w:uiPriority="0" w:semiHidden="0" w:name="Body Text 3" w:locked="1"/>
    <w:lsdException w:unhideWhenUsed="0" w:uiPriority="0" w:semiHidden="0" w:name="Body Text Indent 2" w:locked="1"/>
    <w:lsdException w:qFormat="1" w:unhideWhenUsed="0" w:uiPriority="0" w:semiHidden="0" w:name="Body Text Indent 3" w:locked="1"/>
    <w:lsdException w:qFormat="1" w:unhideWhenUsed="0" w:uiPriority="0" w:semiHidden="0" w:name="Block Text" w:locked="1"/>
    <w:lsdException w:qFormat="1" w:uiPriority="99" w:semiHidden="0" w:name="Hyperlink" w:locked="1"/>
    <w:lsdException w:unhideWhenUsed="0" w:uiPriority="0" w:semiHidden="0" w:name="FollowedHyperlink" w:locked="1"/>
    <w:lsdException w:qFormat="1" w:unhideWhenUsed="0" w:uiPriority="0" w:semiHidden="0" w:name="Strong" w:locked="1"/>
    <w:lsdException w:qFormat="1" w:unhideWhenUsed="0" w:uiPriority="0" w:semiHidden="0" w:name="Emphasis" w:locked="1"/>
    <w:lsdException w:unhideWhenUsed="0" w:uiPriority="0" w:semiHidden="0" w:name="Document Map" w:locked="1"/>
    <w:lsdException w:qFormat="1" w:unhideWhenUsed="0" w:uiPriority="0" w:semiHidden="0" w:name="Plain Text" w:locked="1"/>
    <w:lsdException w:qFormat="1" w:uiPriority="99" w:semiHidden="0" w:name="E-mail Signature" w:locked="1"/>
    <w:lsdException w:qFormat="1" w:unhideWhenUsed="0" w:uiPriority="0" w:semiHidden="0" w:name="Normal (Web)"/>
    <w:lsdException w:unhideWhenUsed="0" w:uiPriority="0" w:semiHidden="0" w:name="HTML Acronym" w:locked="1"/>
    <w:lsdException w:unhideWhenUsed="0" w:uiPriority="0" w:semiHidden="0" w:name="HTML Address" w:locked="1"/>
    <w:lsdException w:unhideWhenUsed="0" w:uiPriority="0" w:semiHidden="0" w:name="HTML Cite" w:locked="1"/>
    <w:lsdException w:unhideWhenUsed="0" w:uiPriority="0" w:semiHidden="0" w:name="HTML Code" w:locked="1"/>
    <w:lsdException w:unhideWhenUsed="0" w:uiPriority="0" w:semiHidden="0" w:name="HTML Definition" w:locked="1"/>
    <w:lsdException w:unhideWhenUsed="0" w:uiPriority="0" w:semiHidden="0" w:name="HTML Keyboard" w:locked="1"/>
    <w:lsdException w:qFormat="1" w:uiPriority="99" w:semiHidden="0" w:name="HTML Preformatted" w:locked="1"/>
    <w:lsdException w:unhideWhenUsed="0" w:uiPriority="0" w:semiHidden="0" w:name="HTML Sample" w:locked="1"/>
    <w:lsdException w:unhideWhenUsed="0" w:uiPriority="0" w:semiHidden="0" w:name="HTML Typewriter" w:locked="1"/>
    <w:lsdException w:unhideWhenUsed="0" w:uiPriority="0" w:semiHidden="0" w:name="HTML Variable" w:locked="1"/>
    <w:lsdException w:qFormat="1" w:unhideWhenUsed="0" w:uiPriority="0" w:name="Normal Table"/>
    <w:lsdException w:qFormat="1" w:unhideWhenUsed="0" w:uiPriority="0" w:name="annotation subject"/>
    <w:lsdException w:unhideWhenUsed="0" w:uiPriority="0" w:semiHidden="0" w:name="Table Simple 1" w:locked="1"/>
    <w:lsdException w:unhideWhenUsed="0" w:uiPriority="0" w:semiHidden="0" w:name="Table Simple 2" w:locked="1"/>
    <w:lsdException w:unhideWhenUsed="0" w:uiPriority="0" w:semiHidden="0" w:name="Table Simple 3" w:locked="1"/>
    <w:lsdException w:unhideWhenUsed="0" w:uiPriority="0" w:semiHidden="0" w:name="Table Classic 1" w:locked="1"/>
    <w:lsdException w:unhideWhenUsed="0" w:uiPriority="0" w:semiHidden="0" w:name="Table Classic 2" w:locked="1"/>
    <w:lsdException w:unhideWhenUsed="0" w:uiPriority="0" w:semiHidden="0" w:name="Table Classic 3" w:locked="1"/>
    <w:lsdException w:unhideWhenUsed="0" w:uiPriority="0" w:semiHidden="0" w:name="Table Classic 4" w:locked="1"/>
    <w:lsdException w:unhideWhenUsed="0" w:uiPriority="0" w:semiHidden="0" w:name="Table Colorful 1" w:locked="1"/>
    <w:lsdException w:unhideWhenUsed="0" w:uiPriority="0" w:semiHidden="0" w:name="Table Colorful 2" w:locked="1"/>
    <w:lsdException w:unhideWhenUsed="0" w:uiPriority="0" w:semiHidden="0" w:name="Table Colorful 3" w:locked="1"/>
    <w:lsdException w:unhideWhenUsed="0" w:uiPriority="0" w:semiHidden="0" w:name="Table Columns 1" w:locked="1"/>
    <w:lsdException w:unhideWhenUsed="0" w:uiPriority="0" w:semiHidden="0" w:name="Table Columns 2" w:locked="1"/>
    <w:lsdException w:unhideWhenUsed="0" w:uiPriority="0" w:semiHidden="0" w:name="Table Columns 3" w:locked="1"/>
    <w:lsdException w:unhideWhenUsed="0" w:uiPriority="0" w:semiHidden="0" w:name="Table Columns 4" w:locked="1"/>
    <w:lsdException w:unhideWhenUsed="0" w:uiPriority="0" w:semiHidden="0" w:name="Table Columns 5" w:locked="1"/>
    <w:lsdException w:unhideWhenUsed="0" w:uiPriority="0" w:semiHidden="0" w:name="Table Grid 1" w:locked="1"/>
    <w:lsdException w:unhideWhenUsed="0" w:uiPriority="0" w:semiHidden="0" w:name="Table Grid 2" w:locked="1"/>
    <w:lsdException w:unhideWhenUsed="0" w:uiPriority="0" w:semiHidden="0" w:name="Table Grid 3" w:locked="1"/>
    <w:lsdException w:unhideWhenUsed="0" w:uiPriority="0" w:semiHidden="0" w:name="Table Grid 4" w:locked="1"/>
    <w:lsdException w:unhideWhenUsed="0" w:uiPriority="0" w:semiHidden="0" w:name="Table Grid 5" w:locked="1"/>
    <w:lsdException w:unhideWhenUsed="0" w:uiPriority="0" w:semiHidden="0" w:name="Table Grid 6" w:locked="1"/>
    <w:lsdException w:unhideWhenUsed="0" w:uiPriority="0" w:semiHidden="0" w:name="Table Grid 7" w:locked="1"/>
    <w:lsdException w:unhideWhenUsed="0" w:uiPriority="0" w:semiHidden="0" w:name="Table Grid 8" w:locked="1"/>
    <w:lsdException w:unhideWhenUsed="0" w:uiPriority="0" w:semiHidden="0" w:name="Table List 1" w:locked="1"/>
    <w:lsdException w:unhideWhenUsed="0" w:uiPriority="0" w:semiHidden="0" w:name="Table List 2" w:locked="1"/>
    <w:lsdException w:unhideWhenUsed="0" w:uiPriority="0" w:semiHidden="0" w:name="Table List 3" w:locked="1"/>
    <w:lsdException w:unhideWhenUsed="0" w:uiPriority="0" w:semiHidden="0" w:name="Table List 4" w:locked="1"/>
    <w:lsdException w:unhideWhenUsed="0" w:uiPriority="0" w:semiHidden="0" w:name="Table List 5" w:locked="1"/>
    <w:lsdException w:unhideWhenUsed="0" w:uiPriority="0" w:semiHidden="0" w:name="Table List 6" w:locked="1"/>
    <w:lsdException w:unhideWhenUsed="0" w:uiPriority="0" w:semiHidden="0" w:name="Table List 7" w:locked="1"/>
    <w:lsdException w:unhideWhenUsed="0" w:uiPriority="0" w:semiHidden="0" w:name="Table List 8" w:locked="1"/>
    <w:lsdException w:unhideWhenUsed="0" w:uiPriority="0" w:semiHidden="0" w:name="Table 3D effects 1" w:locked="1"/>
    <w:lsdException w:unhideWhenUsed="0" w:uiPriority="0" w:semiHidden="0" w:name="Table 3D effects 2" w:locked="1"/>
    <w:lsdException w:unhideWhenUsed="0" w:uiPriority="0" w:semiHidden="0" w:name="Table 3D effects 3" w:locked="1"/>
    <w:lsdException w:unhideWhenUsed="0" w:uiPriority="0" w:semiHidden="0" w:name="Table Contemporary" w:locked="1"/>
    <w:lsdException w:unhideWhenUsed="0" w:uiPriority="0" w:semiHidden="0" w:name="Table Elegant" w:locked="1"/>
    <w:lsdException w:unhideWhenUsed="0" w:uiPriority="0" w:semiHidden="0" w:name="Table Professional" w:locked="1"/>
    <w:lsdException w:unhideWhenUsed="0" w:uiPriority="0" w:semiHidden="0" w:name="Table Subtle 1" w:locked="1"/>
    <w:lsdException w:unhideWhenUsed="0" w:uiPriority="0" w:semiHidden="0" w:name="Table Subtle 2" w:locked="1"/>
    <w:lsdException w:unhideWhenUsed="0" w:uiPriority="0" w:semiHidden="0" w:name="Table Web 1" w:locked="1"/>
    <w:lsdException w:unhideWhenUsed="0" w:uiPriority="0" w:semiHidden="0" w:name="Table Web 2" w:locked="1"/>
    <w:lsdException w:unhideWhenUsed="0" w:uiPriority="0" w:semiHidden="0" w:name="Table Web 3" w:locked="1"/>
    <w:lsdException w:qFormat="1" w:unhideWhenUsed="0" w:uiPriority="0" w:name="Balloon Text"/>
    <w:lsdException w:qFormat="1" w:unhideWhenUsed="0" w:uiPriority="0" w:semiHidden="0" w:name="Table Grid"/>
    <w:lsdException w:unhideWhenUsed="0" w:uiPriority="0" w:semiHidden="0"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2"/>
    <w:basedOn w:val="1"/>
    <w:next w:val="1"/>
    <w:qFormat/>
    <w:locked/>
    <w:uiPriority w:val="1"/>
    <w:pPr>
      <w:outlineLvl w:val="2"/>
    </w:pPr>
    <w:rPr>
      <w:rFonts w:ascii="宋体" w:hAnsi="宋体" w:eastAsia="宋体" w:cs="宋体"/>
      <w:b/>
      <w:bCs/>
      <w:sz w:val="24"/>
      <w:szCs w:val="24"/>
      <w:lang w:val="zh-CN" w:eastAsia="zh-CN" w:bidi="zh-CN"/>
    </w:rPr>
  </w:style>
  <w:style w:type="paragraph" w:styleId="4">
    <w:name w:val="heading 3"/>
    <w:basedOn w:val="1"/>
    <w:next w:val="1"/>
    <w:qFormat/>
    <w:locked/>
    <w:uiPriority w:val="99"/>
    <w:pPr>
      <w:keepNext/>
      <w:keepLines/>
      <w:numPr>
        <w:ilvl w:val="2"/>
        <w:numId w:val="1"/>
      </w:numPr>
      <w:spacing w:beforeLines="20" w:afterLines="20" w:line="240" w:lineRule="auto"/>
      <w:ind w:firstLine="0" w:firstLineChars="0"/>
      <w:outlineLvl w:val="2"/>
    </w:pPr>
    <w:rPr>
      <w:b/>
      <w:kern w:val="0"/>
      <w:sz w:val="28"/>
      <w:szCs w:val="20"/>
    </w:rPr>
  </w:style>
  <w:style w:type="paragraph" w:styleId="5">
    <w:name w:val="heading 4"/>
    <w:basedOn w:val="1"/>
    <w:qFormat/>
    <w:locked/>
    <w:uiPriority w:val="99"/>
    <w:pPr>
      <w:keepNext/>
      <w:keepLines/>
      <w:numPr>
        <w:ilvl w:val="3"/>
        <w:numId w:val="1"/>
      </w:numPr>
      <w:ind w:firstLine="0" w:firstLineChars="0"/>
      <w:jc w:val="left"/>
      <w:outlineLvl w:val="3"/>
    </w:pPr>
    <w:rPr>
      <w:b/>
    </w:rPr>
  </w:style>
  <w:style w:type="character" w:default="1" w:styleId="45">
    <w:name w:val="Default Paragraph Font"/>
    <w:semiHidden/>
    <w:qFormat/>
    <w:uiPriority w:val="0"/>
  </w:style>
  <w:style w:type="table" w:default="1" w:styleId="43">
    <w:name w:val="Normal Table"/>
    <w:semiHidden/>
    <w:qFormat/>
    <w:uiPriority w:val="0"/>
    <w:tblPr>
      <w:tblCellMar>
        <w:top w:w="0" w:type="dxa"/>
        <w:left w:w="108" w:type="dxa"/>
        <w:bottom w:w="0" w:type="dxa"/>
        <w:right w:w="108" w:type="dxa"/>
      </w:tblCellMar>
    </w:tblPr>
  </w:style>
  <w:style w:type="paragraph" w:styleId="6">
    <w:name w:val="E-mail Signature"/>
    <w:basedOn w:val="1"/>
    <w:next w:val="7"/>
    <w:unhideWhenUsed/>
    <w:qFormat/>
    <w:locked/>
    <w:uiPriority w:val="99"/>
    <w:pPr>
      <w:spacing w:line="460" w:lineRule="exact"/>
      <w:ind w:firstLine="200"/>
    </w:pPr>
    <w:rPr>
      <w:rFonts w:ascii="Times New Roman" w:hAnsi="Times New Roman" w:cs="Times New Roman"/>
    </w:rPr>
  </w:style>
  <w:style w:type="paragraph" w:customStyle="1" w:styleId="7">
    <w:name w:val="文章"/>
    <w:basedOn w:val="8"/>
    <w:next w:val="10"/>
    <w:qFormat/>
    <w:uiPriority w:val="0"/>
    <w:pPr>
      <w:ind w:firstLine="480"/>
      <w:jc w:val="center"/>
    </w:pPr>
    <w:rPr>
      <w:rFonts w:ascii="Times New Roman" w:hAnsi="Times New Roman" w:eastAsia="宋体" w:cs="Times New Roman"/>
      <w:kern w:val="2"/>
      <w:sz w:val="26"/>
      <w:szCs w:val="22"/>
      <w:lang w:val="en-US" w:eastAsia="zh-CN" w:bidi="ar-SA"/>
    </w:rPr>
  </w:style>
  <w:style w:type="paragraph" w:styleId="8">
    <w:name w:val="Body Text Indent"/>
    <w:basedOn w:val="1"/>
    <w:next w:val="9"/>
    <w:link w:val="65"/>
    <w:qFormat/>
    <w:uiPriority w:val="0"/>
    <w:pPr>
      <w:spacing w:after="120"/>
      <w:ind w:left="420" w:leftChars="200"/>
    </w:pPr>
    <w:rPr>
      <w:kern w:val="0"/>
      <w:sz w:val="24"/>
      <w:szCs w:val="20"/>
    </w:rPr>
  </w:style>
  <w:style w:type="paragraph" w:styleId="9">
    <w:name w:val="Normal Indent"/>
    <w:basedOn w:val="1"/>
    <w:next w:val="1"/>
    <w:qFormat/>
    <w:locked/>
    <w:uiPriority w:val="0"/>
    <w:pPr>
      <w:widowControl w:val="0"/>
      <w:adjustRightInd w:val="0"/>
      <w:snapToGrid w:val="0"/>
      <w:spacing w:line="300" w:lineRule="auto"/>
      <w:ind w:firstLine="200" w:firstLineChars="200"/>
      <w:jc w:val="both"/>
    </w:pPr>
    <w:rPr>
      <w:rFonts w:ascii="仿宋_GB2312"/>
      <w:kern w:val="2"/>
      <w:sz w:val="28"/>
      <w:szCs w:val="24"/>
    </w:rPr>
  </w:style>
  <w:style w:type="paragraph" w:styleId="10">
    <w:name w:val="List"/>
    <w:basedOn w:val="1"/>
    <w:next w:val="11"/>
    <w:qFormat/>
    <w:locked/>
    <w:uiPriority w:val="0"/>
    <w:pPr>
      <w:adjustRightInd/>
      <w:snapToGrid/>
      <w:ind w:left="200" w:hanging="200" w:hangingChars="200"/>
      <w:textAlignment w:val="baseline"/>
    </w:pPr>
    <w:rPr>
      <w:snapToGrid/>
      <w:kern w:val="2"/>
      <w:sz w:val="24"/>
      <w:szCs w:val="21"/>
    </w:rPr>
  </w:style>
  <w:style w:type="paragraph" w:styleId="11">
    <w:name w:val="List Bullet 2"/>
    <w:basedOn w:val="1"/>
    <w:next w:val="12"/>
    <w:qFormat/>
    <w:locked/>
    <w:uiPriority w:val="0"/>
    <w:pPr>
      <w:numPr>
        <w:ilvl w:val="0"/>
        <w:numId w:val="2"/>
      </w:numPr>
    </w:pPr>
  </w:style>
  <w:style w:type="paragraph" w:customStyle="1" w:styleId="12">
    <w:name w:val="xl70"/>
    <w:basedOn w:val="1"/>
    <w:next w:val="13"/>
    <w:qFormat/>
    <w:uiPriority w:val="0"/>
    <w:pPr>
      <w:widowControl/>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left"/>
    </w:pPr>
    <w:rPr>
      <w:rFonts w:ascii="宋体" w:hAnsi="宋体" w:cs="宋体"/>
      <w:snapToGrid/>
      <w:sz w:val="20"/>
      <w:szCs w:val="20"/>
    </w:rPr>
  </w:style>
  <w:style w:type="paragraph" w:customStyle="1" w:styleId="13">
    <w:name w:val="正文缩进1"/>
    <w:basedOn w:val="1"/>
    <w:next w:val="14"/>
    <w:qFormat/>
    <w:uiPriority w:val="0"/>
    <w:pPr>
      <w:adjustRightInd/>
      <w:snapToGrid/>
      <w:spacing w:before="156" w:beforeLines="50" w:after="156" w:afterLines="50"/>
      <w:ind w:firstLine="1048" w:firstLineChars="435"/>
      <w:jc w:val="center"/>
    </w:pPr>
    <w:rPr>
      <w:rFonts w:ascii="宋体" w:hAnsi="宋体"/>
      <w:b/>
      <w:bCs/>
      <w:color w:val="000000"/>
      <w:kern w:val="24"/>
      <w:sz w:val="24"/>
    </w:rPr>
  </w:style>
  <w:style w:type="paragraph" w:customStyle="1" w:styleId="14">
    <w:name w:val="td1"/>
    <w:basedOn w:val="1"/>
    <w:next w:val="1"/>
    <w:qFormat/>
    <w:uiPriority w:val="0"/>
    <w:pPr>
      <w:widowControl/>
      <w:spacing w:before="280" w:after="280" w:line="300" w:lineRule="atLeast"/>
      <w:ind w:firstLine="200"/>
    </w:pPr>
    <w:rPr>
      <w:color w:val="000000"/>
      <w:sz w:val="18"/>
    </w:rPr>
  </w:style>
  <w:style w:type="paragraph" w:styleId="15">
    <w:name w:val="caption"/>
    <w:basedOn w:val="1"/>
    <w:next w:val="1"/>
    <w:qFormat/>
    <w:locked/>
    <w:uiPriority w:val="99"/>
    <w:pPr>
      <w:keepNext/>
      <w:spacing w:before="152" w:after="160"/>
      <w:ind w:firstLine="240" w:firstLineChars="100"/>
      <w:jc w:val="center"/>
    </w:pPr>
    <w:rPr>
      <w:rFonts w:ascii="Arial" w:hAnsi="Arial" w:eastAsia="黑体" w:cs="Arial"/>
      <w:sz w:val="24"/>
      <w:szCs w:val="24"/>
      <w:u w:val="double"/>
    </w:rPr>
  </w:style>
  <w:style w:type="paragraph" w:styleId="16">
    <w:name w:val="annotation text"/>
    <w:basedOn w:val="1"/>
    <w:link w:val="57"/>
    <w:semiHidden/>
    <w:qFormat/>
    <w:uiPriority w:val="0"/>
    <w:pPr>
      <w:jc w:val="left"/>
    </w:pPr>
    <w:rPr>
      <w:kern w:val="0"/>
      <w:sz w:val="24"/>
      <w:szCs w:val="20"/>
    </w:rPr>
  </w:style>
  <w:style w:type="paragraph" w:styleId="17">
    <w:name w:val="Body Text"/>
    <w:basedOn w:val="1"/>
    <w:link w:val="56"/>
    <w:qFormat/>
    <w:uiPriority w:val="0"/>
    <w:pPr>
      <w:widowControl/>
      <w:snapToGrid w:val="0"/>
      <w:spacing w:before="60" w:after="160" w:line="259" w:lineRule="auto"/>
      <w:ind w:right="113"/>
    </w:pPr>
    <w:rPr>
      <w:kern w:val="0"/>
      <w:sz w:val="18"/>
      <w:szCs w:val="20"/>
    </w:rPr>
  </w:style>
  <w:style w:type="paragraph" w:styleId="18">
    <w:name w:val="Block Text"/>
    <w:basedOn w:val="1"/>
    <w:qFormat/>
    <w:locked/>
    <w:uiPriority w:val="0"/>
    <w:pPr>
      <w:adjustRightInd w:val="0"/>
      <w:snapToGrid w:val="0"/>
      <w:spacing w:line="490" w:lineRule="atLeast"/>
      <w:ind w:left="10" w:leftChars="5" w:right="-449" w:rightChars="-214" w:firstLine="560" w:firstLineChars="200"/>
    </w:pPr>
    <w:rPr>
      <w:rFonts w:ascii="Calibri" w:hAnsi="Calibri"/>
      <w:color w:val="000000"/>
      <w:sz w:val="28"/>
      <w:szCs w:val="22"/>
    </w:rPr>
  </w:style>
  <w:style w:type="paragraph" w:styleId="19">
    <w:name w:val="Plain Text"/>
    <w:basedOn w:val="1"/>
    <w:next w:val="1"/>
    <w:qFormat/>
    <w:locked/>
    <w:uiPriority w:val="0"/>
    <w:rPr>
      <w:rFonts w:ascii="宋体" w:hAnsi="Courier New"/>
      <w:kern w:val="0"/>
      <w:sz w:val="20"/>
    </w:rPr>
  </w:style>
  <w:style w:type="paragraph" w:styleId="20">
    <w:name w:val="List Bullet 5"/>
    <w:basedOn w:val="1"/>
    <w:qFormat/>
    <w:locked/>
    <w:uiPriority w:val="0"/>
    <w:pPr>
      <w:numPr>
        <w:ilvl w:val="0"/>
        <w:numId w:val="3"/>
      </w:numPr>
    </w:pPr>
  </w:style>
  <w:style w:type="paragraph" w:styleId="21">
    <w:name w:val="Date"/>
    <w:basedOn w:val="1"/>
    <w:next w:val="1"/>
    <w:link w:val="52"/>
    <w:qFormat/>
    <w:uiPriority w:val="0"/>
    <w:pPr>
      <w:ind w:left="100" w:leftChars="2500"/>
    </w:pPr>
    <w:rPr>
      <w:kern w:val="0"/>
      <w:sz w:val="24"/>
      <w:szCs w:val="20"/>
    </w:rPr>
  </w:style>
  <w:style w:type="paragraph" w:styleId="22">
    <w:name w:val="Balloon Text"/>
    <w:basedOn w:val="1"/>
    <w:link w:val="61"/>
    <w:semiHidden/>
    <w:qFormat/>
    <w:uiPriority w:val="0"/>
    <w:rPr>
      <w:kern w:val="0"/>
      <w:sz w:val="18"/>
      <w:szCs w:val="20"/>
    </w:rPr>
  </w:style>
  <w:style w:type="paragraph" w:styleId="23">
    <w:name w:val="footer"/>
    <w:basedOn w:val="1"/>
    <w:link w:val="51"/>
    <w:qFormat/>
    <w:uiPriority w:val="99"/>
    <w:pPr>
      <w:tabs>
        <w:tab w:val="center" w:pos="4153"/>
        <w:tab w:val="right" w:pos="8306"/>
      </w:tabs>
      <w:snapToGrid w:val="0"/>
      <w:jc w:val="left"/>
    </w:pPr>
    <w:rPr>
      <w:kern w:val="0"/>
      <w:sz w:val="18"/>
      <w:szCs w:val="20"/>
    </w:rPr>
  </w:style>
  <w:style w:type="paragraph" w:styleId="24">
    <w:name w:val="header"/>
    <w:basedOn w:val="1"/>
    <w:link w:val="63"/>
    <w:qFormat/>
    <w:uiPriority w:val="0"/>
    <w:pPr>
      <w:pBdr>
        <w:bottom w:val="single" w:color="auto" w:sz="6" w:space="1"/>
      </w:pBdr>
      <w:tabs>
        <w:tab w:val="center" w:pos="4153"/>
        <w:tab w:val="right" w:pos="8306"/>
      </w:tabs>
      <w:snapToGrid w:val="0"/>
      <w:jc w:val="center"/>
    </w:pPr>
    <w:rPr>
      <w:kern w:val="0"/>
      <w:sz w:val="18"/>
      <w:szCs w:val="20"/>
    </w:rPr>
  </w:style>
  <w:style w:type="paragraph" w:styleId="25">
    <w:name w:val="toc 1"/>
    <w:basedOn w:val="1"/>
    <w:next w:val="1"/>
    <w:qFormat/>
    <w:locked/>
    <w:uiPriority w:val="0"/>
  </w:style>
  <w:style w:type="paragraph" w:styleId="26">
    <w:name w:val="index heading"/>
    <w:basedOn w:val="1"/>
    <w:next w:val="27"/>
    <w:qFormat/>
    <w:locked/>
    <w:uiPriority w:val="99"/>
    <w:pPr>
      <w:adjustRightInd w:val="0"/>
      <w:spacing w:line="312" w:lineRule="atLeast"/>
      <w:textAlignment w:val="baseline"/>
    </w:pPr>
    <w:rPr>
      <w:rFonts w:ascii="Helv" w:hAnsi="New York" w:eastAsia="Tms Rmn" w:cs="Times New Roman"/>
      <w:kern w:val="0"/>
      <w:szCs w:val="20"/>
    </w:rPr>
  </w:style>
  <w:style w:type="paragraph" w:styleId="27">
    <w:name w:val="index 1"/>
    <w:basedOn w:val="1"/>
    <w:next w:val="1"/>
    <w:semiHidden/>
    <w:unhideWhenUsed/>
    <w:qFormat/>
    <w:locked/>
    <w:uiPriority w:val="99"/>
  </w:style>
  <w:style w:type="paragraph" w:styleId="28">
    <w:name w:val="Body Text Indent 3"/>
    <w:basedOn w:val="1"/>
    <w:qFormat/>
    <w:locked/>
    <w:uiPriority w:val="0"/>
    <w:pPr>
      <w:spacing w:after="120" w:afterLines="0"/>
      <w:ind w:left="420" w:leftChars="200"/>
    </w:pPr>
    <w:rPr>
      <w:sz w:val="16"/>
      <w:szCs w:val="16"/>
    </w:rPr>
  </w:style>
  <w:style w:type="paragraph" w:styleId="29">
    <w:name w:val="toc 2"/>
    <w:basedOn w:val="1"/>
    <w:next w:val="6"/>
    <w:semiHidden/>
    <w:unhideWhenUsed/>
    <w:qFormat/>
    <w:locked/>
    <w:uiPriority w:val="39"/>
    <w:pPr>
      <w:ind w:left="420" w:leftChars="200"/>
    </w:pPr>
  </w:style>
  <w:style w:type="paragraph" w:styleId="30">
    <w:name w:val="HTML Preformatted"/>
    <w:basedOn w:val="1"/>
    <w:unhideWhenUsed/>
    <w:qFormat/>
    <w:locked/>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style>
  <w:style w:type="paragraph" w:styleId="31">
    <w:name w:val="Normal (Web)"/>
    <w:basedOn w:val="1"/>
    <w:link w:val="54"/>
    <w:qFormat/>
    <w:uiPriority w:val="0"/>
    <w:pPr>
      <w:widowControl/>
      <w:spacing w:before="100" w:beforeAutospacing="1" w:after="100" w:afterAutospacing="1"/>
      <w:jc w:val="left"/>
    </w:pPr>
    <w:rPr>
      <w:rFonts w:ascii="宋体" w:hAnsi="宋体"/>
      <w:kern w:val="0"/>
      <w:sz w:val="24"/>
      <w:szCs w:val="20"/>
    </w:rPr>
  </w:style>
  <w:style w:type="paragraph" w:styleId="32">
    <w:name w:val="annotation subject"/>
    <w:basedOn w:val="16"/>
    <w:next w:val="16"/>
    <w:link w:val="62"/>
    <w:semiHidden/>
    <w:qFormat/>
    <w:uiPriority w:val="0"/>
    <w:rPr>
      <w:b/>
      <w:sz w:val="24"/>
      <w:szCs w:val="20"/>
    </w:rPr>
  </w:style>
  <w:style w:type="paragraph" w:styleId="33">
    <w:name w:val="Body Text First Indent 2"/>
    <w:basedOn w:val="8"/>
    <w:next w:val="34"/>
    <w:qFormat/>
    <w:locked/>
    <w:uiPriority w:val="0"/>
    <w:pPr>
      <w:ind w:firstLine="420" w:firstLineChars="200"/>
    </w:pPr>
  </w:style>
  <w:style w:type="paragraph" w:customStyle="1" w:styleId="34">
    <w:name w:val="Default"/>
    <w:basedOn w:val="35"/>
    <w:next w:val="36"/>
    <w:qFormat/>
    <w:uiPriority w:val="99"/>
    <w:pPr>
      <w:widowControl w:val="0"/>
      <w:autoSpaceDE w:val="0"/>
      <w:autoSpaceDN w:val="0"/>
    </w:pPr>
    <w:rPr>
      <w:rFonts w:ascii="宋体" w:hAnsi="Times New Roman" w:eastAsia="宋体" w:cs="宋体"/>
      <w:color w:val="000000"/>
      <w:kern w:val="0"/>
      <w:sz w:val="24"/>
      <w:szCs w:val="24"/>
      <w:lang w:val="en-US" w:eastAsia="zh-CN" w:bidi="ar-SA"/>
    </w:rPr>
  </w:style>
  <w:style w:type="paragraph" w:customStyle="1" w:styleId="35">
    <w:name w:val="标题 段落4级"/>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6">
    <w:name w:val="样式35"/>
    <w:basedOn w:val="37"/>
    <w:next w:val="42"/>
    <w:qFormat/>
    <w:uiPriority w:val="0"/>
    <w:pPr>
      <w:widowControl w:val="0"/>
      <w:tabs>
        <w:tab w:val="left" w:pos="360"/>
        <w:tab w:val="left" w:pos="567"/>
        <w:tab w:val="left" w:pos="900"/>
        <w:tab w:val="left" w:pos="960"/>
        <w:tab w:val="left" w:pos="1320"/>
        <w:tab w:val="left" w:pos="4140"/>
        <w:tab w:val="left" w:pos="8715"/>
      </w:tabs>
      <w:spacing w:line="312" w:lineRule="auto"/>
      <w:ind w:firstLine="567"/>
      <w:jc w:val="both"/>
    </w:pPr>
    <w:rPr>
      <w:rFonts w:ascii="宋体" w:hAnsi="Times New Roman" w:eastAsia="宋体" w:cs="Times New Roman"/>
      <w:kern w:val="2"/>
      <w:sz w:val="21"/>
      <w:szCs w:val="22"/>
      <w:lang w:val="en-US" w:eastAsia="zh-CN" w:bidi="ar-SA"/>
    </w:rPr>
  </w:style>
  <w:style w:type="paragraph" w:customStyle="1" w:styleId="37">
    <w:name w:val="样式26"/>
    <w:basedOn w:val="38"/>
    <w:qFormat/>
    <w:uiPriority w:val="0"/>
    <w:pPr>
      <w:keepNext/>
      <w:keepLines/>
      <w:tabs>
        <w:tab w:val="left" w:pos="360"/>
        <w:tab w:val="left" w:pos="567"/>
        <w:tab w:val="left" w:pos="900"/>
        <w:tab w:val="left" w:pos="960"/>
        <w:tab w:val="left" w:pos="1320"/>
        <w:tab w:val="left" w:pos="4140"/>
        <w:tab w:val="left" w:pos="8715"/>
      </w:tabs>
      <w:adjustRightInd/>
      <w:snapToGrid/>
      <w:spacing w:before="120" w:beforeLines="50" w:after="120" w:afterLines="50" w:line="360" w:lineRule="auto"/>
      <w:ind w:left="900" w:hanging="360"/>
      <w:outlineLvl w:val="0"/>
    </w:pPr>
    <w:rPr>
      <w:rFonts w:eastAsia="黑体"/>
      <w:snapToGrid/>
      <w:kern w:val="44"/>
      <w:sz w:val="30"/>
      <w:szCs w:val="44"/>
    </w:rPr>
  </w:style>
  <w:style w:type="paragraph" w:customStyle="1" w:styleId="38">
    <w:name w:val="样式21"/>
    <w:basedOn w:val="39"/>
    <w:qFormat/>
    <w:uiPriority w:val="0"/>
    <w:pPr>
      <w:tabs>
        <w:tab w:val="left" w:pos="360"/>
        <w:tab w:val="left" w:pos="567"/>
        <w:tab w:val="left" w:pos="960"/>
        <w:tab w:val="left" w:pos="1320"/>
        <w:tab w:val="left" w:pos="4140"/>
        <w:tab w:val="left" w:pos="8715"/>
      </w:tabs>
      <w:spacing w:before="120" w:beforeLines="0" w:after="120" w:afterLines="0"/>
      <w:ind w:hanging="992"/>
    </w:pPr>
  </w:style>
  <w:style w:type="paragraph" w:customStyle="1" w:styleId="39">
    <w:name w:val="样式5"/>
    <w:basedOn w:val="40"/>
    <w:qFormat/>
    <w:uiPriority w:val="0"/>
    <w:pPr>
      <w:keepLines/>
      <w:tabs>
        <w:tab w:val="left" w:pos="360"/>
        <w:tab w:val="left" w:pos="960"/>
        <w:tab w:val="left" w:pos="1320"/>
        <w:tab w:val="left" w:pos="4140"/>
        <w:tab w:val="left" w:pos="8715"/>
      </w:tabs>
      <w:snapToGrid/>
      <w:spacing w:before="335" w:beforeLines="100" w:after="167" w:afterLines="50" w:line="360" w:lineRule="auto"/>
      <w:ind w:left="1320" w:hanging="420"/>
      <w:jc w:val="left"/>
      <w:outlineLvl w:val="1"/>
    </w:pPr>
    <w:rPr>
      <w:rFonts w:ascii="Arial" w:hAnsi="Arial" w:eastAsia="黑体"/>
      <w:sz w:val="28"/>
      <w:szCs w:val="32"/>
    </w:rPr>
  </w:style>
  <w:style w:type="paragraph" w:customStyle="1" w:styleId="40">
    <w:name w:val="样式12"/>
    <w:basedOn w:val="41"/>
    <w:qFormat/>
    <w:uiPriority w:val="0"/>
    <w:pPr>
      <w:keepNext/>
      <w:keepLines/>
      <w:tabs>
        <w:tab w:val="left" w:pos="360"/>
        <w:tab w:val="left" w:pos="4140"/>
      </w:tabs>
      <w:spacing w:before="156" w:beforeLines="50" w:after="156" w:afterLines="50" w:line="360" w:lineRule="auto"/>
      <w:ind w:left="567" w:hanging="567"/>
      <w:outlineLvl w:val="1"/>
    </w:pPr>
    <w:rPr>
      <w:rFonts w:eastAsia="MS Mincho"/>
      <w:kern w:val="0"/>
      <w:sz w:val="28"/>
      <w:szCs w:val="28"/>
    </w:rPr>
  </w:style>
  <w:style w:type="paragraph" w:customStyle="1" w:styleId="41">
    <w:name w:val="样式 标题 3标题 3 Char标题3H3h33rd level第二层条三级标题ReHead 3 WSA头..."/>
    <w:basedOn w:val="4"/>
    <w:qFormat/>
    <w:uiPriority w:val="0"/>
    <w:pPr>
      <w:numPr>
        <w:ilvl w:val="0"/>
        <w:numId w:val="0"/>
      </w:numPr>
      <w:tabs>
        <w:tab w:val="left" w:pos="4140"/>
      </w:tabs>
      <w:spacing w:before="260" w:beforeAutospacing="0" w:after="260" w:afterAutospacing="0" w:line="416" w:lineRule="auto"/>
      <w:ind w:left="4140" w:hanging="720"/>
    </w:pPr>
    <w:rPr>
      <w:rFonts w:eastAsia="黑体"/>
      <w:color w:val="FF0000"/>
    </w:rPr>
  </w:style>
  <w:style w:type="paragraph" w:customStyle="1" w:styleId="42">
    <w:name w:val="font6"/>
    <w:basedOn w:val="1"/>
    <w:next w:val="29"/>
    <w:qFormat/>
    <w:uiPriority w:val="0"/>
    <w:pPr>
      <w:widowControl/>
      <w:adjustRightInd/>
      <w:snapToGrid/>
      <w:spacing w:before="100" w:beforeAutospacing="1" w:after="100" w:afterAutospacing="1"/>
      <w:jc w:val="left"/>
    </w:pPr>
    <w:rPr>
      <w:rFonts w:hint="eastAsia" w:ascii="宋体" w:hAnsi="宋体" w:cs="Arial Unicode MS"/>
      <w:snapToGrid/>
      <w:sz w:val="18"/>
      <w:szCs w:val="18"/>
    </w:rPr>
  </w:style>
  <w:style w:type="table" w:styleId="44">
    <w:name w:val="Table Grid"/>
    <w:basedOn w:val="43"/>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6">
    <w:name w:val="page number"/>
    <w:basedOn w:val="45"/>
    <w:qFormat/>
    <w:locked/>
    <w:uiPriority w:val="0"/>
  </w:style>
  <w:style w:type="character" w:styleId="47">
    <w:name w:val="Hyperlink"/>
    <w:basedOn w:val="45"/>
    <w:unhideWhenUsed/>
    <w:qFormat/>
    <w:locked/>
    <w:uiPriority w:val="99"/>
    <w:rPr>
      <w:color w:val="0000FF"/>
      <w:u w:val="single"/>
    </w:rPr>
  </w:style>
  <w:style w:type="character" w:styleId="48">
    <w:name w:val="annotation reference"/>
    <w:semiHidden/>
    <w:qFormat/>
    <w:uiPriority w:val="0"/>
    <w:rPr>
      <w:sz w:val="21"/>
    </w:rPr>
  </w:style>
  <w:style w:type="paragraph" w:customStyle="1" w:styleId="49">
    <w:name w:val="Default1"/>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50">
    <w:name w:val="纯文本1"/>
    <w:basedOn w:val="1"/>
    <w:qFormat/>
    <w:uiPriority w:val="0"/>
    <w:pPr>
      <w:adjustRightInd w:val="0"/>
      <w:ind w:firstLine="0"/>
      <w:jc w:val="center"/>
      <w:textAlignment w:val="baseline"/>
    </w:pPr>
    <w:rPr>
      <w:rFonts w:ascii="宋体" w:hAnsi="Courier New"/>
    </w:rPr>
  </w:style>
  <w:style w:type="character" w:customStyle="1" w:styleId="51">
    <w:name w:val="页脚 Char"/>
    <w:link w:val="23"/>
    <w:qFormat/>
    <w:locked/>
    <w:uiPriority w:val="99"/>
    <w:rPr>
      <w:sz w:val="18"/>
    </w:rPr>
  </w:style>
  <w:style w:type="character" w:customStyle="1" w:styleId="52">
    <w:name w:val="日期 Char"/>
    <w:link w:val="21"/>
    <w:qFormat/>
    <w:locked/>
    <w:uiPriority w:val="0"/>
    <w:rPr>
      <w:rFonts w:ascii="Times New Roman" w:hAnsi="Times New Roman" w:eastAsia="宋体"/>
      <w:sz w:val="24"/>
    </w:rPr>
  </w:style>
  <w:style w:type="character" w:customStyle="1" w:styleId="53">
    <w:name w:val="页脚 字符"/>
    <w:basedOn w:val="45"/>
    <w:qFormat/>
    <w:uiPriority w:val="99"/>
  </w:style>
  <w:style w:type="character" w:customStyle="1" w:styleId="54">
    <w:name w:val="普通(网站) Char"/>
    <w:link w:val="31"/>
    <w:qFormat/>
    <w:locked/>
    <w:uiPriority w:val="0"/>
    <w:rPr>
      <w:rFonts w:ascii="宋体" w:hAnsi="宋体" w:eastAsia="宋体"/>
      <w:sz w:val="24"/>
    </w:rPr>
  </w:style>
  <w:style w:type="character" w:customStyle="1" w:styleId="55">
    <w:name w:val="正文文本 字符1"/>
    <w:semiHidden/>
    <w:qFormat/>
    <w:uiPriority w:val="0"/>
    <w:rPr>
      <w:rFonts w:ascii="Times New Roman" w:hAnsi="Times New Roman" w:eastAsia="宋体"/>
      <w:sz w:val="24"/>
    </w:rPr>
  </w:style>
  <w:style w:type="character" w:customStyle="1" w:styleId="56">
    <w:name w:val="正文文本 Char"/>
    <w:link w:val="17"/>
    <w:qFormat/>
    <w:locked/>
    <w:uiPriority w:val="0"/>
    <w:rPr>
      <w:sz w:val="18"/>
    </w:rPr>
  </w:style>
  <w:style w:type="character" w:customStyle="1" w:styleId="57">
    <w:name w:val="批注文字 Char"/>
    <w:link w:val="16"/>
    <w:qFormat/>
    <w:locked/>
    <w:uiPriority w:val="0"/>
    <w:rPr>
      <w:rFonts w:ascii="Times New Roman" w:hAnsi="Times New Roman" w:eastAsia="宋体"/>
      <w:sz w:val="24"/>
    </w:rPr>
  </w:style>
  <w:style w:type="character" w:customStyle="1" w:styleId="58">
    <w:name w:val="表格 Char"/>
    <w:link w:val="59"/>
    <w:qFormat/>
    <w:locked/>
    <w:uiPriority w:val="0"/>
    <w:rPr>
      <w:rFonts w:ascii="宋体"/>
      <w:sz w:val="21"/>
    </w:rPr>
  </w:style>
  <w:style w:type="paragraph" w:customStyle="1" w:styleId="59">
    <w:name w:val="表格"/>
    <w:basedOn w:val="17"/>
    <w:link w:val="58"/>
    <w:qFormat/>
    <w:uiPriority w:val="0"/>
    <w:pPr>
      <w:adjustRightInd w:val="0"/>
      <w:snapToGrid w:val="0"/>
      <w:spacing w:beforeLines="10" w:afterLines="10" w:line="259" w:lineRule="auto"/>
      <w:jc w:val="center"/>
    </w:pPr>
    <w:rPr>
      <w:rFonts w:ascii="宋体"/>
      <w:kern w:val="0"/>
      <w:szCs w:val="20"/>
    </w:rPr>
  </w:style>
  <w:style w:type="character" w:customStyle="1" w:styleId="60">
    <w:name w:val="日期 字符"/>
    <w:semiHidden/>
    <w:qFormat/>
    <w:uiPriority w:val="0"/>
    <w:rPr>
      <w:rFonts w:ascii="Times New Roman" w:hAnsi="Times New Roman" w:eastAsia="宋体"/>
      <w:sz w:val="24"/>
    </w:rPr>
  </w:style>
  <w:style w:type="character" w:customStyle="1" w:styleId="61">
    <w:name w:val="批注框文本 Char"/>
    <w:link w:val="22"/>
    <w:semiHidden/>
    <w:qFormat/>
    <w:locked/>
    <w:uiPriority w:val="0"/>
    <w:rPr>
      <w:rFonts w:ascii="Times New Roman" w:hAnsi="Times New Roman" w:eastAsia="宋体"/>
      <w:sz w:val="18"/>
    </w:rPr>
  </w:style>
  <w:style w:type="character" w:customStyle="1" w:styleId="62">
    <w:name w:val="批注主题 Char"/>
    <w:link w:val="32"/>
    <w:semiHidden/>
    <w:qFormat/>
    <w:locked/>
    <w:uiPriority w:val="0"/>
    <w:rPr>
      <w:rFonts w:ascii="Times New Roman" w:hAnsi="Times New Roman" w:eastAsia="宋体"/>
      <w:b/>
      <w:kern w:val="2"/>
      <w:sz w:val="24"/>
    </w:rPr>
  </w:style>
  <w:style w:type="character" w:customStyle="1" w:styleId="63">
    <w:name w:val="页眉 Char"/>
    <w:link w:val="24"/>
    <w:qFormat/>
    <w:locked/>
    <w:uiPriority w:val="0"/>
    <w:rPr>
      <w:sz w:val="18"/>
    </w:rPr>
  </w:style>
  <w:style w:type="character" w:customStyle="1" w:styleId="64">
    <w:name w:val="批注文字 字符1"/>
    <w:semiHidden/>
    <w:qFormat/>
    <w:uiPriority w:val="0"/>
    <w:rPr>
      <w:rFonts w:ascii="Times New Roman" w:hAnsi="Times New Roman" w:eastAsia="宋体"/>
      <w:sz w:val="24"/>
    </w:rPr>
  </w:style>
  <w:style w:type="character" w:customStyle="1" w:styleId="65">
    <w:name w:val="正文文本缩进 Char"/>
    <w:link w:val="8"/>
    <w:semiHidden/>
    <w:qFormat/>
    <w:locked/>
    <w:uiPriority w:val="0"/>
    <w:rPr>
      <w:rFonts w:ascii="Times New Roman" w:hAnsi="Times New Roman" w:eastAsia="宋体"/>
      <w:sz w:val="24"/>
    </w:rPr>
  </w:style>
  <w:style w:type="paragraph" w:customStyle="1" w:styleId="66">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7">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68">
    <w:name w:val="Table Paragraph"/>
    <w:basedOn w:val="1"/>
    <w:qFormat/>
    <w:uiPriority w:val="1"/>
    <w:rPr>
      <w:rFonts w:ascii="宋体" w:hAnsi="宋体" w:eastAsia="宋体" w:cs="宋体"/>
      <w:lang w:val="zh-CN" w:eastAsia="zh-CN" w:bidi="zh-CN"/>
    </w:rPr>
  </w:style>
  <w:style w:type="paragraph" w:customStyle="1" w:styleId="69">
    <w:name w:val="表格样式"/>
    <w:basedOn w:val="1"/>
    <w:qFormat/>
    <w:uiPriority w:val="99"/>
    <w:pPr>
      <w:spacing w:line="240" w:lineRule="auto"/>
      <w:ind w:firstLine="0" w:firstLineChars="0"/>
      <w:jc w:val="center"/>
    </w:pPr>
    <w:rPr>
      <w:rFonts w:ascii="Times New Roman" w:hAnsi="Times New Roman" w:eastAsia="宋体"/>
      <w:lang w:val="zh-CN"/>
    </w:rPr>
  </w:style>
  <w:style w:type="character" w:customStyle="1" w:styleId="70">
    <w:name w:val="font31"/>
    <w:basedOn w:val="45"/>
    <w:qFormat/>
    <w:uiPriority w:val="0"/>
    <w:rPr>
      <w:rFonts w:hint="eastAsia" w:ascii="宋体" w:hAnsi="宋体" w:eastAsia="宋体" w:cs="宋体"/>
      <w:color w:val="000000"/>
      <w:sz w:val="24"/>
      <w:szCs w:val="24"/>
      <w:u w:val="none"/>
    </w:rPr>
  </w:style>
  <w:style w:type="character" w:customStyle="1" w:styleId="71">
    <w:name w:val="font21"/>
    <w:basedOn w:val="45"/>
    <w:qFormat/>
    <w:uiPriority w:val="0"/>
    <w:rPr>
      <w:rFonts w:hint="default" w:ascii="Times New Roman" w:hAnsi="Times New Roman" w:cs="Times New Roman"/>
      <w:color w:val="000000"/>
      <w:sz w:val="24"/>
      <w:szCs w:val="24"/>
      <w:u w:val="none"/>
    </w:rPr>
  </w:style>
  <w:style w:type="character" w:customStyle="1" w:styleId="72">
    <w:name w:val="样式一"/>
    <w:qFormat/>
    <w:uiPriority w:val="0"/>
    <w:rPr>
      <w:rFonts w:eastAsia="宋体"/>
      <w:b/>
      <w:sz w:val="32"/>
    </w:rPr>
  </w:style>
  <w:style w:type="paragraph" w:styleId="73">
    <w:name w:val="List Paragraph"/>
    <w:basedOn w:val="1"/>
    <w:qFormat/>
    <w:uiPriority w:val="1"/>
    <w:pPr>
      <w:ind w:left="1302" w:hanging="602"/>
    </w:pPr>
    <w:rPr>
      <w:rFonts w:ascii="宋体" w:hAnsi="宋体" w:eastAsia="宋体" w:cs="宋体"/>
      <w:lang w:val="zh-CN" w:eastAsia="zh-CN" w:bidi="zh-CN"/>
    </w:rPr>
  </w:style>
  <w:style w:type="paragraph" w:customStyle="1" w:styleId="74">
    <w:name w:val="图文框"/>
    <w:basedOn w:val="1"/>
    <w:qFormat/>
    <w:uiPriority w:val="0"/>
    <w:pPr>
      <w:widowControl w:val="0"/>
      <w:spacing w:line="240" w:lineRule="atLeast"/>
      <w:jc w:val="center"/>
    </w:pPr>
    <w:rPr>
      <w:rFonts w:ascii="仿宋_GB2312"/>
      <w:color w:val="000000"/>
      <w:kern w:val="2"/>
      <w:szCs w:val="24"/>
    </w:rPr>
  </w:style>
  <w:style w:type="paragraph" w:customStyle="1" w:styleId="75">
    <w:name w:val="报告表正文"/>
    <w:basedOn w:val="1"/>
    <w:qFormat/>
    <w:uiPriority w:val="0"/>
    <w:pPr>
      <w:spacing w:line="360" w:lineRule="auto"/>
      <w:ind w:firstLine="200" w:firstLineChars="200"/>
      <w:textAlignment w:val="baseline"/>
    </w:pPr>
    <w:rPr>
      <w:sz w:val="24"/>
    </w:rPr>
  </w:style>
  <w:style w:type="paragraph" w:customStyle="1" w:styleId="76">
    <w:name w:val="样式2"/>
    <w:basedOn w:val="1"/>
    <w:qFormat/>
    <w:uiPriority w:val="0"/>
    <w:pPr>
      <w:spacing w:line="360" w:lineRule="auto"/>
      <w:ind w:firstLine="560" w:firstLineChars="200"/>
      <w:jc w:val="left"/>
    </w:pPr>
    <w:rPr>
      <w:sz w:val="24"/>
    </w:rPr>
  </w:style>
  <w:style w:type="paragraph" w:customStyle="1" w:styleId="77">
    <w:name w:val="正文样式"/>
    <w:basedOn w:val="1"/>
    <w:qFormat/>
    <w:uiPriority w:val="0"/>
    <w:pPr>
      <w:spacing w:line="460" w:lineRule="exact"/>
      <w:ind w:firstLine="480" w:firstLineChars="200"/>
    </w:pPr>
    <w:rPr>
      <w:bCs/>
      <w:kern w:val="0"/>
      <w:sz w:val="24"/>
    </w:rPr>
  </w:style>
  <w:style w:type="character" w:customStyle="1" w:styleId="78">
    <w:name w:val="font41"/>
    <w:basedOn w:val="45"/>
    <w:qFormat/>
    <w:uiPriority w:val="0"/>
    <w:rPr>
      <w:rFonts w:hint="default" w:ascii="MingLiU" w:hAnsi="MingLiU" w:eastAsia="MingLiU" w:cs="MingLiU"/>
      <w:color w:val="000000"/>
      <w:sz w:val="20"/>
      <w:szCs w:val="20"/>
      <w:u w:val="none"/>
    </w:rPr>
  </w:style>
  <w:style w:type="paragraph" w:customStyle="1" w:styleId="79">
    <w:name w:val="图表"/>
    <w:qFormat/>
    <w:uiPriority w:val="0"/>
    <w:pPr>
      <w:jc w:val="center"/>
    </w:pPr>
    <w:rPr>
      <w:rFonts w:ascii="Times New Roman" w:hAnsi="Times New Roman" w:eastAsia="仿宋_GB2312" w:cs="Times New Roman"/>
      <w:b/>
      <w:sz w:val="24"/>
      <w:szCs w:val="24"/>
      <w:lang w:val="en-US" w:eastAsia="zh-CN" w:bidi="ar-SA"/>
    </w:rPr>
  </w:style>
  <w:style w:type="paragraph" w:customStyle="1" w:styleId="80">
    <w:name w:val="表居中（中文）"/>
    <w:basedOn w:val="1"/>
    <w:qFormat/>
    <w:uiPriority w:val="0"/>
    <w:pPr>
      <w:widowControl w:val="0"/>
      <w:adjustRightInd w:val="0"/>
      <w:spacing w:line="380" w:lineRule="atLeast"/>
      <w:jc w:val="center"/>
      <w:textAlignment w:val="baseline"/>
    </w:pPr>
    <w:rPr>
      <w:rFonts w:eastAsia="楷体_GB2312"/>
      <w:sz w:val="21"/>
    </w:rPr>
  </w:style>
  <w:style w:type="paragraph" w:customStyle="1" w:styleId="81">
    <w:name w:val="1"/>
    <w:basedOn w:val="1"/>
    <w:next w:val="8"/>
    <w:qFormat/>
    <w:uiPriority w:val="0"/>
    <w:pPr>
      <w:widowControl w:val="0"/>
      <w:spacing w:line="360" w:lineRule="auto"/>
      <w:ind w:firstLine="480"/>
      <w:jc w:val="both"/>
    </w:pPr>
    <w:rPr>
      <w:rFonts w:eastAsia="宋体"/>
      <w:kern w:val="2"/>
    </w:rPr>
  </w:style>
  <w:style w:type="paragraph" w:customStyle="1" w:styleId="82">
    <w:name w:val="表格编号"/>
    <w:basedOn w:val="1"/>
    <w:next w:val="83"/>
    <w:qFormat/>
    <w:uiPriority w:val="0"/>
    <w:pPr>
      <w:tabs>
        <w:tab w:val="left" w:pos="432"/>
      </w:tabs>
      <w:spacing w:before="300" w:after="200"/>
      <w:ind w:left="432" w:hanging="432"/>
      <w:jc w:val="center"/>
    </w:pPr>
    <w:rPr>
      <w:sz w:val="24"/>
    </w:rPr>
  </w:style>
  <w:style w:type="paragraph" w:customStyle="1" w:styleId="83">
    <w:name w:val="表格文字"/>
    <w:basedOn w:val="9"/>
    <w:qFormat/>
    <w:uiPriority w:val="0"/>
    <w:pPr>
      <w:tabs>
        <w:tab w:val="left" w:pos="360"/>
      </w:tabs>
      <w:spacing w:before="60" w:after="60"/>
    </w:pPr>
    <w:rPr>
      <w:kern w:val="0"/>
      <w:sz w:val="24"/>
    </w:rPr>
  </w:style>
  <w:style w:type="character" w:customStyle="1" w:styleId="84">
    <w:name w:val="text_yshkz"/>
    <w:basedOn w:val="45"/>
    <w:qFormat/>
    <w:uiPriority w:val="0"/>
  </w:style>
  <w:style w:type="character" w:customStyle="1" w:styleId="85">
    <w:name w:val="apple-converted-space"/>
    <w:basedOn w:val="45"/>
    <w:qFormat/>
    <w:uiPriority w:val="0"/>
  </w:style>
  <w:style w:type="paragraph" w:customStyle="1" w:styleId="86">
    <w:name w:val="Table Text"/>
    <w:basedOn w:val="1"/>
    <w:autoRedefine/>
    <w:semiHidden/>
    <w:qFormat/>
    <w:uiPriority w:val="0"/>
    <w:rPr>
      <w:rFonts w:ascii="宋体" w:hAnsi="宋体" w:cs="宋体"/>
      <w:sz w:val="24"/>
      <w:lang w:eastAsia="en-US"/>
    </w:rPr>
  </w:style>
  <w:style w:type="paragraph" w:customStyle="1" w:styleId="87">
    <w:name w:val="简单回函地址"/>
    <w:basedOn w:val="1"/>
    <w:qFormat/>
    <w:uiPriority w:val="0"/>
    <w:pPr>
      <w:widowControl/>
      <w:spacing w:line="240" w:lineRule="exact"/>
      <w:jc w:val="left"/>
    </w:pPr>
    <w:rPr>
      <w:kern w:val="0"/>
      <w:sz w:val="24"/>
      <w:szCs w:val="20"/>
    </w:rPr>
  </w:style>
  <w:style w:type="character" w:customStyle="1" w:styleId="88">
    <w:name w:val="short_text1"/>
    <w:qFormat/>
    <w:uiPriority w:val="0"/>
    <w:rPr>
      <w:sz w:val="24"/>
      <w:szCs w:val="24"/>
    </w:rPr>
  </w:style>
  <w:style w:type="paragraph" w:customStyle="1" w:styleId="89">
    <w:name w:val="表格标题"/>
    <w:basedOn w:val="10"/>
    <w:qFormat/>
    <w:uiPriority w:val="0"/>
    <w:pPr>
      <w:adjustRightInd w:val="0"/>
      <w:snapToGrid w:val="0"/>
      <w:spacing w:line="360" w:lineRule="auto"/>
      <w:ind w:left="0" w:firstLine="0" w:firstLineChars="0"/>
      <w:jc w:val="center"/>
    </w:pPr>
    <w:rPr>
      <w:b/>
      <w:sz w:val="24"/>
    </w:rPr>
  </w:style>
  <w:style w:type="paragraph" w:customStyle="1" w:styleId="90">
    <w:name w:val="Body text|1"/>
    <w:basedOn w:val="1"/>
    <w:autoRedefine/>
    <w:qFormat/>
    <w:uiPriority w:val="0"/>
    <w:pPr>
      <w:spacing w:line="446" w:lineRule="auto"/>
      <w:ind w:firstLine="400"/>
    </w:pPr>
    <w:rPr>
      <w:rFonts w:ascii="宋体" w:hAnsi="宋体" w:eastAsia="宋体" w:cs="宋体"/>
      <w:sz w:val="28"/>
      <w:szCs w:val="28"/>
      <w:lang w:val="zh-TW" w:eastAsia="zh-TW" w:bidi="zh-TW"/>
    </w:rPr>
  </w:style>
  <w:style w:type="paragraph" w:customStyle="1" w:styleId="91">
    <w:name w:val="WPSOffice手动目录 1"/>
    <w:qFormat/>
    <w:uiPriority w:val="0"/>
    <w:pPr>
      <w:ind w:leftChars="0"/>
    </w:pPr>
    <w:rPr>
      <w:rFonts w:ascii="Times New Roman" w:hAnsi="Times New Roman" w:eastAsia="宋体" w:cs="Times New Roman"/>
      <w:sz w:val="20"/>
      <w:szCs w:val="20"/>
    </w:rPr>
  </w:style>
  <w:style w:type="paragraph" w:customStyle="1" w:styleId="92">
    <w:name w:val="表格1"/>
    <w:basedOn w:val="19"/>
    <w:qFormat/>
    <w:uiPriority w:val="0"/>
    <w:pPr>
      <w:spacing w:line="340" w:lineRule="exact"/>
      <w:jc w:val="center"/>
    </w:pPr>
    <w:rPr>
      <w:rFonts w:hAnsi="Times New Roman"/>
      <w:sz w:val="18"/>
    </w:rPr>
  </w:style>
  <w:style w:type="paragraph" w:customStyle="1" w:styleId="93">
    <w:name w:val="表标题"/>
    <w:basedOn w:val="94"/>
    <w:next w:val="1"/>
    <w:qFormat/>
    <w:uiPriority w:val="0"/>
    <w:pPr>
      <w:keepNext/>
      <w:spacing w:before="163" w:beforeLines="50" w:after="0" w:afterLines="0"/>
    </w:pPr>
    <w:rPr>
      <w:color w:val="000000" w:themeColor="text1"/>
      <w14:textFill>
        <w14:solidFill>
          <w14:schemeClr w14:val="tx1"/>
        </w14:solidFill>
      </w14:textFill>
    </w:rPr>
  </w:style>
  <w:style w:type="paragraph" w:customStyle="1" w:styleId="94">
    <w:name w:val="图标题"/>
    <w:next w:val="1"/>
    <w:autoRedefine/>
    <w:qFormat/>
    <w:uiPriority w:val="0"/>
    <w:pPr>
      <w:spacing w:after="163" w:afterLines="50"/>
      <w:jc w:val="center"/>
    </w:pPr>
    <w:rPr>
      <w:rFonts w:ascii="Times New Roman" w:hAnsi="Times New Roman" w:eastAsia="黑体" w:cstheme="minorBidi"/>
      <w:color w:val="000000"/>
      <w:sz w:val="21"/>
      <w:lang w:val="en-US" w:eastAsia="zh-CN" w:bidi="ar-SA"/>
    </w:rPr>
  </w:style>
  <w:style w:type="table" w:customStyle="1" w:styleId="95">
    <w:name w:val="无格式表格 21"/>
    <w:basedOn w:val="43"/>
    <w:qFormat/>
    <w:uiPriority w:val="42"/>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header" Target="header1.xml"/><Relationship Id="rId45" Type="http://schemas.openxmlformats.org/officeDocument/2006/relationships/fontTable" Target="fontTable.xml"/><Relationship Id="rId44" Type="http://schemas.openxmlformats.org/officeDocument/2006/relationships/numbering" Target="numbering.xml"/><Relationship Id="rId43" Type="http://schemas.openxmlformats.org/officeDocument/2006/relationships/customXml" Target="../customXml/item1.xml"/><Relationship Id="rId42" Type="http://schemas.openxmlformats.org/officeDocument/2006/relationships/image" Target="media/image17.wmf"/><Relationship Id="rId41" Type="http://schemas.openxmlformats.org/officeDocument/2006/relationships/oleObject" Target="embeddings/oleObject16.bin"/><Relationship Id="rId40" Type="http://schemas.openxmlformats.org/officeDocument/2006/relationships/image" Target="media/image16.wmf"/><Relationship Id="rId4" Type="http://schemas.openxmlformats.org/officeDocument/2006/relationships/footer" Target="footer2.xml"/><Relationship Id="rId39" Type="http://schemas.openxmlformats.org/officeDocument/2006/relationships/oleObject" Target="embeddings/oleObject15.bin"/><Relationship Id="rId38" Type="http://schemas.openxmlformats.org/officeDocument/2006/relationships/image" Target="media/image15.wmf"/><Relationship Id="rId37" Type="http://schemas.openxmlformats.org/officeDocument/2006/relationships/oleObject" Target="embeddings/oleObject14.bin"/><Relationship Id="rId36" Type="http://schemas.openxmlformats.org/officeDocument/2006/relationships/image" Target="media/image14.wmf"/><Relationship Id="rId35" Type="http://schemas.openxmlformats.org/officeDocument/2006/relationships/oleObject" Target="embeddings/oleObject13.bin"/><Relationship Id="rId34" Type="http://schemas.openxmlformats.org/officeDocument/2006/relationships/image" Target="media/image13.wmf"/><Relationship Id="rId33" Type="http://schemas.openxmlformats.org/officeDocument/2006/relationships/oleObject" Target="embeddings/oleObject12.bin"/><Relationship Id="rId32" Type="http://schemas.openxmlformats.org/officeDocument/2006/relationships/image" Target="media/image12.wmf"/><Relationship Id="rId31" Type="http://schemas.openxmlformats.org/officeDocument/2006/relationships/oleObject" Target="embeddings/oleObject11.bin"/><Relationship Id="rId30" Type="http://schemas.openxmlformats.org/officeDocument/2006/relationships/image" Target="media/image11.wmf"/><Relationship Id="rId3" Type="http://schemas.openxmlformats.org/officeDocument/2006/relationships/footer" Target="footer1.xml"/><Relationship Id="rId29" Type="http://schemas.openxmlformats.org/officeDocument/2006/relationships/oleObject" Target="embeddings/oleObject10.bin"/><Relationship Id="rId28" Type="http://schemas.openxmlformats.org/officeDocument/2006/relationships/image" Target="media/image10.wmf"/><Relationship Id="rId27" Type="http://schemas.openxmlformats.org/officeDocument/2006/relationships/oleObject" Target="embeddings/oleObject9.bin"/><Relationship Id="rId26" Type="http://schemas.openxmlformats.org/officeDocument/2006/relationships/image" Target="media/image9.wmf"/><Relationship Id="rId25" Type="http://schemas.openxmlformats.org/officeDocument/2006/relationships/oleObject" Target="embeddings/oleObject8.bin"/><Relationship Id="rId24" Type="http://schemas.openxmlformats.org/officeDocument/2006/relationships/image" Target="media/image8.jpeg"/><Relationship Id="rId23" Type="http://schemas.openxmlformats.org/officeDocument/2006/relationships/image" Target="media/image7.wmf"/><Relationship Id="rId22" Type="http://schemas.openxmlformats.org/officeDocument/2006/relationships/oleObject" Target="embeddings/oleObject7.bin"/><Relationship Id="rId21" Type="http://schemas.openxmlformats.org/officeDocument/2006/relationships/image" Target="media/image6.wmf"/><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image" Target="media/image5.emf"/><Relationship Id="rId18" Type="http://schemas.openxmlformats.org/officeDocument/2006/relationships/oleObject" Target="embeddings/oleObject5.bin"/><Relationship Id="rId17" Type="http://schemas.openxmlformats.org/officeDocument/2006/relationships/image" Target="media/image4.emf"/><Relationship Id="rId16" Type="http://schemas.openxmlformats.org/officeDocument/2006/relationships/oleObject" Target="embeddings/oleObject4.bin"/><Relationship Id="rId15" Type="http://schemas.openxmlformats.org/officeDocument/2006/relationships/image" Target="media/image3.emf"/><Relationship Id="rId14" Type="http://schemas.openxmlformats.org/officeDocument/2006/relationships/oleObject" Target="embeddings/oleObject3.bin"/><Relationship Id="rId13" Type="http://schemas.openxmlformats.org/officeDocument/2006/relationships/image" Target="media/image2.emf"/><Relationship Id="rId12" Type="http://schemas.openxmlformats.org/officeDocument/2006/relationships/oleObject" Target="embeddings/oleObject2.bin"/><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soa\wdzx97.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55"/>
    <customShpInfo spid="_x0000_s1063"/>
    <customShpInfo spid="_x0000_s1064"/>
    <customShpInfo spid="_x0000_s1065"/>
    <customShpInfo spid="_x0000_s1057"/>
    <customShpInfo spid="_x0000_s1060"/>
    <customShpInfo spid="_x0000_s106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wdzx97</Template>
  <Company>微软中国</Company>
  <Pages>97</Pages>
  <Words>5319</Words>
  <Characters>5976</Characters>
  <Lines>13</Lines>
  <Paragraphs>3</Paragraphs>
  <TotalTime>2</TotalTime>
  <ScaleCrop>false</ScaleCrop>
  <LinksUpToDate>false</LinksUpToDate>
  <CharactersWithSpaces>6128</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2020-12-24T01:29:00Z</dcterms:created>
  <dc:creator>lhj</dc:creator>
  <cp:lastModifiedBy>武装我心</cp:lastModifiedBy>
  <cp:lastPrinted>2024-09-05T08:24:00Z</cp:lastPrinted>
  <dcterms:modified xsi:type="dcterms:W3CDTF">2025-06-25T01:27:16Z</dcterms:modified>
  <dc:title>附件2</dc:title>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FC1B3FC45D8B4EB7BCE42D59DCD1EF5D_13</vt:lpwstr>
  </property>
  <property fmtid="{D5CDD505-2E9C-101B-9397-08002B2CF9AE}" pid="4" name="commondata">
    <vt:lpwstr>eyJoZGlkIjoiNTAxNjgyZDAwNzA5NDRiYTZiMTQ1ZjFmNDU4Y2IyYWMifQ==</vt:lpwstr>
  </property>
  <property fmtid="{D5CDD505-2E9C-101B-9397-08002B2CF9AE}" pid="5" name="KSOTemplateDocerSaveRecord">
    <vt:lpwstr>eyJoZGlkIjoiNjUwNjA5YzBmNTFkOWQyZmY3NTA1NTgzNmVhZWUwNzAiLCJ1c2VySWQiOiIxMzYyMTc5OSJ9</vt:lpwstr>
  </property>
</Properties>
</file>