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2A00F">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淮阴区制造业智能化改造数</w:t>
      </w:r>
      <w:bookmarkStart w:id="0" w:name="_GoBack"/>
      <w:bookmarkEnd w:id="0"/>
      <w:r>
        <w:rPr>
          <w:rFonts w:ascii="Times New Roman" w:eastAsia="方正小标宋_GBK" w:cs="Times New Roman"/>
          <w:sz w:val="44"/>
          <w:szCs w:val="44"/>
        </w:rPr>
        <w:t>字化转型网络化</w:t>
      </w:r>
    </w:p>
    <w:p w14:paraId="55A38435">
      <w:pPr>
        <w:spacing w:line="560" w:lineRule="exact"/>
        <w:jc w:val="center"/>
        <w:rPr>
          <w:rFonts w:ascii="Times New Roman" w:eastAsia="方正小标宋_GBK" w:cs="Times New Roman"/>
          <w:sz w:val="44"/>
          <w:szCs w:val="44"/>
        </w:rPr>
      </w:pPr>
      <w:r>
        <w:rPr>
          <w:rFonts w:ascii="Times New Roman" w:eastAsia="方正小标宋_GBK" w:cs="Times New Roman"/>
          <w:sz w:val="44"/>
          <w:szCs w:val="44"/>
        </w:rPr>
        <w:t>联接三年行动计划（</w:t>
      </w:r>
      <w:r>
        <w:rPr>
          <w:rFonts w:ascii="Times New Roman" w:eastAsia="仿宋_GB2312" w:cs="Times New Roman"/>
          <w:sz w:val="44"/>
          <w:szCs w:val="44"/>
        </w:rPr>
        <w:t>2025-2027</w:t>
      </w:r>
      <w:r>
        <w:rPr>
          <w:rFonts w:ascii="Times New Roman" w:eastAsia="方正小标宋_GBK" w:cs="Times New Roman"/>
          <w:sz w:val="44"/>
          <w:szCs w:val="44"/>
        </w:rPr>
        <w:t>年）</w:t>
      </w:r>
    </w:p>
    <w:p w14:paraId="02B45835">
      <w:pPr>
        <w:spacing w:line="560" w:lineRule="exact"/>
        <w:jc w:val="center"/>
        <w:rPr>
          <w:rFonts w:ascii="Times New Roman" w:eastAsia="方正楷体_GBK" w:cs="Times New Roman"/>
          <w:sz w:val="32"/>
          <w:szCs w:val="32"/>
        </w:rPr>
      </w:pPr>
    </w:p>
    <w:p w14:paraId="7D13C442">
      <w:pPr>
        <w:spacing w:line="560" w:lineRule="exact"/>
        <w:jc w:val="center"/>
        <w:rPr>
          <w:rFonts w:ascii="Times New Roman" w:eastAsia="方正楷体_GBK" w:cs="Times New Roman"/>
          <w:sz w:val="32"/>
          <w:szCs w:val="32"/>
        </w:rPr>
      </w:pPr>
      <w:r>
        <w:rPr>
          <w:rFonts w:ascii="Times New Roman" w:eastAsia="方正楷体_GBK" w:cs="Times New Roman"/>
          <w:sz w:val="32"/>
          <w:szCs w:val="32"/>
        </w:rPr>
        <w:t>（征求意见稿）</w:t>
      </w:r>
    </w:p>
    <w:p w14:paraId="3D7218A2">
      <w:pPr>
        <w:spacing w:line="560" w:lineRule="exact"/>
        <w:ind w:firstLine="640" w:firstLineChars="200"/>
        <w:rPr>
          <w:rFonts w:ascii="Times New Roman" w:eastAsia="方正仿宋_GBK" w:cs="Times New Roman"/>
          <w:sz w:val="32"/>
          <w:szCs w:val="32"/>
        </w:rPr>
      </w:pPr>
    </w:p>
    <w:p w14:paraId="7A5D2477">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为落实《江苏省深化制造业智能化改造数字化转型网络化联接三年行动方案（2025-2027年）》（苏政办发</w:t>
      </w:r>
      <w:r>
        <w:rPr>
          <w:rFonts w:hint="eastAsia" w:ascii="方正仿宋_GBK" w:eastAsia="方正仿宋_GBK" w:cs="Times New Roman"/>
          <w:sz w:val="32"/>
          <w:szCs w:val="32"/>
        </w:rPr>
        <w:t>〔</w:t>
      </w:r>
      <w:r>
        <w:rPr>
          <w:rFonts w:ascii="Times New Roman" w:eastAsia="方正仿宋_GBK" w:cs="Times New Roman"/>
          <w:sz w:val="32"/>
          <w:szCs w:val="32"/>
        </w:rPr>
        <w:t>2024</w:t>
      </w:r>
      <w:r>
        <w:rPr>
          <w:rFonts w:hint="eastAsia" w:ascii="方正仿宋_GBK" w:eastAsia="方正仿宋_GBK" w:cs="Times New Roman"/>
          <w:sz w:val="32"/>
          <w:szCs w:val="32"/>
        </w:rPr>
        <w:t>〕</w:t>
      </w:r>
      <w:r>
        <w:rPr>
          <w:rFonts w:ascii="Times New Roman" w:eastAsia="方正仿宋_GBK" w:cs="Times New Roman"/>
          <w:sz w:val="32"/>
          <w:szCs w:val="32"/>
        </w:rPr>
        <w:t>39号）、《关于印发淮安市制造业智能化改造数字化转型网络化联接三年行动计划（2025-2027年）》（淮政办发</w:t>
      </w:r>
      <w:r>
        <w:rPr>
          <w:rFonts w:hint="eastAsia" w:ascii="方正仿宋_GBK" w:eastAsia="方正仿宋_GBK" w:cs="Times New Roman"/>
          <w:sz w:val="32"/>
          <w:szCs w:val="32"/>
        </w:rPr>
        <w:t>〔</w:t>
      </w:r>
      <w:r>
        <w:rPr>
          <w:rFonts w:ascii="Times New Roman" w:eastAsia="方正仿宋_GBK" w:cs="Times New Roman"/>
          <w:sz w:val="32"/>
          <w:szCs w:val="32"/>
        </w:rPr>
        <w:t>2025</w:t>
      </w:r>
      <w:r>
        <w:rPr>
          <w:rFonts w:hint="eastAsia" w:ascii="方正仿宋_GBK" w:eastAsia="方正仿宋_GBK" w:cs="Times New Roman"/>
          <w:sz w:val="32"/>
          <w:szCs w:val="32"/>
        </w:rPr>
        <w:t>〕</w:t>
      </w:r>
      <w:r>
        <w:rPr>
          <w:rFonts w:ascii="Times New Roman" w:eastAsia="方正仿宋_GBK" w:cs="Times New Roman"/>
          <w:sz w:val="32"/>
          <w:szCs w:val="32"/>
        </w:rPr>
        <w:t>8号）文件精神，深化我区制造业智能化改造数字化转型网络化联接（以下简称智改数转网联），促进制造业高质量发展，制定本行动计划。</w:t>
      </w:r>
    </w:p>
    <w:p w14:paraId="624CD93F">
      <w:pPr>
        <w:spacing w:line="560" w:lineRule="exact"/>
        <w:ind w:firstLine="640" w:firstLineChars="200"/>
        <w:rPr>
          <w:rFonts w:ascii="Times New Roman" w:eastAsia="黑体" w:cs="Times New Roman"/>
          <w:sz w:val="32"/>
          <w:szCs w:val="32"/>
        </w:rPr>
      </w:pPr>
      <w:r>
        <w:rPr>
          <w:rFonts w:ascii="Times New Roman" w:eastAsia="黑体" w:cs="Times New Roman"/>
          <w:sz w:val="32"/>
          <w:szCs w:val="32"/>
        </w:rPr>
        <w:t>一、总体要求</w:t>
      </w:r>
    </w:p>
    <w:p w14:paraId="15F94F84">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到2027年底，全区制造业加速向智能化、数字化、网络化方向发展，全面提升发展能级，打造一批省先进级智能工厂，工业企业基本完成智能化改造，</w:t>
      </w:r>
      <w:r>
        <w:rPr>
          <w:rFonts w:hint="eastAsia" w:ascii="Times New Roman" w:eastAsia="方正仿宋_GBK" w:cs="Times New Roman"/>
          <w:sz w:val="32"/>
          <w:szCs w:val="32"/>
        </w:rPr>
        <w:t>推动中小企业</w:t>
      </w:r>
      <w:r>
        <w:rPr>
          <w:rFonts w:ascii="Times New Roman" w:eastAsia="方正仿宋_GBK" w:cs="Times New Roman"/>
          <w:sz w:val="32"/>
          <w:szCs w:val="32"/>
        </w:rPr>
        <w:t>全面实施数字化转型。引导企业在工厂建设、研发设计、生产作业、经营管理和能耗、碳排放等关键环节普及应用数字技术，做优工业互联网平台，实现数字经济与实体经济进一步融合。</w:t>
      </w:r>
    </w:p>
    <w:p w14:paraId="186C40DD">
      <w:pPr>
        <w:spacing w:line="560" w:lineRule="exact"/>
        <w:ind w:firstLine="640" w:firstLineChars="200"/>
        <w:rPr>
          <w:rFonts w:ascii="Times New Roman" w:eastAsia="黑体" w:cs="Times New Roman"/>
          <w:sz w:val="32"/>
          <w:szCs w:val="32"/>
        </w:rPr>
      </w:pPr>
      <w:r>
        <w:rPr>
          <w:rFonts w:ascii="Times New Roman" w:eastAsia="黑体" w:cs="Times New Roman"/>
          <w:sz w:val="32"/>
          <w:szCs w:val="32"/>
        </w:rPr>
        <w:t>二、主要任务</w:t>
      </w:r>
    </w:p>
    <w:p w14:paraId="0C0123D2">
      <w:pPr>
        <w:spacing w:line="560" w:lineRule="exact"/>
        <w:ind w:firstLine="640" w:firstLineChars="200"/>
        <w:rPr>
          <w:rFonts w:ascii="Times New Roman" w:eastAsia="方正楷体_GBK" w:cs="Times New Roman"/>
          <w:sz w:val="32"/>
          <w:szCs w:val="32"/>
        </w:rPr>
      </w:pPr>
      <w:r>
        <w:rPr>
          <w:rFonts w:ascii="Times New Roman" w:eastAsia="方正楷体_GBK" w:cs="Times New Roman"/>
          <w:sz w:val="32"/>
          <w:szCs w:val="32"/>
        </w:rPr>
        <w:t>（一）智能化改造升级行动</w:t>
      </w:r>
    </w:p>
    <w:p w14:paraId="6C8F25A0">
      <w:pPr>
        <w:spacing w:line="560" w:lineRule="exact"/>
        <w:ind w:firstLine="640" w:firstLineChars="200"/>
        <w:rPr>
          <w:rFonts w:hint="eastAsia" w:ascii="Times New Roman" w:eastAsia="方正仿宋_GBK" w:cs="Times New Roman"/>
          <w:sz w:val="32"/>
          <w:szCs w:val="32"/>
        </w:rPr>
      </w:pPr>
      <w:r>
        <w:rPr>
          <w:rFonts w:ascii="Times New Roman" w:eastAsia="方正仿宋_GBK" w:cs="Times New Roman"/>
          <w:sz w:val="32"/>
          <w:szCs w:val="32"/>
        </w:rPr>
        <w:t>1．梯度建设智能工厂</w:t>
      </w:r>
      <w:r>
        <w:rPr>
          <w:rFonts w:hint="eastAsia" w:ascii="Times New Roman" w:eastAsia="方正仿宋_GBK" w:cs="Times New Roman"/>
          <w:sz w:val="32"/>
          <w:szCs w:val="32"/>
        </w:rPr>
        <w:t>。</w:t>
      </w:r>
      <w:r>
        <w:rPr>
          <w:rFonts w:ascii="Times New Roman" w:eastAsia="方正仿宋_GBK" w:cs="Times New Roman"/>
          <w:sz w:val="32"/>
          <w:szCs w:val="32"/>
        </w:rPr>
        <w:t>建立 “基础级—先进级—卓越级—领航级” 智能工厂梯度培育库，每年组织规上工业企业在省“数字工信”平台，围绕40个场景开展智能工厂梯度培育等级水平自评测，进行评估与对标改造。引导规上工业企业围绕单机设备、生产线、制造车间和能耗管理等，集成应用智能制造装备、工业软件与操作系统等，建设基础级智能工厂；支持基础级智能工厂深化工业互联网创新应用，在工厂建设、产品和工艺涉及、生产和经营管理、绿色发展等环节升级建设先进级智能工厂、零碳工厂；推动先进级智能工厂向卓越级、领航级跃升。到 2027 年底，60%以上规上工业企业达到基础级及以上水平，重点支持和培育先进级智能工厂20家，力争</w:t>
      </w:r>
      <w:r>
        <w:rPr>
          <w:rFonts w:hint="eastAsia" w:ascii="Times New Roman" w:eastAsia="方正仿宋_GBK" w:cs="Times New Roman"/>
          <w:sz w:val="32"/>
          <w:szCs w:val="32"/>
          <w:lang w:val="en-US" w:eastAsia="zh-CN"/>
        </w:rPr>
        <w:t>省</w:t>
      </w:r>
      <w:r>
        <w:rPr>
          <w:rFonts w:ascii="Times New Roman" w:eastAsia="方正仿宋_GBK" w:cs="Times New Roman"/>
          <w:sz w:val="32"/>
          <w:szCs w:val="32"/>
          <w:highlight w:val="none"/>
        </w:rPr>
        <w:t>零碳工厂</w:t>
      </w:r>
      <w:r>
        <w:rPr>
          <w:rFonts w:hint="eastAsia" w:ascii="Times New Roman" w:eastAsia="方正仿宋_GBK" w:cs="Times New Roman"/>
          <w:sz w:val="32"/>
          <w:szCs w:val="32"/>
          <w:highlight w:val="none"/>
          <w:lang w:eastAsia="zh-CN"/>
        </w:rPr>
        <w:t>、</w:t>
      </w:r>
      <w:r>
        <w:rPr>
          <w:rFonts w:ascii="Times New Roman" w:eastAsia="方正仿宋_GBK" w:cs="Times New Roman"/>
          <w:sz w:val="32"/>
          <w:szCs w:val="32"/>
        </w:rPr>
        <w:t>国家卓越级智能工厂取得突破，支持中天新材料创成全球“灯塔工厂”。</w:t>
      </w:r>
      <w:r>
        <w:rPr>
          <w:rFonts w:hint="eastAsia" w:ascii="方正楷体_GBK" w:eastAsia="方正楷体_GBK" w:cs="Times New Roman"/>
          <w:sz w:val="32"/>
          <w:szCs w:val="32"/>
        </w:rPr>
        <w:t>（区工信局、区发改委、区财政局、区数据局、区市场监管局，高新区、各镇（街道）按职责分工负责；以下均需高新区、各镇（街道）落实，不再列出）</w:t>
      </w:r>
    </w:p>
    <w:p w14:paraId="4AA36D46">
      <w:pPr>
        <w:spacing w:line="560" w:lineRule="exact"/>
        <w:ind w:firstLine="640" w:firstLineChars="200"/>
        <w:rPr>
          <w:rFonts w:ascii="方正楷体_GBK" w:eastAsia="方正楷体_GBK" w:cs="Times New Roman"/>
          <w:sz w:val="32"/>
          <w:szCs w:val="32"/>
        </w:rPr>
      </w:pPr>
      <w:r>
        <w:rPr>
          <w:rFonts w:ascii="Times New Roman" w:eastAsia="方正仿宋_GBK" w:cs="Times New Roman"/>
          <w:sz w:val="32"/>
          <w:szCs w:val="32"/>
        </w:rPr>
        <w:t>2．全面推进设备更新。实施新一轮的工业领域大规模设备更新行动，利用超长期特别国债支持工业重点领域设备更新，积极争取补贴，通过设备更新推动制造业“智能化改造、数字化转型、绿色化升级”，加速形成新质生产力</w:t>
      </w:r>
      <w:r>
        <w:rPr>
          <w:rFonts w:ascii="Times New Roman" w:eastAsia="MS Gothic" w:cs="Times New Roman"/>
          <w:sz w:val="32"/>
          <w:szCs w:val="32"/>
        </w:rPr>
        <w:t>‌</w:t>
      </w:r>
      <w:r>
        <w:rPr>
          <w:rFonts w:ascii="Times New Roman" w:eastAsia="方正仿宋_GBK" w:cs="Times New Roman"/>
          <w:sz w:val="32"/>
          <w:szCs w:val="32"/>
        </w:rPr>
        <w:t>。引导规上企业聚焦生产作业、仓储物流、质量管控等关键环节，加快数控机床、工业机器人、智能物流装备等通用装备升级换代，每年滚动实施智改数转网联项目 80个以上。</w:t>
      </w:r>
      <w:r>
        <w:rPr>
          <w:rFonts w:ascii="方正楷体_GBK" w:eastAsia="方正楷体_GBK" w:cs="Times New Roman"/>
          <w:sz w:val="32"/>
          <w:szCs w:val="32"/>
        </w:rPr>
        <w:t>（区工信局、区发改委、区财政局、区市场监管局、区数据局按职责分工负责）</w:t>
      </w:r>
    </w:p>
    <w:p w14:paraId="013676DC">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3．提升项目智能化水平。加大新一代信息技术、装备制造、绿色食品等重点行业与智能化软件深度集成项目招引和培育力度，建立新建项目智能化水平研判和前置辅导机制，并制定智能工厂建设路径图，力争75%以上新投产项目达到基础级及以上智能工厂水平。</w:t>
      </w:r>
      <w:r>
        <w:rPr>
          <w:rFonts w:ascii="方正楷体_GBK" w:eastAsia="方正楷体_GBK" w:cs="Times New Roman"/>
          <w:sz w:val="32"/>
          <w:szCs w:val="32"/>
        </w:rPr>
        <w:t>（区工信局、区考核办、区发改委、区数据局按职责分工负责）</w:t>
      </w:r>
    </w:p>
    <w:p w14:paraId="217A8368">
      <w:pPr>
        <w:spacing w:line="560" w:lineRule="exact"/>
        <w:ind w:firstLine="640" w:firstLineChars="200"/>
        <w:rPr>
          <w:rFonts w:ascii="Times New Roman" w:eastAsia="方正楷体_GBK" w:cs="Times New Roman"/>
          <w:sz w:val="32"/>
          <w:szCs w:val="32"/>
        </w:rPr>
      </w:pPr>
      <w:r>
        <w:rPr>
          <w:rFonts w:hint="eastAsia" w:ascii="Times New Roman" w:eastAsia="方正楷体_GBK" w:cs="Times New Roman"/>
          <w:sz w:val="32"/>
          <w:szCs w:val="32"/>
        </w:rPr>
        <w:t>（二）</w:t>
      </w:r>
      <w:r>
        <w:rPr>
          <w:rFonts w:ascii="Times New Roman" w:eastAsia="方正楷体_GBK" w:cs="Times New Roman"/>
          <w:sz w:val="32"/>
          <w:szCs w:val="32"/>
        </w:rPr>
        <w:t>数字化转型应用行动</w:t>
      </w:r>
    </w:p>
    <w:p w14:paraId="2193B036">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4．实施中小企业梯度转型</w:t>
      </w:r>
      <w:r>
        <w:rPr>
          <w:rFonts w:hint="eastAsia" w:ascii="Times New Roman" w:eastAsia="方正仿宋_GBK" w:cs="Times New Roman"/>
          <w:sz w:val="32"/>
          <w:szCs w:val="32"/>
        </w:rPr>
        <w:t>。</w:t>
      </w:r>
      <w:r>
        <w:rPr>
          <w:rFonts w:ascii="Times New Roman" w:eastAsia="方正仿宋_GBK" w:cs="Times New Roman"/>
          <w:sz w:val="32"/>
          <w:szCs w:val="32"/>
        </w:rPr>
        <w:t>推动创新型中小企业在产品设计、生产管控、营销管理、仓储物流和财务管理等应用场景，实施设备和业务上云，实现单个细分场景的效率提升；推动省级专精特新中小企业在产品生命周期、生产执行、供应链和管理决策等多场景持续提升数字化水平；推动国家专精特新“小巨人”企业开展集成级数字化转型。到2027年底，创新型、专精特新和“小巨人”工业企业分别实现初始级、规范级和集成级及以上数字化转型全覆盖。</w:t>
      </w:r>
      <w:r>
        <w:rPr>
          <w:rFonts w:ascii="方正楷体_GBK" w:eastAsia="方正楷体_GBK" w:cs="Times New Roman"/>
          <w:sz w:val="32"/>
          <w:szCs w:val="32"/>
        </w:rPr>
        <w:t>（区工信局、区财政局、区数据局按职责分工负责）</w:t>
      </w:r>
    </w:p>
    <w:p w14:paraId="3F60057A">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5．加快人工智能场景应用</w:t>
      </w:r>
      <w:r>
        <w:rPr>
          <w:rFonts w:hint="eastAsia" w:ascii="Times New Roman" w:eastAsia="方正仿宋_GBK" w:cs="Times New Roman"/>
          <w:sz w:val="32"/>
          <w:szCs w:val="32"/>
        </w:rPr>
        <w:t>。</w:t>
      </w:r>
      <w:r>
        <w:rPr>
          <w:rFonts w:ascii="Times New Roman" w:eastAsia="方正仿宋_GBK" w:cs="Times New Roman"/>
          <w:sz w:val="32"/>
          <w:szCs w:val="32"/>
        </w:rPr>
        <w:t>加快人工智能技术在生产制造、质量检测、供应链管理、设备预测性维护、能耗优化、产品研发设计等核心场景的落地应用。组织场景应用试点示范并推广成功经验，推动工业企业从“单点应用”向“全流程智能化”升级，加速制造业数字化转型进程。聚焦数字化基础较好的重点行业，鼓励企业与大模型企业合作，加强数据采集、分析和创新应用，探索共建行业大模型和场景小模型。到2027年底，累计打造AI示范应用场景5个以上。</w:t>
      </w:r>
      <w:r>
        <w:rPr>
          <w:rFonts w:ascii="方正楷体_GBK" w:eastAsia="方正楷体_GBK" w:cs="Times New Roman"/>
          <w:sz w:val="32"/>
          <w:szCs w:val="32"/>
        </w:rPr>
        <w:t>（区工信局、区发改委、区科技局、区数据局按职责分工负责）</w:t>
      </w:r>
    </w:p>
    <w:p w14:paraId="7252E24B">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6．构建工业互联网平台体系</w:t>
      </w:r>
      <w:r>
        <w:rPr>
          <w:rFonts w:hint="eastAsia" w:ascii="Times New Roman" w:eastAsia="方正仿宋_GBK" w:cs="Times New Roman"/>
          <w:sz w:val="32"/>
          <w:szCs w:val="32"/>
        </w:rPr>
        <w:t>。</w:t>
      </w:r>
      <w:r>
        <w:rPr>
          <w:rFonts w:ascii="Times New Roman" w:eastAsia="方正仿宋_GBK" w:cs="Times New Roman"/>
          <w:sz w:val="32"/>
          <w:szCs w:val="32"/>
        </w:rPr>
        <w:t>鼓励企业开展工业互联网平台建设，改造提升生产装备的自动感知能力和联网率，实时采集工业设备和目标产品的运行状态数据，整合内外部数据资源，构建统一数据模型。鼓励龙头企业建设企业级工业互联网平台，开发轻量化算法工具包，向中小企业开放调用权限，引导中小企业通过上云上平台，优化生产流程，提升生产效率和产品质量。到2027年底，累计培育省级工业互联网平台6个。</w:t>
      </w:r>
      <w:r>
        <w:rPr>
          <w:rFonts w:ascii="方正楷体_GBK" w:eastAsia="方正楷体_GBK" w:cs="Times New Roman"/>
          <w:sz w:val="32"/>
          <w:szCs w:val="32"/>
        </w:rPr>
        <w:t>（区工信局、区发改委、区数据局按职责分工负责）</w:t>
      </w:r>
    </w:p>
    <w:p w14:paraId="17A5AC39">
      <w:pPr>
        <w:spacing w:line="560" w:lineRule="exact"/>
        <w:ind w:firstLine="640" w:firstLineChars="200"/>
        <w:rPr>
          <w:rFonts w:ascii="方正楷体_GBK" w:eastAsia="方正楷体_GBK" w:cs="Times New Roman"/>
          <w:sz w:val="32"/>
          <w:szCs w:val="32"/>
        </w:rPr>
      </w:pPr>
      <w:r>
        <w:rPr>
          <w:rFonts w:hint="eastAsia" w:ascii="方正楷体_GBK" w:eastAsia="方正楷体_GBK" w:cs="Times New Roman"/>
          <w:sz w:val="32"/>
          <w:szCs w:val="32"/>
        </w:rPr>
        <w:t>（三）网络化联接赋能行动</w:t>
      </w:r>
    </w:p>
    <w:p w14:paraId="38424552">
      <w:pPr>
        <w:spacing w:line="560" w:lineRule="exact"/>
        <w:ind w:firstLine="640" w:firstLineChars="200"/>
        <w:rPr>
          <w:rFonts w:ascii="方正楷体_GBK" w:eastAsia="方正楷体_GBK" w:cs="Times New Roman"/>
          <w:sz w:val="32"/>
          <w:szCs w:val="32"/>
        </w:rPr>
      </w:pPr>
      <w:r>
        <w:rPr>
          <w:rFonts w:ascii="Times New Roman" w:eastAsia="方正仿宋_GBK" w:cs="Times New Roman"/>
          <w:sz w:val="32"/>
          <w:szCs w:val="32"/>
        </w:rPr>
        <w:t>7．提升工业网络基础设施水平</w:t>
      </w:r>
      <w:r>
        <w:rPr>
          <w:rFonts w:hint="eastAsia" w:ascii="方正楷体_GBK" w:eastAsia="方正楷体_GBK" w:cs="Times New Roman"/>
          <w:sz w:val="32"/>
          <w:szCs w:val="32"/>
        </w:rPr>
        <w:t>。</w:t>
      </w:r>
      <w:r>
        <w:rPr>
          <w:rFonts w:ascii="Times New Roman" w:eastAsia="方正仿宋_GBK" w:cs="Times New Roman"/>
          <w:sz w:val="32"/>
          <w:szCs w:val="32"/>
        </w:rPr>
        <w:t>加快千兆光网和5G网络深度覆盖，分步推进5G-A、互联网协议第6版（IPv6）、工业PON等技术商用部署，助力生产要素广泛互联和数据互通。持续推进“万兆入园、千兆进企”。到2027年底，力争高新区建成“万兆园区”。</w:t>
      </w:r>
      <w:r>
        <w:rPr>
          <w:rFonts w:ascii="方正楷体_GBK" w:eastAsia="方正楷体_GBK" w:cs="Times New Roman"/>
          <w:sz w:val="32"/>
          <w:szCs w:val="32"/>
        </w:rPr>
        <w:t>（市通管办淮阴区办事处、区工信局、区数据局按职责分工负责）</w:t>
      </w:r>
    </w:p>
    <w:p w14:paraId="43E4A57A">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8．增强先进算力基础服务能力</w:t>
      </w:r>
      <w:r>
        <w:rPr>
          <w:rFonts w:hint="eastAsia" w:ascii="Times New Roman" w:eastAsia="方正仿宋_GBK" w:cs="Times New Roman"/>
          <w:sz w:val="32"/>
          <w:szCs w:val="32"/>
        </w:rPr>
        <w:t>。</w:t>
      </w:r>
      <w:r>
        <w:rPr>
          <w:rFonts w:ascii="Times New Roman" w:eastAsia="方正仿宋_GBK" w:cs="Times New Roman"/>
          <w:sz w:val="32"/>
          <w:szCs w:val="32"/>
        </w:rPr>
        <w:t>适度超前、有序布局智算中心，加快现有算力中心建设，引导各类公共算力及市场化算力资源接入，推动算力赋能产业发展。</w:t>
      </w:r>
      <w:r>
        <w:rPr>
          <w:rFonts w:hint="eastAsia" w:ascii="Times New Roman" w:eastAsia="方正仿宋_GBK" w:cs="Times New Roman"/>
          <w:sz w:val="32"/>
          <w:szCs w:val="32"/>
        </w:rPr>
        <w:t>支持优势产业和龙头企业自建规模适度、技术领先的算力中心，为产业发展提供专属算力支持</w:t>
      </w:r>
      <w:r>
        <w:rPr>
          <w:rFonts w:ascii="Times New Roman" w:eastAsia="方正仿宋_GBK" w:cs="Times New Roman"/>
          <w:sz w:val="32"/>
          <w:szCs w:val="32"/>
        </w:rPr>
        <w:t>。</w:t>
      </w:r>
      <w:r>
        <w:rPr>
          <w:rFonts w:ascii="方正楷体_GBK" w:eastAsia="方正楷体_GBK" w:cs="Times New Roman"/>
          <w:sz w:val="32"/>
          <w:szCs w:val="32"/>
        </w:rPr>
        <w:t xml:space="preserve">（区数据局、区发改委、区科技局、区工信局、市通管办淮阴区办事处按职责分工负责） </w:t>
      </w:r>
    </w:p>
    <w:p w14:paraId="4C8574E7">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9．强化网络和数据防护能力</w:t>
      </w:r>
      <w:r>
        <w:rPr>
          <w:rFonts w:hint="eastAsia" w:ascii="Times New Roman" w:eastAsia="方正仿宋_GBK" w:cs="Times New Roman"/>
          <w:sz w:val="32"/>
          <w:szCs w:val="32"/>
        </w:rPr>
        <w:t>。</w:t>
      </w:r>
      <w:r>
        <w:rPr>
          <w:rFonts w:ascii="Times New Roman" w:eastAsia="方正仿宋_GBK" w:cs="Times New Roman"/>
          <w:sz w:val="32"/>
          <w:szCs w:val="32"/>
        </w:rPr>
        <w:t>加强工业网络分类分级管理，</w:t>
      </w:r>
      <w:r>
        <w:rPr>
          <w:rFonts w:hint="eastAsia" w:ascii="Times New Roman" w:eastAsia="方正仿宋_GBK" w:cs="Times New Roman"/>
          <w:sz w:val="32"/>
          <w:szCs w:val="32"/>
        </w:rPr>
        <w:t>开展星级防护企业培育工作，</w:t>
      </w:r>
      <w:r>
        <w:rPr>
          <w:rFonts w:ascii="Times New Roman" w:eastAsia="方正仿宋_GBK" w:cs="Times New Roman"/>
          <w:sz w:val="32"/>
          <w:szCs w:val="32"/>
        </w:rPr>
        <w:t>筑牢安全屏障</w:t>
      </w:r>
      <w:r>
        <w:rPr>
          <w:rFonts w:hint="eastAsia" w:ascii="Times New Roman" w:eastAsia="方正仿宋_GBK" w:cs="Times New Roman"/>
          <w:sz w:val="32"/>
          <w:szCs w:val="32"/>
        </w:rPr>
        <w:t>。</w:t>
      </w:r>
      <w:r>
        <w:rPr>
          <w:rFonts w:ascii="Times New Roman" w:eastAsia="方正仿宋_GBK" w:cs="Times New Roman"/>
          <w:sz w:val="32"/>
          <w:szCs w:val="32"/>
        </w:rPr>
        <w:t>组织企业参加工业网络和数据安全培训及攻防演练活动，开展工业信息安全检测评估、咨询诊断和整改提升</w:t>
      </w:r>
      <w:r>
        <w:rPr>
          <w:rFonts w:hint="eastAsia" w:ascii="Times New Roman" w:eastAsia="方正仿宋_GBK" w:cs="Times New Roman"/>
          <w:sz w:val="32"/>
          <w:szCs w:val="32"/>
        </w:rPr>
        <w:t>，</w:t>
      </w:r>
      <w:r>
        <w:rPr>
          <w:rFonts w:ascii="Times New Roman" w:eastAsia="方正仿宋_GBK" w:cs="Times New Roman"/>
          <w:sz w:val="32"/>
          <w:szCs w:val="32"/>
        </w:rPr>
        <w:t>帮助企业进一步提升信息安全防护能力，指导纽泰格等</w:t>
      </w:r>
      <w:r>
        <w:rPr>
          <w:rFonts w:hint="eastAsia" w:ascii="Times New Roman" w:eastAsia="方正仿宋_GBK" w:cs="Times New Roman"/>
          <w:sz w:val="32"/>
          <w:szCs w:val="32"/>
        </w:rPr>
        <w:t>重点</w:t>
      </w:r>
      <w:r>
        <w:rPr>
          <w:rFonts w:ascii="Times New Roman" w:eastAsia="方正仿宋_GBK" w:cs="Times New Roman"/>
          <w:sz w:val="32"/>
          <w:szCs w:val="32"/>
        </w:rPr>
        <w:t>企业实现星级提升。到2027年底，力争累计推动12户以上实现星级达标。</w:t>
      </w:r>
      <w:r>
        <w:rPr>
          <w:rFonts w:ascii="方正楷体_GBK" w:eastAsia="方正楷体_GBK" w:cs="Times New Roman"/>
          <w:sz w:val="32"/>
          <w:szCs w:val="32"/>
        </w:rPr>
        <w:t>（区工信局、市通管办淮阴区办事处、区数据局按职责分工负责）</w:t>
      </w:r>
    </w:p>
    <w:p w14:paraId="36E293BE">
      <w:pPr>
        <w:spacing w:line="560" w:lineRule="exact"/>
        <w:ind w:firstLine="640" w:firstLineChars="200"/>
        <w:rPr>
          <w:rFonts w:ascii="Times New Roman" w:eastAsia="方正楷体_GBK" w:cs="Times New Roman"/>
          <w:sz w:val="32"/>
          <w:szCs w:val="32"/>
        </w:rPr>
      </w:pPr>
      <w:r>
        <w:rPr>
          <w:rFonts w:ascii="Times New Roman" w:eastAsia="方正楷体_GBK" w:cs="Times New Roman"/>
          <w:sz w:val="32"/>
          <w:szCs w:val="32"/>
        </w:rPr>
        <w:t>（</w:t>
      </w:r>
      <w:r>
        <w:rPr>
          <w:rFonts w:hint="eastAsia" w:ascii="Times New Roman" w:eastAsia="方正楷体_GBK" w:cs="Times New Roman"/>
          <w:sz w:val="32"/>
          <w:szCs w:val="32"/>
        </w:rPr>
        <w:t>四</w:t>
      </w:r>
      <w:r>
        <w:rPr>
          <w:rFonts w:ascii="Times New Roman" w:eastAsia="方正楷体_GBK" w:cs="Times New Roman"/>
          <w:sz w:val="32"/>
          <w:szCs w:val="32"/>
        </w:rPr>
        <w:t>）发展环境提升行动</w:t>
      </w:r>
    </w:p>
    <w:p w14:paraId="230ECFE5">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10．培育发展数智重点企业</w:t>
      </w:r>
      <w:r>
        <w:rPr>
          <w:rFonts w:hint="eastAsia" w:ascii="Times New Roman" w:eastAsia="方正仿宋_GBK" w:cs="Times New Roman"/>
          <w:sz w:val="32"/>
          <w:szCs w:val="32"/>
        </w:rPr>
        <w:t>。</w:t>
      </w:r>
      <w:r>
        <w:rPr>
          <w:rFonts w:ascii="Times New Roman" w:eastAsia="方正仿宋_GBK" w:cs="Times New Roman"/>
          <w:sz w:val="32"/>
          <w:szCs w:val="32"/>
        </w:rPr>
        <w:t>引进和培育一批智能装备、新一代信息技术等制造业企业，加快推进数智重点企业发展，加强首台（套）重大技术装备研发创新和推广应用，力争智能装备、新一代信息技术产业年均增长12%以上。招引工业软件研发销售服务商，精准对接新一代信息技术、高端装备、生物医药等产业企业，自主研发工业软件，推动行业软件升级迭代，积极培育推广优秀工业软件产品和解决方案、首版次软件产品。</w:t>
      </w:r>
      <w:r>
        <w:rPr>
          <w:rFonts w:ascii="方正楷体_GBK" w:eastAsia="方正楷体_GBK" w:cs="Times New Roman"/>
          <w:sz w:val="32"/>
          <w:szCs w:val="32"/>
        </w:rPr>
        <w:t xml:space="preserve">（区工信局、区发改委、区科技局、区数据局按职责分工负责） </w:t>
      </w:r>
    </w:p>
    <w:p w14:paraId="60068199">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11．强化数字技术人才建设</w:t>
      </w:r>
      <w:r>
        <w:rPr>
          <w:rFonts w:hint="eastAsia" w:ascii="Times New Roman" w:eastAsia="方正仿宋_GBK" w:cs="Times New Roman"/>
          <w:sz w:val="32"/>
          <w:szCs w:val="32"/>
        </w:rPr>
        <w:t>。</w:t>
      </w:r>
      <w:r>
        <w:rPr>
          <w:rFonts w:ascii="Times New Roman" w:eastAsia="方正仿宋_GBK" w:cs="Times New Roman"/>
          <w:sz w:val="32"/>
          <w:szCs w:val="32"/>
        </w:rPr>
        <w:t>坚持以产聚才、以才兴产，紧扣全区三大主导产业需要，针对性引才聚才。推动高新区与东南大学共建淮安双碳协同创新中心、与南京工业大学共建淮安高新区技术转移中心、与省生产力促进中心共建淮安产业科技集成创新服务中心，吸引一批智改数转网联人才和创新团队，带动产业结构与形态提质升级。同时坚持人才服务的精准性和精细化，帮助人才安心、安身、安业。狠抓人才政策的宣传推介，通过召开政策宣讲会、印发政策汇编、“淮企小秘书”发布公告等多种形式渠道，提升人才政策知晓率。</w:t>
      </w:r>
      <w:r>
        <w:rPr>
          <w:rFonts w:ascii="方正楷体_GBK" w:eastAsia="方正楷体_GBK" w:cs="Times New Roman"/>
          <w:sz w:val="32"/>
          <w:szCs w:val="32"/>
        </w:rPr>
        <w:t>（区委人才办、区人社局、区教育局、区科技局、区数据局按职责分工负责）</w:t>
      </w:r>
    </w:p>
    <w:p w14:paraId="389F8DAA">
      <w:pPr>
        <w:spacing w:line="560" w:lineRule="exact"/>
        <w:ind w:firstLine="640" w:firstLineChars="200"/>
        <w:rPr>
          <w:rFonts w:ascii="Times New Roman" w:eastAsia="方正仿宋_GBK" w:cs="Times New Roman"/>
          <w:sz w:val="32"/>
          <w:szCs w:val="32"/>
        </w:rPr>
      </w:pPr>
      <w:r>
        <w:rPr>
          <w:rFonts w:ascii="Times New Roman" w:eastAsia="方正仿宋_GBK" w:cs="Times New Roman"/>
          <w:sz w:val="32"/>
          <w:szCs w:val="32"/>
        </w:rPr>
        <w:t>12．强化智能制造服务支撑</w:t>
      </w:r>
      <w:r>
        <w:rPr>
          <w:rFonts w:hint="eastAsia" w:ascii="Times New Roman" w:eastAsia="方正仿宋_GBK" w:cs="Times New Roman"/>
          <w:sz w:val="32"/>
          <w:szCs w:val="32"/>
        </w:rPr>
        <w:t>。</w:t>
      </w:r>
      <w:r>
        <w:rPr>
          <w:rFonts w:ascii="Times New Roman" w:eastAsia="方正仿宋_GBK" w:cs="Times New Roman"/>
          <w:sz w:val="32"/>
          <w:szCs w:val="32"/>
        </w:rPr>
        <w:t>聚焦产业数字化转型需求，重点招引具备工业互联网平台搭建、智能装备集成、数字孪生应用等核心能力的优质服务商。对落地后服务本地企业的服务商，建立服务商动态评估机制，通过政策奖补、场景开放、供需对接会等形式，推动服务商与本地企业深度合作，打造涵盖规划设计、系统集成、运维服务的全链条智能制造服务体系，助力企业实现生产流程智能化改造与管理模式数字化升级，夯实制造业高质量发展的服务根基。</w:t>
      </w:r>
      <w:r>
        <w:rPr>
          <w:rFonts w:hint="eastAsia" w:ascii="方正楷体_GBK" w:eastAsia="方正楷体_GBK" w:cs="Times New Roman"/>
          <w:sz w:val="32"/>
          <w:szCs w:val="32"/>
        </w:rPr>
        <w:t>（</w:t>
      </w:r>
      <w:r>
        <w:rPr>
          <w:rFonts w:ascii="方正楷体_GBK" w:eastAsia="方正楷体_GBK" w:cs="Times New Roman"/>
          <w:sz w:val="32"/>
          <w:szCs w:val="32"/>
        </w:rPr>
        <w:t>区工信局、区数据局、区财政局按职责分工负责）</w:t>
      </w:r>
    </w:p>
    <w:p w14:paraId="5C0A8BB2">
      <w:pPr>
        <w:spacing w:line="560" w:lineRule="exact"/>
        <w:ind w:firstLine="640" w:firstLineChars="200"/>
        <w:rPr>
          <w:rFonts w:ascii="Times New Roman" w:eastAsia="黑体" w:cs="Times New Roman"/>
          <w:sz w:val="32"/>
          <w:szCs w:val="32"/>
        </w:rPr>
      </w:pPr>
      <w:r>
        <w:rPr>
          <w:rFonts w:ascii="Times New Roman" w:eastAsia="黑体" w:cs="Times New Roman"/>
          <w:sz w:val="32"/>
          <w:szCs w:val="32"/>
        </w:rPr>
        <w:t>三、保障举措</w:t>
      </w:r>
    </w:p>
    <w:p w14:paraId="46C0C028">
      <w:pPr>
        <w:spacing w:line="560" w:lineRule="exact"/>
        <w:ind w:firstLine="640" w:firstLineChars="200"/>
        <w:rPr>
          <w:rFonts w:hint="eastAsia" w:ascii="Times New Roman" w:eastAsia="方正仿宋_GBK" w:cs="Times New Roman"/>
          <w:sz w:val="32"/>
          <w:szCs w:val="32"/>
          <w:lang w:eastAsia="zh-CN"/>
        </w:rPr>
        <w:sectPr>
          <w:footerReference r:id="rId3" w:type="default"/>
          <w:pgSz w:w="11906" w:h="16838"/>
          <w:pgMar w:top="1814" w:right="1531" w:bottom="1985" w:left="1531" w:header="851" w:footer="992" w:gutter="0"/>
          <w:cols w:space="720" w:num="1"/>
          <w:docGrid w:type="lines" w:linePitch="312" w:charSpace="0"/>
        </w:sectPr>
      </w:pPr>
      <w:r>
        <w:rPr>
          <w:rFonts w:ascii="Times New Roman" w:eastAsia="方正仿宋_GBK" w:cs="Times New Roman"/>
          <w:sz w:val="32"/>
          <w:szCs w:val="32"/>
        </w:rPr>
        <w:t>区各相关部门要加强政策协调和工作联动，落实各项工作目标任务。鼓励金融机构加大对制造业企业智改数转网联支持，用足制造业贷款贴息政策，支持企业加大生产工艺和设备改造。统筹用好区推进新型工业化专项引导资金，积极争取超长期特别国债、制造业贷款财政贴息、制造强省建设专项资金、市工业强市发展专项引导资金等政策支持。加大宣传推广力度，广泛宣传智改数转网联成效和经验。高新区、各镇（街道）具体负责本地区智改数转网联推进工作，加大工作力度，保质保量完成各项工作</w:t>
      </w:r>
      <w:r>
        <w:rPr>
          <w:rFonts w:hint="eastAsia" w:ascii="Times New Roman" w:eastAsia="方正仿宋_GBK" w:cs="Times New Roman"/>
          <w:sz w:val="32"/>
          <w:szCs w:val="32"/>
          <w:lang w:eastAsia="zh-CN"/>
        </w:rPr>
        <w:t>。</w:t>
      </w:r>
    </w:p>
    <w:p w14:paraId="771B8F8C">
      <w:pPr>
        <w:spacing w:line="300" w:lineRule="exact"/>
        <w:rPr>
          <w:rFonts w:ascii="Times New Roman" w:eastAsia="方正仿宋_GBK" w:cs="Times New Roman"/>
          <w:sz w:val="30"/>
          <w:szCs w:val="30"/>
        </w:rPr>
      </w:pPr>
    </w:p>
    <w:sectPr>
      <w:pgSz w:w="16838" w:h="11906" w:orient="landscape"/>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CB6674-096F-4636-9C8F-EBE2B97844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embedRegular r:id="rId2" w:fontKey="{AF2835F3-AB99-4662-96B0-F4F883F83446}"/>
  </w:font>
  <w:font w:name="方正小标宋_GBK">
    <w:panose1 w:val="03000509000000000000"/>
    <w:charset w:val="86"/>
    <w:family w:val="auto"/>
    <w:pitch w:val="default"/>
    <w:sig w:usb0="00000001" w:usb1="080E0000" w:usb2="00000000" w:usb3="00000000" w:csb0="00040000" w:csb1="00000000"/>
    <w:embedRegular r:id="rId3" w:fontKey="{75C93A5D-D32F-4C23-B6A3-264B40EAF3A4}"/>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4" w:fontKey="{56E0647E-B6CB-477B-9557-6560E0C529A9}"/>
  </w:font>
  <w:font w:name="方正仿宋_GBK">
    <w:panose1 w:val="03000509000000000000"/>
    <w:charset w:val="86"/>
    <w:family w:val="script"/>
    <w:pitch w:val="default"/>
    <w:sig w:usb0="00000001" w:usb1="080E0000" w:usb2="00000000" w:usb3="00000000" w:csb0="00040000" w:csb1="00000000"/>
    <w:embedRegular r:id="rId5" w:fontKey="{74604A70-4577-41FC-9EEB-849DAFF1B3D5}"/>
  </w:font>
  <w:font w:name="MS Gothic">
    <w:panose1 w:val="020B0609070205080204"/>
    <w:charset w:val="80"/>
    <w:family w:val="modern"/>
    <w:pitch w:val="default"/>
    <w:sig w:usb0="E00002FF" w:usb1="6AC7FDFB" w:usb2="08000012" w:usb3="00000000" w:csb0="4002009F" w:csb1="DFD70000"/>
    <w:embedRegular r:id="rId6" w:fontKey="{45ADA538-6DE1-4DE2-8908-401C756C1E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4F8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0AA3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10AA3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E86C5"/>
    <w:multiLevelType w:val="multilevel"/>
    <w:tmpl w:val="7BFE86C5"/>
    <w:lvl w:ilvl="0" w:tentative="0">
      <w:start w:val="1"/>
      <w:numFmt w:val="chineseCountingThousand"/>
      <w:pStyle w:val="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09"/>
    <w:rsid w:val="00153DBC"/>
    <w:rsid w:val="001753ED"/>
    <w:rsid w:val="0024410A"/>
    <w:rsid w:val="002B32CF"/>
    <w:rsid w:val="002F4742"/>
    <w:rsid w:val="002F5653"/>
    <w:rsid w:val="004414A4"/>
    <w:rsid w:val="004E4E09"/>
    <w:rsid w:val="00797B5A"/>
    <w:rsid w:val="008B413D"/>
    <w:rsid w:val="008B48D2"/>
    <w:rsid w:val="0095418E"/>
    <w:rsid w:val="00983EBA"/>
    <w:rsid w:val="00A96E29"/>
    <w:rsid w:val="00CB63FE"/>
    <w:rsid w:val="00DA3BB7"/>
    <w:rsid w:val="00E35D6D"/>
    <w:rsid w:val="00EC2D12"/>
    <w:rsid w:val="00FF2AFD"/>
    <w:rsid w:val="055C757F"/>
    <w:rsid w:val="0AF65D7F"/>
    <w:rsid w:val="13E833B7"/>
    <w:rsid w:val="156A1844"/>
    <w:rsid w:val="194D67F4"/>
    <w:rsid w:val="29FA3874"/>
    <w:rsid w:val="3DBF6A8D"/>
    <w:rsid w:val="4508235C"/>
    <w:rsid w:val="4CAD55F8"/>
    <w:rsid w:val="52D547CD"/>
    <w:rsid w:val="624F4589"/>
    <w:rsid w:val="66CB0734"/>
    <w:rsid w:val="68E5638C"/>
    <w:rsid w:val="75B11DF2"/>
    <w:rsid w:val="7DF4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eastAsia="黑体"/>
      <w:b/>
      <w:bCs/>
      <w:sz w:val="32"/>
      <w:szCs w:val="32"/>
    </w:rPr>
  </w:style>
  <w:style w:type="paragraph" w:styleId="6">
    <w:name w:val="heading 3"/>
    <w:basedOn w:val="1"/>
    <w:next w:val="1"/>
    <w:qFormat/>
    <w:uiPriority w:val="0"/>
    <w:pPr>
      <w:keepNext/>
      <w:keepLines/>
      <w:numPr>
        <w:ilvl w:val="0"/>
        <w:numId w:val="1"/>
      </w:numPr>
      <w:spacing w:before="120" w:after="120" w:line="360" w:lineRule="auto"/>
      <w:outlineLvl w:val="2"/>
    </w:pPr>
    <w:rPr>
      <w:rFonts w:ascii="Times New Roman" w:eastAsia="黑体"/>
      <w:bCs/>
      <w:sz w:val="32"/>
      <w:szCs w:val="32"/>
    </w:rPr>
  </w:style>
  <w:style w:type="paragraph" w:styleId="7">
    <w:name w:val="heading 4"/>
    <w:basedOn w:val="1"/>
    <w:next w:val="1"/>
    <w:qFormat/>
    <w:uiPriority w:val="0"/>
    <w:pPr>
      <w:keepNext/>
      <w:keepLines/>
      <w:spacing w:before="240" w:after="240" w:line="377" w:lineRule="auto"/>
      <w:outlineLvl w:val="3"/>
    </w:pPr>
    <w:rPr>
      <w:rFonts w:ascii="Times New Roman" w:eastAsia="黑体" w:cs="Times New Roman"/>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spacing w:after="120"/>
      <w:ind w:left="200" w:leftChars="200"/>
    </w:pPr>
    <w:rPr>
      <w:rFonts w:asciiTheme="minorHAnsi" w:hAnsiTheme="minorHAnsi" w:eastAsiaTheme="minorEastAsia" w:cstheme="minorBidi"/>
    </w:rPr>
  </w:style>
  <w:style w:type="paragraph" w:styleId="8">
    <w:name w:val="caption"/>
    <w:basedOn w:val="1"/>
    <w:next w:val="1"/>
    <w:qFormat/>
    <w:uiPriority w:val="0"/>
    <w:pPr>
      <w:spacing w:line="360" w:lineRule="auto"/>
    </w:pPr>
    <w:rPr>
      <w:rFonts w:ascii="等线 Light" w:hAnsi="等线 Light" w:eastAsia="黑体" w:cs="Times New Roman"/>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rPr>
      <w:rFonts w:ascii="Courier New" w:hAnsi="Courier New"/>
      <w:sz w:val="20"/>
      <w:szCs w:val="20"/>
    </w:rPr>
  </w:style>
  <w:style w:type="paragraph" w:styleId="12">
    <w:name w:val="Title"/>
    <w:basedOn w:val="1"/>
    <w:next w:val="1"/>
    <w:qFormat/>
    <w:uiPriority w:val="10"/>
    <w:pPr>
      <w:spacing w:before="60" w:after="60"/>
      <w:jc w:val="left"/>
      <w:outlineLvl w:val="5"/>
    </w:pPr>
    <w:rPr>
      <w:rFonts w:eastAsia="方正楷体_GBK" w:cs="Arial Unicode MS"/>
      <w:bCs/>
      <w:szCs w:val="32"/>
      <w:lang w:bidi="bo-CN"/>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styleId="17">
    <w:name w:val="List Paragraph"/>
    <w:basedOn w:val="1"/>
    <w:qFormat/>
    <w:uiPriority w:val="0"/>
    <w:pPr>
      <w:ind w:firstLine="200" w:firstLineChars="200"/>
    </w:pPr>
  </w:style>
  <w:style w:type="paragraph" w:customStyle="1" w:styleId="18">
    <w:name w:val="修订1"/>
    <w:qFormat/>
    <w:uiPriority w:val="0"/>
    <w:rPr>
      <w:rFonts w:ascii="等线" w:hAnsi="Times New Roman" w:eastAsia="等线" w:cs="Arial"/>
      <w:kern w:val="2"/>
      <w:sz w:val="21"/>
      <w:szCs w:val="22"/>
      <w:lang w:val="en-US" w:eastAsia="zh-CN" w:bidi="ar-SA"/>
    </w:rPr>
  </w:style>
  <w:style w:type="character" w:customStyle="1" w:styleId="19">
    <w:name w:val="明显参考1"/>
    <w:basedOn w:val="15"/>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F8F1D-191B-481F-BE78-136E45DB13AF}">
  <ds:schemaRefs/>
</ds:datastoreItem>
</file>

<file path=docProps/app.xml><?xml version="1.0" encoding="utf-8"?>
<Properties xmlns="http://schemas.openxmlformats.org/officeDocument/2006/extended-properties" xmlns:vt="http://schemas.openxmlformats.org/officeDocument/2006/docPropsVTypes">
  <Template>Normal</Template>
  <Pages>7</Pages>
  <Words>3618</Words>
  <Characters>3724</Characters>
  <Lines>27</Lines>
  <Paragraphs>7</Paragraphs>
  <TotalTime>747</TotalTime>
  <ScaleCrop>false</ScaleCrop>
  <LinksUpToDate>false</LinksUpToDate>
  <CharactersWithSpaces>3735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2025-07-30T11:12:00Z</dcterms:created>
  <dc:creator>Administrator</dc:creator>
  <cp:lastModifiedBy>我就是我</cp:lastModifiedBy>
  <cp:lastPrinted>2025-07-31T01:09:00Z</cp:lastPrinted>
  <dcterms:modified xsi:type="dcterms:W3CDTF">2025-10-17T08:12:43Z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eyJoZGlkIjoiZTg4NjUyZjZjNDEwNzc3MjkyOTY5MzNiZTE3OTY2NzQiLCJ1c2VySWQiOiIyNjU0MjU3MjYifQ==</vt:lpwstr>
  </property>
  <property fmtid="{D5CDD505-2E9C-101B-9397-08002B2CF9AE}" pid="3" name="KSOProductBuildVer">
    <vt:lpwstr>2052-12.1.0.20305</vt:lpwstr>
  </property>
  <property fmtid="{D5CDD505-2E9C-101B-9397-08002B2CF9AE}" pid="4" name="ICV">
    <vt:lpwstr>AAD1636C2EC342FAA52C0DB989F99DBB_13</vt:lpwstr>
  </property>
</Properties>
</file>