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6D10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lang w:eastAsia="zh-CN"/>
        </w:rPr>
        <w:t>关于</w:t>
      </w:r>
      <w:r>
        <w:rPr>
          <w:rFonts w:hint="eastAsia" w:ascii="方正小标宋_GBK" w:hAnsi="方正小标宋_GBK" w:eastAsia="方正小标宋_GBK" w:cs="方正小标宋_GBK"/>
          <w:sz w:val="44"/>
          <w:szCs w:val="52"/>
        </w:rPr>
        <w:t>《淮阴区制造业智能化改造数字化转型网络化联接三年行动计划</w:t>
      </w:r>
      <w:r>
        <w:rPr>
          <w:rFonts w:hint="eastAsia" w:ascii="方正小标宋_GBK" w:hAnsi="方正小标宋_GBK" w:eastAsia="方正小标宋_GBK" w:cs="方正小标宋_GBK"/>
          <w:sz w:val="44"/>
          <w:szCs w:val="52"/>
          <w:lang w:eastAsia="zh-CN"/>
        </w:rPr>
        <w:t>（</w:t>
      </w:r>
      <w:r>
        <w:rPr>
          <w:rFonts w:hint="default" w:ascii="Times New Roman" w:hAnsi="Times New Roman" w:eastAsia="方正小标宋_GBK" w:cs="Times New Roman"/>
          <w:sz w:val="44"/>
          <w:szCs w:val="52"/>
        </w:rPr>
        <w:t>2025-2027</w:t>
      </w:r>
      <w:r>
        <w:rPr>
          <w:rFonts w:hint="eastAsia" w:ascii="方正小标宋_GBK" w:hAnsi="方正小标宋_GBK" w:eastAsia="方正小标宋_GBK" w:cs="方正小标宋_GBK"/>
          <w:sz w:val="44"/>
          <w:szCs w:val="52"/>
        </w:rPr>
        <w:t>年</w:t>
      </w:r>
      <w:r>
        <w:rPr>
          <w:rFonts w:hint="eastAsia" w:ascii="方正小标宋_GBK" w:hAnsi="方正小标宋_GBK" w:eastAsia="方正小标宋_GBK" w:cs="方正小标宋_GBK"/>
          <w:sz w:val="44"/>
          <w:szCs w:val="52"/>
          <w:lang w:eastAsia="zh-CN"/>
        </w:rPr>
        <w:t>）</w:t>
      </w:r>
      <w:r>
        <w:rPr>
          <w:rFonts w:hint="eastAsia" w:ascii="方正小标宋_GBK" w:hAnsi="方正小标宋_GBK" w:eastAsia="方正小标宋_GBK" w:cs="方正小标宋_GBK"/>
          <w:sz w:val="44"/>
          <w:szCs w:val="52"/>
        </w:rPr>
        <w:t>》政策解读</w:t>
      </w:r>
    </w:p>
    <w:p w14:paraId="5E3432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楷体_GBK" w:cs="Times New Roman"/>
          <w:b/>
          <w:bCs/>
          <w:sz w:val="32"/>
          <w:szCs w:val="32"/>
          <w:lang w:val="en-US" w:eastAsia="zh-CN"/>
        </w:rPr>
      </w:pPr>
    </w:p>
    <w:p w14:paraId="4987790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一、政策出台背景与依据</w:t>
      </w:r>
    </w:p>
    <w:p w14:paraId="0743CD5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方正楷体_GBK" w:hAnsi="方正楷体_GBK" w:eastAsia="方正楷体_GBK" w:cs="方正楷体_GBK"/>
          <w:b/>
          <w:bCs/>
          <w:sz w:val="32"/>
          <w:szCs w:val="40"/>
        </w:rPr>
      </w:pPr>
      <w:r>
        <w:rPr>
          <w:rFonts w:hint="eastAsia" w:ascii="方正楷体_GBK" w:hAnsi="方正楷体_GBK" w:eastAsia="方正楷体_GBK" w:cs="方正楷体_GBK"/>
          <w:b/>
          <w:bCs/>
          <w:sz w:val="32"/>
          <w:szCs w:val="40"/>
        </w:rPr>
        <w:t>（一）出台背景</w:t>
      </w:r>
    </w:p>
    <w:p w14:paraId="63F8A9E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rPr>
        <w:t>当前，数字经济与实体经济深度融合已成为制造业高质量发展的核心引擎，智能化、数字化、网络化转型是企业提升核心竞争力的必然选择。淮阴区作为制造业大区，拥有国家级高新区平台优势和盐河产业带空间资源，新型装备制造、新一代信息技术、绿色食品等重点产业集群初具规模，但部分企业仍存在智能化水平不高、数字化应用不深、网络化联接不畅等问题，制约了产业能级提升。为抢抓数字经济发展机遇，破解产业转型痛点，加快推动制造业向高端化、智能化、绿色化转型，全面提升区域制造业核心竞争力，结合淮阴区产业发展实际，制定本行动计划。</w:t>
      </w:r>
    </w:p>
    <w:p w14:paraId="4B8E9740">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方正楷体_GBK" w:hAnsi="方正楷体_GBK" w:eastAsia="方正楷体_GBK" w:cs="方正楷体_GBK"/>
          <w:b/>
          <w:bCs/>
          <w:sz w:val="32"/>
          <w:szCs w:val="40"/>
        </w:rPr>
      </w:pPr>
      <w:r>
        <w:rPr>
          <w:rFonts w:hint="eastAsia" w:ascii="方正楷体_GBK" w:hAnsi="方正楷体_GBK" w:eastAsia="方正楷体_GBK" w:cs="方正楷体_GBK"/>
          <w:b/>
          <w:bCs/>
          <w:sz w:val="32"/>
          <w:szCs w:val="40"/>
        </w:rPr>
        <w:t>（二）制定依据</w:t>
      </w:r>
    </w:p>
    <w:p w14:paraId="25E1822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rPr>
        <w:t>本行动计划严格遵循上级政策导向，主要依据《江苏省深化制造业智能化改造数字化转型网络化联接三年行动方案（2025-2027年）》（苏政办发〔2024〕39号）、《关于印发淮安市制造业智能化改造数字化转型网络化联接三年行动计划（2025-2027年）》（淮政办发〔2025〕8号）等文件精神，立足淮阴区产业基础和发展需求，确保政策的连续性、针对性和可操作性。</w:t>
      </w:r>
    </w:p>
    <w:p w14:paraId="468B3B3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二、总体目标</w:t>
      </w:r>
    </w:p>
    <w:p w14:paraId="1789DE0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rPr>
        <w:t>到 2027年底，全区制造业加速向智能化、数字化、网络化方向全面升级，发展能级显著提升：</w:t>
      </w:r>
    </w:p>
    <w:p w14:paraId="218AC8F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1.</w:t>
      </w:r>
      <w:r>
        <w:rPr>
          <w:rFonts w:hint="eastAsia" w:ascii="Times New Roman" w:hAnsi="Times New Roman" w:eastAsia="方正仿宋_GBK"/>
          <w:sz w:val="32"/>
          <w:szCs w:val="40"/>
        </w:rPr>
        <w:t>产业转型成效显著：工业企业基本完成智能化改造，中小企业全面实施数字化转型，60%以上规上工业企业达到基础级及以上智能工厂水平。</w:t>
      </w:r>
    </w:p>
    <w:p w14:paraId="234DCB6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2.</w:t>
      </w:r>
      <w:r>
        <w:rPr>
          <w:rFonts w:hint="eastAsia" w:ascii="Times New Roman" w:hAnsi="Times New Roman" w:eastAsia="方正仿宋_GBK"/>
          <w:sz w:val="32"/>
          <w:szCs w:val="40"/>
        </w:rPr>
        <w:t>标杆载体培育见效：重点培育先进级智能工厂20家，力争在省零碳工厂、国家卓越级智能工厂创建上取得突破，支持重点企业冲刺全球“灯塔工厂”。</w:t>
      </w:r>
    </w:p>
    <w:p w14:paraId="68F2BE5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3.</w:t>
      </w:r>
      <w:r>
        <w:rPr>
          <w:rFonts w:hint="eastAsia" w:ascii="Times New Roman" w:hAnsi="Times New Roman" w:eastAsia="方正仿宋_GBK"/>
          <w:sz w:val="32"/>
          <w:szCs w:val="40"/>
        </w:rPr>
        <w:t>数字生态日趋完善：累计打造AI示范应用场景5个以上，培育省级工业互联网平台6个，推动12户以上企业实现工业信息安全防护星级达标，高新区建成“万兆园区”。</w:t>
      </w:r>
    </w:p>
    <w:p w14:paraId="0260B4D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4.</w:t>
      </w:r>
      <w:r>
        <w:rPr>
          <w:rFonts w:hint="eastAsia" w:ascii="Times New Roman" w:hAnsi="Times New Roman" w:eastAsia="方正仿宋_GBK"/>
          <w:sz w:val="32"/>
          <w:szCs w:val="40"/>
        </w:rPr>
        <w:t>企业转型分层覆盖：创新型、专精特新和“小巨人”工业企业分别实现初始级、规范级和集成级及以上数字化转型全覆盖。</w:t>
      </w:r>
    </w:p>
    <w:p w14:paraId="4C28CEF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三、主要任务</w:t>
      </w:r>
    </w:p>
    <w:p w14:paraId="61ABE2E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rPr>
        <w:t>行动计划围绕“智能化改造升级、数字化转型深化、网络化联接赋能、发展环境优化”四大行动，部署12项重点任务，形成全链条推进、多维度赋能的转型格局：</w:t>
      </w:r>
    </w:p>
    <w:p w14:paraId="1A8E9B03">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方正楷体_GBK" w:hAnsi="方正楷体_GBK" w:eastAsia="方正楷体_GBK" w:cs="方正楷体_GBK"/>
          <w:b/>
          <w:bCs/>
          <w:sz w:val="32"/>
          <w:szCs w:val="40"/>
        </w:rPr>
      </w:pPr>
      <w:r>
        <w:rPr>
          <w:rFonts w:hint="eastAsia" w:ascii="方正楷体_GBK" w:hAnsi="方正楷体_GBK" w:eastAsia="方正楷体_GBK" w:cs="方正楷体_GBK"/>
          <w:b/>
          <w:bCs/>
          <w:sz w:val="32"/>
          <w:szCs w:val="40"/>
          <w:lang w:eastAsia="zh-CN"/>
        </w:rPr>
        <w:t>（一）</w:t>
      </w:r>
      <w:r>
        <w:rPr>
          <w:rFonts w:hint="eastAsia" w:ascii="方正楷体_GBK" w:hAnsi="方正楷体_GBK" w:eastAsia="方正楷体_GBK" w:cs="方正楷体_GBK"/>
          <w:b/>
          <w:bCs/>
          <w:sz w:val="32"/>
          <w:szCs w:val="40"/>
        </w:rPr>
        <w:t>智能化改造升级提质行动</w:t>
      </w:r>
    </w:p>
    <w:p w14:paraId="1AEDE32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lang w:val="en-US" w:eastAsia="zh-CN"/>
        </w:rPr>
      </w:pPr>
      <w:r>
        <w:rPr>
          <w:rFonts w:hint="eastAsia" w:ascii="Times New Roman" w:hAnsi="Times New Roman" w:eastAsia="方正仿宋_GBK"/>
          <w:sz w:val="32"/>
          <w:szCs w:val="40"/>
          <w:lang w:val="en-US" w:eastAsia="zh-CN"/>
        </w:rPr>
        <w:t>1.梯度建设智能工厂：建立“基础级—先进级—卓越级—领航级”梯度培育库，引导规上工业企业每年在省“数字工信”平台开展自评测与对标改造。从基础级智能工厂建设起步，逐步向先进级跃升，推动优质企业向卓越级、领航级突破。</w:t>
      </w:r>
    </w:p>
    <w:p w14:paraId="59284DE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2.</w:t>
      </w:r>
      <w:r>
        <w:rPr>
          <w:rFonts w:hint="eastAsia" w:ascii="Times New Roman" w:hAnsi="Times New Roman" w:eastAsia="方正仿宋_GBK"/>
          <w:sz w:val="32"/>
          <w:szCs w:val="40"/>
        </w:rPr>
        <w:t>全面推进设备更新：借助超长期特别国债支持，实施工业领域大规模设备更新，聚焦生产作业、仓储物流等关键环节，推动数控机床、工业机器人等先进设备换代与互联，每年滚动实施智改数转网联项目80个以上。</w:t>
      </w:r>
    </w:p>
    <w:p w14:paraId="4323A63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3.</w:t>
      </w:r>
      <w:r>
        <w:rPr>
          <w:rFonts w:hint="eastAsia" w:ascii="Times New Roman" w:hAnsi="Times New Roman" w:eastAsia="方正仿宋_GBK"/>
          <w:sz w:val="32"/>
          <w:szCs w:val="40"/>
        </w:rPr>
        <w:t>提升项目智能化水平：加强重点行业与智能化核心软件深度集成项目招引培育，建立新建项目智能化研判和前置辅导机制，确保75%以上新投产项目达到基础级及以上智能工厂水平。</w:t>
      </w:r>
    </w:p>
    <w:p w14:paraId="1402930A">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方正楷体_GBK" w:hAnsi="方正楷体_GBK" w:eastAsia="方正楷体_GBK" w:cs="方正楷体_GBK"/>
          <w:b/>
          <w:bCs/>
          <w:sz w:val="32"/>
          <w:szCs w:val="40"/>
        </w:rPr>
      </w:pPr>
      <w:r>
        <w:rPr>
          <w:rFonts w:hint="eastAsia" w:ascii="方正楷体_GBK" w:hAnsi="方正楷体_GBK" w:eastAsia="方正楷体_GBK" w:cs="方正楷体_GBK"/>
          <w:b/>
          <w:bCs/>
          <w:sz w:val="32"/>
          <w:szCs w:val="40"/>
        </w:rPr>
        <w:t>（二）数字化转型应用深化行动</w:t>
      </w:r>
    </w:p>
    <w:p w14:paraId="55850D2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4.</w:t>
      </w:r>
      <w:r>
        <w:rPr>
          <w:rFonts w:hint="eastAsia" w:ascii="Times New Roman" w:hAnsi="Times New Roman" w:eastAsia="方正仿宋_GBK"/>
          <w:sz w:val="32"/>
          <w:szCs w:val="40"/>
        </w:rPr>
        <w:t>实施中小企业梯度转型：针对不同类型企业精准施策，推动创新型中小企业核心场景</w:t>
      </w:r>
      <w:r>
        <w:rPr>
          <w:rFonts w:hint="eastAsia" w:ascii="Times New Roman" w:hAnsi="Times New Roman" w:eastAsia="方正仿宋_GBK"/>
          <w:sz w:val="32"/>
          <w:szCs w:val="40"/>
          <w:lang w:eastAsia="zh-CN"/>
        </w:rPr>
        <w:t>实施上云</w:t>
      </w:r>
      <w:r>
        <w:rPr>
          <w:rFonts w:hint="eastAsia" w:ascii="Times New Roman" w:hAnsi="Times New Roman" w:eastAsia="方正仿宋_GBK"/>
          <w:sz w:val="32"/>
          <w:szCs w:val="40"/>
        </w:rPr>
        <w:t>，省级专精特新中小企业多场景深化应用，国家专精特新“小巨人”企业开展集成级数字化转型，实现分层分类全覆盖。</w:t>
      </w:r>
    </w:p>
    <w:p w14:paraId="3A89488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5.</w:t>
      </w:r>
      <w:r>
        <w:rPr>
          <w:rFonts w:hint="eastAsia" w:ascii="Times New Roman" w:hAnsi="Times New Roman" w:eastAsia="方正仿宋_GBK"/>
          <w:sz w:val="32"/>
          <w:szCs w:val="40"/>
        </w:rPr>
        <w:t>加快人工智能场景应用：推动人工智能技术在生产制造、质量检测、能耗优化等核心场景落地，鼓励企业应用通用大模型，支持龙头企业联合服务商开发行业专用大模型和场景小模型，打造一批可复制推广的AI示范应用场景。</w:t>
      </w:r>
    </w:p>
    <w:p w14:paraId="2CA257A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6.</w:t>
      </w:r>
      <w:r>
        <w:rPr>
          <w:rFonts w:hint="eastAsia" w:ascii="Times New Roman" w:hAnsi="Times New Roman" w:eastAsia="方正仿宋_GBK"/>
          <w:sz w:val="32"/>
          <w:szCs w:val="40"/>
        </w:rPr>
        <w:t>构建工业互联网平台体系：鼓励龙头企业建设企业级工业互联网平台，向中小企业开放数据与工具资源；引导中小企业依托平台上云上平台，优化生产流程，形成“大企业引领、中小企业协同”的平台生态。</w:t>
      </w:r>
    </w:p>
    <w:p w14:paraId="7EC5CA9A">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方正楷体_GBK" w:hAnsi="方正楷体_GBK" w:eastAsia="方正楷体_GBK" w:cs="方正楷体_GBK"/>
          <w:b/>
          <w:bCs/>
          <w:sz w:val="32"/>
          <w:szCs w:val="40"/>
        </w:rPr>
      </w:pPr>
      <w:r>
        <w:rPr>
          <w:rFonts w:hint="eastAsia" w:ascii="方正楷体_GBK" w:hAnsi="方正楷体_GBK" w:eastAsia="方正楷体_GBK" w:cs="方正楷体_GBK"/>
          <w:b/>
          <w:bCs/>
          <w:sz w:val="32"/>
          <w:szCs w:val="40"/>
        </w:rPr>
        <w:t>（三）网络化联接赋能增效行动</w:t>
      </w:r>
    </w:p>
    <w:p w14:paraId="3B25B62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7.</w:t>
      </w:r>
      <w:r>
        <w:rPr>
          <w:rFonts w:hint="eastAsia" w:ascii="Times New Roman" w:hAnsi="Times New Roman" w:eastAsia="方正仿宋_GBK"/>
          <w:sz w:val="32"/>
          <w:szCs w:val="40"/>
        </w:rPr>
        <w:t>提升数字基础设施支撑能力：加快千兆光网、5G网络深度覆盖，分步推进 5G-A、IPv6、工业PON等技术商用，持续推进“万兆入园、千兆进企”，重点推动高新区建成 “万兆园区”。</w:t>
      </w:r>
    </w:p>
    <w:p w14:paraId="6059898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8.</w:t>
      </w:r>
      <w:r>
        <w:rPr>
          <w:rFonts w:hint="eastAsia" w:ascii="Times New Roman" w:hAnsi="Times New Roman" w:eastAsia="方正仿宋_GBK"/>
          <w:sz w:val="32"/>
          <w:szCs w:val="40"/>
        </w:rPr>
        <w:t>增强先进算力基础服务能力：适度超前布局智算中心，升级现有算力设施，引导公共算力与市场化算力资源整合；支持优势产业和龙头企业建设专属算力中心，为产业转型提供算力支撑。</w:t>
      </w:r>
    </w:p>
    <w:p w14:paraId="2AD601D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9.</w:t>
      </w:r>
      <w:r>
        <w:rPr>
          <w:rFonts w:hint="eastAsia" w:ascii="Times New Roman" w:hAnsi="Times New Roman" w:eastAsia="方正仿宋_GBK"/>
          <w:sz w:val="32"/>
          <w:szCs w:val="40"/>
        </w:rPr>
        <w:t>强化网络和数据防护能力：推进工业网络分类分级管理，开展星级防护企业培育，组织企业参加安全培训和攻防演练，提升工业信息安全检测评估与整改能力，指导重点企业实现星级提升。</w:t>
      </w:r>
    </w:p>
    <w:p w14:paraId="2F17CAAB">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方正楷体_GBK" w:hAnsi="方正楷体_GBK" w:eastAsia="方正楷体_GBK" w:cs="方正楷体_GBK"/>
          <w:b/>
          <w:bCs/>
          <w:sz w:val="32"/>
          <w:szCs w:val="40"/>
        </w:rPr>
      </w:pPr>
      <w:r>
        <w:rPr>
          <w:rFonts w:hint="eastAsia" w:ascii="方正楷体_GBK" w:hAnsi="方正楷体_GBK" w:eastAsia="方正楷体_GBK" w:cs="方正楷体_GBK"/>
          <w:b/>
          <w:bCs/>
          <w:sz w:val="32"/>
          <w:szCs w:val="40"/>
        </w:rPr>
        <w:t>（四）发展环境提升优化行动</w:t>
      </w:r>
    </w:p>
    <w:p w14:paraId="44CC027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10.</w:t>
      </w:r>
      <w:r>
        <w:rPr>
          <w:rFonts w:hint="eastAsia" w:ascii="Times New Roman" w:hAnsi="Times New Roman" w:eastAsia="方正仿宋_GBK"/>
          <w:sz w:val="32"/>
          <w:szCs w:val="40"/>
        </w:rPr>
        <w:t>培育发展数智重点企业：依托盐河产业带优势，引进培育水运偏好型数智产业项目，支持首台（</w:t>
      </w:r>
      <w:bookmarkStart w:id="0" w:name="_GoBack"/>
      <w:bookmarkEnd w:id="0"/>
      <w:r>
        <w:rPr>
          <w:rFonts w:hint="eastAsia" w:ascii="Times New Roman" w:hAnsi="Times New Roman" w:eastAsia="方正仿宋_GBK"/>
          <w:sz w:val="32"/>
          <w:szCs w:val="40"/>
        </w:rPr>
        <w:t>套）重大技术装备、首版次软件产品研发推广；招引工业软件服务商，推动行业软件升级迭代。</w:t>
      </w:r>
    </w:p>
    <w:p w14:paraId="65E6B21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sz w:val="32"/>
          <w:szCs w:val="40"/>
        </w:rPr>
      </w:pPr>
      <w:r>
        <w:rPr>
          <w:rFonts w:hint="eastAsia" w:ascii="Times New Roman" w:hAnsi="Times New Roman" w:eastAsia="方正仿宋_GBK"/>
          <w:sz w:val="32"/>
          <w:szCs w:val="40"/>
          <w:lang w:val="en-US" w:eastAsia="zh-CN"/>
        </w:rPr>
        <w:t>11.</w:t>
      </w:r>
      <w:r>
        <w:rPr>
          <w:rFonts w:hint="eastAsia" w:ascii="Times New Roman" w:hAnsi="Times New Roman" w:eastAsia="方正仿宋_GBK"/>
          <w:sz w:val="32"/>
          <w:szCs w:val="40"/>
        </w:rPr>
        <w:t>加强数字技术人才建设：紧扣三大主导产业需求，依托校企合作创新平台，引进智改数转网联人才和创新团队；加大人才政策宣传力度，拓宽政策知晓渠道，筑牢人才支撑。</w:t>
      </w:r>
    </w:p>
    <w:p w14:paraId="107C43D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方正仿宋_GBK"/>
          <w:sz w:val="32"/>
          <w:szCs w:val="40"/>
        </w:rPr>
      </w:pPr>
      <w:r>
        <w:rPr>
          <w:rFonts w:hint="eastAsia" w:ascii="Times New Roman" w:hAnsi="Times New Roman" w:eastAsia="方正仿宋_GBK"/>
          <w:sz w:val="32"/>
          <w:szCs w:val="40"/>
          <w:lang w:val="en-US" w:eastAsia="zh-CN"/>
        </w:rPr>
        <w:t>12.</w:t>
      </w:r>
      <w:r>
        <w:rPr>
          <w:rFonts w:hint="eastAsia" w:ascii="Times New Roman" w:hAnsi="Times New Roman" w:eastAsia="方正仿宋_GBK"/>
          <w:sz w:val="32"/>
          <w:szCs w:val="40"/>
        </w:rPr>
        <w:t>强化智能制造服务支撑：招引优质智能制造服务商，建立动态评估机制，通过供需对接会等形式推动服务商与企业深度合作，构建全链条服务体系，助力企业转型提质。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334D6"/>
    <w:rsid w:val="63E370C9"/>
    <w:rsid w:val="7693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1966</Words>
  <Characters>2042</Characters>
  <Lines>0</Lines>
  <Paragraphs>0</Paragraphs>
  <TotalTime>3</TotalTime>
  <ScaleCrop>false</ScaleCrop>
  <LinksUpToDate>false</LinksUpToDate>
  <CharactersWithSpaces>2045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2026-01-13T03:05:00Z</dcterms:created>
  <dc:creator>Administrator</dc:creator>
  <cp:lastModifiedBy>丢小丢</cp:lastModifiedBy>
  <dcterms:modified xsi:type="dcterms:W3CDTF">2026-01-15T00:55:35Z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eyJoZGlkIjoiOWFmODI3MDIwYWM2MzliMjE0YzY1MWMyMDc4OGE5NDEiLCJ1c2VySWQiOiIxMzQxNjUyODMzIn0=</vt:lpwstr>
  </property>
  <property fmtid="{D5CDD505-2E9C-101B-9397-08002B2CF9AE}" pid="4" name="ICV">
    <vt:lpwstr>F23027DE9A164B089E1E3C3794ADCC88_13</vt:lpwstr>
  </property>
</Properties>
</file>