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大标宋_GBK" w:hAnsi="方正大标宋_GBK" w:eastAsia="方正大标宋_GBK" w:cs="方正大标宋_GBK"/>
          <w:b w:val="0"/>
          <w:bCs/>
          <w:sz w:val="44"/>
          <w:szCs w:val="44"/>
        </w:rPr>
      </w:pPr>
      <w:bookmarkStart w:id="0" w:name="_GoBack"/>
      <w:r>
        <w:rPr>
          <w:rStyle w:val="5"/>
          <w:rFonts w:hint="eastAsia" w:ascii="方正大标宋_GBK" w:hAnsi="方正大标宋_GBK" w:eastAsia="方正大标宋_GBK" w:cs="方正大标宋_GBK"/>
          <w:b w:val="0"/>
          <w:bCs/>
          <w:sz w:val="44"/>
          <w:szCs w:val="44"/>
        </w:rPr>
        <w:t>《淮阴区2026年农业支持保护补贴（耕地地力保护）实施方案》政策解读</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sz w:val="32"/>
          <w:szCs w:val="32"/>
        </w:rPr>
      </w:pPr>
      <w:r>
        <w:rPr>
          <w:sz w:val="32"/>
          <w:szCs w:val="32"/>
        </w:rPr>
        <w:t>为便于广大群众和相关单位更好地理解和执行《淮阴区2026年农业支持保护补贴（耕地地力保护）实施方案》（以下简称《方案》），现就其主要内容解读如下：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sz w:val="32"/>
          <w:szCs w:val="32"/>
        </w:rPr>
      </w:pPr>
      <w:r>
        <w:rPr>
          <w:rStyle w:val="5"/>
          <w:sz w:val="32"/>
          <w:szCs w:val="32"/>
        </w:rPr>
        <w:t>一、出台背景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sz w:val="32"/>
          <w:szCs w:val="32"/>
        </w:rPr>
      </w:pPr>
      <w:r>
        <w:rPr>
          <w:sz w:val="32"/>
          <w:szCs w:val="32"/>
        </w:rPr>
        <w:t>农业支持保护补贴（耕地地力保护）是国家为保护耕地资源、提升耕地质量、调动农民种粮积极性、保障粮食安全而实施的一项重要惠农政策。我区制定本年度《方案》，旨在落实国家及省、市相关工作要求，规范补贴发放与管理流程，确保政策精准落地，切实将惠农资金发放到位，有效保护耕地地力，支持农业可持续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sz w:val="32"/>
          <w:szCs w:val="32"/>
        </w:rPr>
      </w:pPr>
      <w:r>
        <w:rPr>
          <w:rStyle w:val="5"/>
          <w:sz w:val="32"/>
          <w:szCs w:val="32"/>
        </w:rPr>
        <w:t>二、制定依据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sz w:val="32"/>
          <w:szCs w:val="32"/>
        </w:rPr>
      </w:pPr>
      <w:r>
        <w:rPr>
          <w:sz w:val="32"/>
          <w:szCs w:val="32"/>
        </w:rPr>
        <w:t>本《方案》主要依据以下文件制定：《关于下达2021年度农业支持保护补贴（耕地地力保护）资金预算的通知》（淮财农〔2021〕24号）《关于下达2026年度耕地地力保护补贴资金预算的通知》（淮财农〔2026〕3号）等文件精神。《方案》在上级政策框架下，结合淮阴区实际情况，进一步细化了操作流程和职责分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Style w:val="5"/>
          <w:sz w:val="32"/>
          <w:szCs w:val="32"/>
        </w:rPr>
      </w:pPr>
      <w:r>
        <w:rPr>
          <w:rStyle w:val="5"/>
          <w:sz w:val="32"/>
          <w:szCs w:val="32"/>
        </w:rPr>
        <w:t>三、总体目标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sz w:val="32"/>
          <w:szCs w:val="32"/>
        </w:rPr>
      </w:pPr>
      <w:r>
        <w:rPr>
          <w:rStyle w:val="5"/>
          <w:sz w:val="32"/>
          <w:szCs w:val="32"/>
        </w:rPr>
        <w:t>政策目标</w:t>
      </w:r>
      <w:r>
        <w:rPr>
          <w:sz w:val="32"/>
          <w:szCs w:val="32"/>
        </w:rPr>
        <w:t>：引导农民自觉提升耕地地力，减少农业资源浪费，鼓励种植粮</w:t>
      </w:r>
      <w:r>
        <w:rPr>
          <w:sz w:val="32"/>
          <w:szCs w:val="32"/>
        </w:rPr>
        <w:t>食作物，保障国家粮食安全。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sz w:val="32"/>
          <w:szCs w:val="32"/>
        </w:rPr>
      </w:pPr>
      <w:r>
        <w:rPr>
          <w:rStyle w:val="5"/>
          <w:rFonts w:ascii="Times New Roman" w:hAnsi="Times New Roman" w:eastAsia="宋体" w:cs="Times New Roman"/>
          <w:sz w:val="32"/>
          <w:szCs w:val="32"/>
        </w:rPr>
        <w:t>管理目标：</w:t>
      </w:r>
      <w:r>
        <w:rPr>
          <w:sz w:val="32"/>
          <w:szCs w:val="32"/>
        </w:rPr>
        <w:t>确保补贴发放工作公平、公正、公开，流程规范、阳光透明。实现补贴资金精准、及时、足额发放到符合条件的补贴对象手中，杜绝截留、挪用、冒领等现象</w:t>
      </w:r>
      <w:r>
        <w:rPr>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sz w:val="32"/>
          <w:szCs w:val="32"/>
        </w:rPr>
      </w:pPr>
      <w:r>
        <w:rPr>
          <w:rStyle w:val="5"/>
          <w:sz w:val="32"/>
          <w:szCs w:val="32"/>
        </w:rPr>
        <w:t>四、主要任务与工作步骤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sz w:val="32"/>
          <w:szCs w:val="32"/>
        </w:rPr>
      </w:pPr>
      <w:r>
        <w:rPr>
          <w:sz w:val="32"/>
          <w:szCs w:val="32"/>
        </w:rPr>
        <w:t>《方案》明确了从数据核实到资金发放的全链条工作任务和严格的时间节点，确保工作有序推进：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建立发放清册（2025年3月28日-4月28日）：以村为单位，核实并填报《分户登记清册》，明确每户的补贴面积、金额，并由村委会签字盖章上报。这解决了补贴数据源头不准的问题，确保发放依据真实可靠。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完成公开公示（2025年5月5日-5月15日）：镇（街道）审核村级清册后，在村、组两级进行为期不少于7天的张榜公示。这解决了操作不透明、缺乏监督的问题，通过公开接受群众监督，纠正可能存在的错误。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完成区级抽查（2025年5月16日-6月15日）：区农业农村局和财政局委托第三方机构对各镇街上报数据进行抽查核实。这解决了审核把关不严的问题，引入独立核查机制，增强了数据的权威性和公正性。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组织补贴资金发放（2025年6月17日-6月30日）：将最终审定的数据录入“江苏省农民补贴一卡通”信息系统，由代发银行直接打卡到户。这解决了资金发放环节多、易滞留挪用的问题，实现“阳光操作、直补到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报送总结报告（2025年7月28日前）：区农业农村局将发放情况总结上报市主管部门。这解决了工作有始无终、缺乏闭环管理的问题，确保工作全程可追溯、可考核。</w:t>
      </w:r>
      <w:r>
        <w:rPr>
          <w:rStyle w:val="5"/>
          <w:sz w:val="32"/>
          <w:szCs w:val="32"/>
        </w:rPr>
        <w:t>五、明确解决的问题与关键点</w:t>
      </w:r>
      <w:r>
        <w:rPr>
          <w:sz w:val="32"/>
          <w:szCs w:val="32"/>
        </w:rPr>
        <w:t>明确“补给谁”——解决补贴对象模糊的问题：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原则上补给承包权人：拥有耕地承包权的种地农民。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流转耕地有协议从协议：土地经营权流转的，以流转协议中明确的补贴受益方为准，协议必须明确此项，否则需补签。这解决了土地流转后补贴归属的争议。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集体土地归集体：村组机动地、国有农场未发包的耕地，补贴归相应集体所有。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明确“不补谁”——解决补贴范围泛化的问题：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方案》详细列出了六类不予补贴的情形，包括已用作养殖、林地、设施农业用地、非农征占用地、长年抛荒地、占补平衡不达标耕地。这精准界定了政策边界，确保补贴真正用于保护“正在耕作”或具有耕作条件的耕地，防止资金错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明确“如何发”——解决资金安全与效率的问题：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发放标准统一：2026年补贴标准为120元/亩。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发放方式唯一：必须通过“一卡通”系统直接发放到农户存折或单位对公账户，严禁现金发放和个人代领。款项摘要注明“耕保补贴”。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资金专款专用：在粮食风险基金中专户管理，严禁挪用、抵顶。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明确“谁负责”——解决责任落实与监督的问题：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属地责任：镇（街道）对辖区内工作具体负责，村对信息真实性负责。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部门职责：财政、农业农村部门按分工履职，纪检监察部门参与监督。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eastAsiaTheme="minorEastAsia"/>
          <w:sz w:val="32"/>
          <w:szCs w:val="32"/>
          <w:lang w:eastAsia="zh-CN"/>
        </w:rPr>
      </w:pPr>
      <w:r>
        <w:rPr>
          <w:sz w:val="32"/>
          <w:szCs w:val="32"/>
        </w:rPr>
        <w:t>监督渠道：设立并公布区级监督电话（财政局：0517-84934321，农业农村局：0517-80228168），接受群众咨询和投诉。同时建立联合监督检查机制和档案管理制度。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C4460"/>
    <w:rsid w:val="1ACC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2026-04-07T00:02:00Z</dcterms:created>
  <dc:creator>大饼果果子</dc:creator>
  <cp:lastModifiedBy>大饼果果子</cp:lastModifiedBy>
  <dcterms:modified xsi:type="dcterms:W3CDTF">2026-04-07T00:05:27Z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56A4A374A3CB4A03A04CC3AF63E62BE8</vt:lpwstr>
  </property>
</Properties>
</file>