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D1AA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淮阴区</w:t>
      </w:r>
      <w:r>
        <w:rPr>
          <w:rFonts w:hint="eastAsia" w:ascii="方正小标宋_GBK" w:hAnsi="方正小标宋_GBK" w:eastAsia="方正小标宋_GBK" w:cs="方正小标宋_GBK"/>
          <w:sz w:val="44"/>
          <w:szCs w:val="44"/>
        </w:rPr>
        <w:t>政府与国企投资项目全生命</w:t>
      </w:r>
    </w:p>
    <w:p w14:paraId="2D07B5C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周期管理实施细则</w:t>
      </w:r>
    </w:p>
    <w:p w14:paraId="2FA8D6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eastAsia="zh-CN"/>
        </w:rPr>
      </w:pPr>
    </w:p>
    <w:p w14:paraId="15ED0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审议稿</w:t>
      </w:r>
      <w:r>
        <w:rPr>
          <w:rFonts w:hint="eastAsia" w:ascii="方正楷体_GBK" w:hAnsi="方正楷体_GBK" w:eastAsia="方正楷体_GBK" w:cs="方正楷体_GBK"/>
          <w:sz w:val="32"/>
          <w:szCs w:val="32"/>
          <w:lang w:eastAsia="zh-CN"/>
        </w:rPr>
        <w:t>）</w:t>
      </w:r>
    </w:p>
    <w:p w14:paraId="7611B0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p>
    <w:p w14:paraId="247A7F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733631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A689EDA">
      <w:pPr>
        <w:pStyle w:val="5"/>
        <w:keepNext w:val="0"/>
        <w:keepLines w:val="0"/>
        <w:widowControl/>
        <w:suppressLineNumbers w:val="0"/>
        <w:spacing w:before="0" w:beforeAutospacing="0" w:after="0" w:afterAutospacing="0" w:line="560" w:lineRule="exact"/>
        <w:ind w:left="0" w:right="0" w:firstLine="42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第一条【目的与依据】</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b w:val="0"/>
          <w:sz w:val="32"/>
          <w:lang w:val="en-US" w:eastAsia="zh-CN"/>
        </w:rPr>
        <w:t>为加强和规范全区政府及国有企业（含国有独资、国有全资以及国有控股公司）（以下简称“国企”）投资项目全生命周期管理，</w:t>
      </w:r>
      <w:r>
        <w:rPr>
          <w:rFonts w:hint="eastAsia" w:ascii="方正仿宋_GBK" w:hAnsi="方正仿宋_GBK" w:eastAsia="方正仿宋_GBK" w:cs="方正仿宋_GBK"/>
          <w:sz w:val="32"/>
          <w:szCs w:val="32"/>
        </w:rPr>
        <w:t>提高投资效益，防范化解风险，根</w:t>
      </w:r>
      <w:r>
        <w:rPr>
          <w:rFonts w:hint="eastAsia" w:ascii="Times New Roman" w:hAnsi="Times New Roman" w:eastAsia="方正仿宋_GBK"/>
          <w:b w:val="0"/>
          <w:sz w:val="32"/>
          <w:lang w:val="en-US" w:eastAsia="zh-CN"/>
        </w:rPr>
        <w:t>据《政府投资条例》《企业投资项目核</w:t>
      </w:r>
      <w:bookmarkStart w:id="0" w:name="_GoBack"/>
      <w:bookmarkEnd w:id="0"/>
      <w:r>
        <w:rPr>
          <w:rFonts w:hint="eastAsia" w:ascii="Times New Roman" w:hAnsi="Times New Roman" w:eastAsia="方正仿宋_GBK"/>
          <w:b w:val="0"/>
          <w:sz w:val="32"/>
          <w:lang w:val="en-US" w:eastAsia="zh-CN"/>
        </w:rPr>
        <w:t>准和备案管理条例》《企业国有资产法》等法律法规</w:t>
      </w:r>
      <w:r>
        <w:rPr>
          <w:rFonts w:hint="eastAsia" w:ascii="方正仿宋_GBK" w:hAnsi="方正仿宋_GBK" w:eastAsia="方正仿宋_GBK" w:cs="方正仿宋_GBK"/>
          <w:sz w:val="32"/>
          <w:szCs w:val="32"/>
        </w:rPr>
        <w:t>及国家、省、市相关政策，结合本区实际，制定本细则。</w:t>
      </w:r>
    </w:p>
    <w:p w14:paraId="210B31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第二条【适用范围】</w:t>
      </w:r>
      <w:r>
        <w:rPr>
          <w:rFonts w:hint="eastAsia" w:ascii="方正仿宋_GBK" w:hAnsi="方正仿宋_GBK" w:eastAsia="方正仿宋_GBK" w:cs="方正仿宋_GBK"/>
          <w:sz w:val="32"/>
          <w:szCs w:val="32"/>
        </w:rPr>
        <w:t xml:space="preserve"> 本细则适用于本区行政区域内：</w:t>
      </w:r>
    </w:p>
    <w:p w14:paraId="46246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（一）使用</w:t>
      </w:r>
      <w:r>
        <w:rPr>
          <w:rFonts w:hint="eastAsia" w:ascii="方正仿宋_GBK" w:hAnsi="方正仿宋_GBK" w:eastAsia="方正仿宋_GBK" w:cs="方正仿宋_GBK"/>
          <w:sz w:val="32"/>
          <w:szCs w:val="32"/>
          <w:lang w:val="en-US" w:eastAsia="zh-CN"/>
        </w:rPr>
        <w:t>区级</w:t>
      </w:r>
      <w:r>
        <w:rPr>
          <w:rFonts w:hint="eastAsia" w:ascii="方正仿宋_GBK" w:hAnsi="方正仿宋_GBK" w:eastAsia="方正仿宋_GBK" w:cs="方正仿宋_GBK"/>
          <w:sz w:val="32"/>
          <w:szCs w:val="32"/>
        </w:rPr>
        <w:t>财政预算安排资金进行的固定资产投资建设项目（以下简称“政府投资项目”）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包括新建、改建、扩建、技术改造等项目</w:t>
      </w:r>
      <w:r>
        <w:rPr>
          <w:rFonts w:hint="eastAsia" w:ascii="方正仿宋_GBK" w:hAnsi="方正仿宋_GBK" w:eastAsia="方正仿宋_GBK" w:cs="方正仿宋_GBK"/>
          <w:sz w:val="32"/>
          <w:szCs w:val="32"/>
        </w:rPr>
        <w:t>。</w:t>
      </w:r>
    </w:p>
    <w:p w14:paraId="4FF3F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（二）国企使用自有资金、融资资金等进行的投资项目（以下简称“国企投资项目”）。</w:t>
      </w:r>
    </w:p>
    <w:p w14:paraId="7DCF17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第三条【管理原则】</w:t>
      </w:r>
      <w:r>
        <w:rPr>
          <w:rFonts w:hint="eastAsia" w:ascii="方正仿宋_GBK" w:hAnsi="方正仿宋_GBK" w:eastAsia="方正仿宋_GBK" w:cs="方正仿宋_GBK"/>
          <w:sz w:val="32"/>
          <w:szCs w:val="32"/>
        </w:rPr>
        <w:t xml:space="preserve"> 项目管理应遵循以下原则：</w:t>
      </w:r>
    </w:p>
    <w:p w14:paraId="1886CA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1.科学</w:t>
      </w:r>
      <w:r>
        <w:rPr>
          <w:rFonts w:hint="eastAsia" w:ascii="方正仿宋_GBK" w:hAnsi="方正仿宋_GBK" w:eastAsia="方正仿宋_GBK" w:cs="方正仿宋_GBK"/>
          <w:b/>
          <w:bCs/>
          <w:sz w:val="32"/>
          <w:szCs w:val="32"/>
          <w:lang w:val="en-US" w:eastAsia="zh-CN"/>
        </w:rPr>
        <w:t>评估、依规</w:t>
      </w:r>
      <w:r>
        <w:rPr>
          <w:rFonts w:hint="eastAsia" w:ascii="方正仿宋_GBK" w:hAnsi="方正仿宋_GBK" w:eastAsia="方正仿宋_GBK" w:cs="方正仿宋_GBK"/>
          <w:b/>
          <w:bCs/>
          <w:sz w:val="32"/>
          <w:szCs w:val="32"/>
        </w:rPr>
        <w:t>决策。</w:t>
      </w:r>
      <w:r>
        <w:rPr>
          <w:rFonts w:hint="eastAsia" w:ascii="方正仿宋_GBK" w:hAnsi="方正仿宋_GBK" w:eastAsia="方正仿宋_GBK" w:cs="方正仿宋_GBK"/>
          <w:sz w:val="32"/>
          <w:szCs w:val="32"/>
        </w:rPr>
        <w:t>项目应</w:t>
      </w:r>
      <w:r>
        <w:rPr>
          <w:rFonts w:hint="eastAsia" w:ascii="方正仿宋_GBK" w:hAnsi="方正仿宋_GBK" w:eastAsia="方正仿宋_GBK" w:cs="方正仿宋_GBK"/>
          <w:sz w:val="32"/>
          <w:szCs w:val="32"/>
          <w:lang w:val="en-US" w:eastAsia="zh-CN"/>
        </w:rPr>
        <w:t>按照先评估、后决策、再审批的原则，</w:t>
      </w:r>
      <w:r>
        <w:rPr>
          <w:rFonts w:hint="eastAsia" w:ascii="方正仿宋_GBK" w:hAnsi="方正仿宋_GBK" w:eastAsia="方正仿宋_GBK" w:cs="方正仿宋_GBK"/>
          <w:sz w:val="32"/>
          <w:szCs w:val="32"/>
        </w:rPr>
        <w:t>符合发展规划、产业政策、空间布局和生态环境保护要求，履行民主、科学的决策程序。</w:t>
      </w:r>
    </w:p>
    <w:p w14:paraId="14DCA5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2.程序规范、权责清晰。</w:t>
      </w:r>
      <w:r>
        <w:rPr>
          <w:rFonts w:hint="eastAsia" w:ascii="方正仿宋_GBK" w:hAnsi="方正仿宋_GBK" w:eastAsia="方正仿宋_GBK" w:cs="方正仿宋_GBK"/>
          <w:sz w:val="32"/>
          <w:szCs w:val="32"/>
        </w:rPr>
        <w:t>严格遵循基本</w:t>
      </w:r>
      <w:r>
        <w:rPr>
          <w:rFonts w:hint="eastAsia" w:ascii="方正仿宋_GBK" w:hAnsi="方正仿宋_GBK" w:eastAsia="方正仿宋_GBK" w:cs="方正仿宋_GBK"/>
          <w:sz w:val="32"/>
          <w:szCs w:val="32"/>
          <w:lang w:val="en-US" w:eastAsia="zh-CN"/>
        </w:rPr>
        <w:t>投资</w:t>
      </w:r>
      <w:r>
        <w:rPr>
          <w:rFonts w:hint="eastAsia" w:ascii="方正仿宋_GBK" w:hAnsi="方正仿宋_GBK" w:eastAsia="方正仿宋_GBK" w:cs="方正仿宋_GBK"/>
          <w:sz w:val="32"/>
          <w:szCs w:val="32"/>
        </w:rPr>
        <w:t>建设程序，明确项目单位、主管部门、监管部门等各方职责。</w:t>
      </w:r>
    </w:p>
    <w:p w14:paraId="6EE63D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3.预算约束、绩效导向。</w:t>
      </w:r>
      <w:r>
        <w:rPr>
          <w:rFonts w:hint="eastAsia" w:ascii="方正仿宋_GBK" w:hAnsi="方正仿宋_GBK" w:eastAsia="方正仿宋_GBK" w:cs="方正仿宋_GBK"/>
          <w:sz w:val="32"/>
          <w:szCs w:val="32"/>
        </w:rPr>
        <w:t>强化项目资金与预算的硬约束，建立全过程绩效管理链条，追求投资综合效益最大化。</w:t>
      </w:r>
    </w:p>
    <w:p w14:paraId="57DE0A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4.全程监管、防控风险。</w:t>
      </w:r>
      <w:r>
        <w:rPr>
          <w:rFonts w:hint="eastAsia" w:ascii="方正仿宋_GBK" w:hAnsi="方正仿宋_GBK" w:eastAsia="方正仿宋_GBK" w:cs="方正仿宋_GBK"/>
          <w:sz w:val="32"/>
          <w:szCs w:val="32"/>
        </w:rPr>
        <w:t>对项目</w:t>
      </w:r>
      <w:r>
        <w:rPr>
          <w:rFonts w:hint="eastAsia" w:ascii="方正仿宋_GBK" w:hAnsi="方正仿宋_GBK" w:eastAsia="方正仿宋_GBK" w:cs="方正仿宋_GBK"/>
          <w:sz w:val="32"/>
          <w:szCs w:val="32"/>
          <w:lang w:val="en-US" w:eastAsia="zh-CN"/>
        </w:rPr>
        <w:t>评估、</w:t>
      </w:r>
      <w:r>
        <w:rPr>
          <w:rFonts w:hint="eastAsia" w:ascii="方正仿宋_GBK" w:hAnsi="方正仿宋_GBK" w:eastAsia="方正仿宋_GBK" w:cs="方正仿宋_GBK"/>
          <w:sz w:val="32"/>
          <w:szCs w:val="32"/>
        </w:rPr>
        <w:t>决策、审批、实施、运营到退出的全生命周期各环节实施有效监管，重点防控债务、安全、质量、廉洁等风险。</w:t>
      </w:r>
    </w:p>
    <w:p w14:paraId="3E0AA1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5.公开透明、责任追究。</w:t>
      </w:r>
      <w:r>
        <w:rPr>
          <w:rFonts w:hint="eastAsia" w:ascii="方正仿宋_GBK" w:hAnsi="方正仿宋_GBK" w:eastAsia="方正仿宋_GBK" w:cs="方正仿宋_GBK"/>
          <w:sz w:val="32"/>
          <w:szCs w:val="32"/>
        </w:rPr>
        <w:t>推动项目信息依法公开，自觉接受监督，建立健全责任追究机制。</w:t>
      </w:r>
    </w:p>
    <w:p w14:paraId="793320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第四条【职责分工】</w:t>
      </w:r>
    </w:p>
    <w:p w14:paraId="6969EE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区</w:t>
      </w:r>
      <w:r>
        <w:rPr>
          <w:rFonts w:hint="eastAsia" w:ascii="方正仿宋_GBK" w:hAnsi="方正仿宋_GBK" w:eastAsia="方正仿宋_GBK" w:cs="方正仿宋_GBK"/>
          <w:b/>
          <w:bCs/>
          <w:sz w:val="32"/>
          <w:szCs w:val="32"/>
          <w:lang w:val="en-US" w:eastAsia="zh-CN"/>
        </w:rPr>
        <w:t>发改委</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是政府投资项目的综合管理部门，负责</w:t>
      </w:r>
      <w:r>
        <w:rPr>
          <w:rFonts w:hint="eastAsia" w:ascii="方正仿宋_GBK" w:hAnsi="方正仿宋_GBK" w:eastAsia="方正仿宋_GBK" w:cs="方正仿宋_GBK"/>
          <w:sz w:val="32"/>
          <w:szCs w:val="32"/>
          <w:lang w:val="en-US" w:eastAsia="zh-CN"/>
        </w:rPr>
        <w:t>政府投资</w:t>
      </w:r>
      <w:r>
        <w:rPr>
          <w:rFonts w:hint="eastAsia" w:ascii="方正仿宋_GBK" w:hAnsi="方正仿宋_GBK" w:eastAsia="方正仿宋_GBK" w:cs="方正仿宋_GBK"/>
          <w:sz w:val="32"/>
          <w:szCs w:val="32"/>
        </w:rPr>
        <w:t>项目储备、审批、计划编制、协调监督和综合验收指导；</w:t>
      </w:r>
    </w:p>
    <w:p w14:paraId="2010D7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区财政局：</w:t>
      </w:r>
      <w:r>
        <w:rPr>
          <w:rFonts w:hint="eastAsia" w:ascii="方正仿宋_GBK" w:hAnsi="方正仿宋_GBK" w:eastAsia="方正仿宋_GBK" w:cs="方正仿宋_GBK"/>
          <w:sz w:val="32"/>
          <w:szCs w:val="32"/>
          <w:lang w:val="en-US" w:eastAsia="zh-CN"/>
        </w:rPr>
        <w:t>负责审核政府投资项目资金需求及资金来源，并出具财政承受能力论证意见；负责政府投资项目竣工财务决算审批；对政府投资项目资金实现统一管理、专款专用、全程监管。</w:t>
      </w:r>
    </w:p>
    <w:p w14:paraId="2B0BA6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区国资办：</w:t>
      </w:r>
      <w:r>
        <w:rPr>
          <w:rFonts w:hint="eastAsia" w:ascii="Times New Roman" w:hAnsi="Times New Roman" w:eastAsia="方正仿宋_GBK" w:cs="方正仿宋_GBK"/>
          <w:b w:val="0"/>
          <w:bCs/>
          <w:sz w:val="32"/>
          <w:szCs w:val="32"/>
          <w:lang w:val="en-US" w:eastAsia="zh-CN"/>
        </w:rPr>
        <w:t>对国有企业</w:t>
      </w:r>
      <w:r>
        <w:rPr>
          <w:rFonts w:hint="eastAsia" w:ascii="Times New Roman" w:hAnsi="Times New Roman" w:eastAsia="方正仿宋_GBK" w:cs="方正仿宋_GBK"/>
          <w:b w:val="0"/>
          <w:sz w:val="32"/>
          <w:szCs w:val="32"/>
        </w:rPr>
        <w:t>履行出资人职责，负责制定国企投资监管制度</w:t>
      </w:r>
      <w:r>
        <w:rPr>
          <w:rFonts w:hint="eastAsia" w:ascii="Times New Roman" w:hAnsi="Times New Roman" w:eastAsia="方正仿宋_GBK" w:cs="方正仿宋_GBK"/>
          <w:b w:val="0"/>
          <w:sz w:val="32"/>
          <w:szCs w:val="32"/>
          <w:lang w:eastAsia="zh-CN"/>
        </w:rPr>
        <w:t>，</w:t>
      </w:r>
      <w:r>
        <w:rPr>
          <w:rFonts w:hint="eastAsia" w:ascii="方正仿宋_GBK" w:hAnsi="方正仿宋_GBK" w:eastAsia="方正仿宋_GBK" w:cs="方正仿宋_GBK"/>
          <w:sz w:val="32"/>
          <w:szCs w:val="32"/>
        </w:rPr>
        <w:t>对国企重大投资项目进行备案或审核，监督投资回报和</w:t>
      </w:r>
      <w:r>
        <w:rPr>
          <w:rFonts w:hint="eastAsia" w:ascii="方正仿宋_GBK" w:hAnsi="方正仿宋_GBK" w:eastAsia="方正仿宋_GBK" w:cs="方正仿宋_GBK"/>
          <w:sz w:val="32"/>
          <w:szCs w:val="32"/>
          <w:lang w:val="en-US" w:eastAsia="zh-CN"/>
        </w:rPr>
        <w:t>债务</w:t>
      </w:r>
      <w:r>
        <w:rPr>
          <w:rFonts w:hint="eastAsia" w:ascii="方正仿宋_GBK" w:hAnsi="方正仿宋_GBK" w:eastAsia="方正仿宋_GBK" w:cs="方正仿宋_GBK"/>
          <w:sz w:val="32"/>
          <w:szCs w:val="32"/>
        </w:rPr>
        <w:t>风险防控。</w:t>
      </w:r>
    </w:p>
    <w:p w14:paraId="0ABA3A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方正仿宋_GBK"/>
          <w:b w:val="0"/>
          <w:sz w:val="32"/>
          <w:szCs w:val="32"/>
          <w:lang w:val="en-US" w:eastAsia="zh-CN"/>
        </w:rPr>
      </w:pPr>
      <w:r>
        <w:rPr>
          <w:rFonts w:hint="eastAsia" w:ascii="方正仿宋_GBK" w:hAnsi="方正仿宋_GBK" w:eastAsia="方正仿宋_GBK" w:cs="方正仿宋_GBK"/>
          <w:b/>
          <w:bCs/>
          <w:sz w:val="32"/>
          <w:szCs w:val="32"/>
          <w:lang w:val="en-US" w:eastAsia="zh-CN"/>
        </w:rPr>
        <w:t>区项目评审中心：</w:t>
      </w:r>
      <w:r>
        <w:rPr>
          <w:rFonts w:hint="eastAsia" w:ascii="Times New Roman" w:hAnsi="Times New Roman" w:eastAsia="方正仿宋_GBK" w:cs="方正仿宋_GBK"/>
          <w:b w:val="0"/>
          <w:sz w:val="32"/>
          <w:szCs w:val="32"/>
          <w:lang w:val="en-US" w:eastAsia="zh-CN"/>
        </w:rPr>
        <w:t>对政府投资的基本建设、技术改造项目进行评估、咨询和评价服务工作，为政府及有关部门提供政府投资项目的前期决策分析和项目建成后的效益评价服务工作。负责政府投资项目</w:t>
      </w:r>
      <w:r>
        <w:rPr>
          <w:rFonts w:hint="eastAsia" w:ascii="Times New Roman" w:hAnsi="Times New Roman" w:eastAsia="方正仿宋_GBK" w:cs="方正仿宋_GBK"/>
          <w:b w:val="0"/>
          <w:sz w:val="32"/>
          <w:szCs w:val="32"/>
        </w:rPr>
        <w:t>概算控制</w:t>
      </w:r>
      <w:r>
        <w:rPr>
          <w:rFonts w:hint="eastAsia" w:ascii="Times New Roman" w:hAnsi="Times New Roman" w:eastAsia="方正仿宋_GBK" w:cs="方正仿宋_GBK"/>
          <w:b w:val="0"/>
          <w:sz w:val="32"/>
          <w:szCs w:val="32"/>
          <w:lang w:eastAsia="zh-CN"/>
        </w:rPr>
        <w:t>、</w:t>
      </w:r>
      <w:r>
        <w:rPr>
          <w:rFonts w:hint="eastAsia" w:ascii="Times New Roman" w:hAnsi="Times New Roman" w:eastAsia="方正仿宋_GBK" w:cs="方正仿宋_GBK"/>
          <w:b w:val="0"/>
          <w:sz w:val="32"/>
          <w:szCs w:val="32"/>
          <w:lang w:val="en-US" w:eastAsia="zh-CN"/>
        </w:rPr>
        <w:t>预算评审、投资评审。</w:t>
      </w:r>
    </w:p>
    <w:p w14:paraId="2A7792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区数据局：</w:t>
      </w:r>
      <w:r>
        <w:rPr>
          <w:rFonts w:hint="eastAsia" w:ascii="方正仿宋_GBK" w:hAnsi="方正仿宋_GBK" w:eastAsia="方正仿宋_GBK" w:cs="方正仿宋_GBK"/>
          <w:sz w:val="32"/>
          <w:szCs w:val="32"/>
          <w:lang w:val="en-US" w:eastAsia="zh-CN"/>
        </w:rPr>
        <w:t>负责本级国企投资项目的核准或备案。</w:t>
      </w:r>
    </w:p>
    <w:p w14:paraId="784770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区住建局、交通运输局、</w:t>
      </w:r>
      <w:r>
        <w:rPr>
          <w:rFonts w:hint="eastAsia" w:ascii="方正仿宋_GBK" w:hAnsi="方正仿宋_GBK" w:eastAsia="方正仿宋_GBK" w:cs="方正仿宋_GBK"/>
          <w:b/>
          <w:bCs/>
          <w:sz w:val="32"/>
          <w:szCs w:val="32"/>
          <w:lang w:val="en-US" w:eastAsia="zh-CN"/>
        </w:rPr>
        <w:t>水利</w:t>
      </w:r>
      <w:r>
        <w:rPr>
          <w:rFonts w:hint="eastAsia" w:ascii="方正仿宋_GBK" w:hAnsi="方正仿宋_GBK" w:eastAsia="方正仿宋_GBK" w:cs="方正仿宋_GBK"/>
          <w:b/>
          <w:bCs/>
          <w:sz w:val="32"/>
          <w:szCs w:val="32"/>
        </w:rPr>
        <w:t>局</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农业农村局</w:t>
      </w:r>
      <w:r>
        <w:rPr>
          <w:rFonts w:hint="eastAsia" w:ascii="方正仿宋_GBK" w:hAnsi="方正仿宋_GBK" w:eastAsia="方正仿宋_GBK" w:cs="方正仿宋_GBK"/>
          <w:sz w:val="32"/>
          <w:szCs w:val="32"/>
        </w:rPr>
        <w:t>等行业主管部门：负责本行业项目的技术审查、建设过程质量安全监督、竣工验收备案等专业化管理。</w:t>
      </w:r>
    </w:p>
    <w:p w14:paraId="4A074D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区审计局：</w:t>
      </w:r>
      <w:r>
        <w:rPr>
          <w:rFonts w:hint="eastAsia" w:ascii="方正仿宋_GBK" w:hAnsi="方正仿宋_GBK" w:eastAsia="方正仿宋_GBK" w:cs="方正仿宋_GBK"/>
          <w:sz w:val="32"/>
          <w:szCs w:val="32"/>
        </w:rPr>
        <w:t>依法对政府投资项目进行</w:t>
      </w:r>
      <w:r>
        <w:rPr>
          <w:rFonts w:hint="eastAsia" w:ascii="方正仿宋_GBK" w:hAnsi="方正仿宋_GBK" w:eastAsia="方正仿宋_GBK" w:cs="方正仿宋_GBK"/>
          <w:sz w:val="32"/>
          <w:szCs w:val="32"/>
          <w:lang w:val="en-US" w:eastAsia="zh-CN"/>
        </w:rPr>
        <w:t>全过程</w:t>
      </w:r>
      <w:r>
        <w:rPr>
          <w:rFonts w:hint="eastAsia" w:ascii="方正仿宋_GBK" w:hAnsi="方正仿宋_GBK" w:eastAsia="方正仿宋_GBK" w:cs="方正仿宋_GBK"/>
          <w:sz w:val="32"/>
          <w:szCs w:val="32"/>
        </w:rPr>
        <w:t>审计监督，对国企投资项目开展专项审计或审计调查。</w:t>
      </w:r>
    </w:p>
    <w:p w14:paraId="75AED9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项目单位（建设单位）：</w:t>
      </w:r>
      <w:r>
        <w:rPr>
          <w:rFonts w:hint="eastAsia" w:ascii="方正仿宋_GBK" w:hAnsi="方正仿宋_GBK" w:eastAsia="方正仿宋_GBK" w:cs="方正仿宋_GBK"/>
          <w:sz w:val="32"/>
          <w:szCs w:val="32"/>
        </w:rPr>
        <w:t>承担项目建设管理主体责任，负责全过程实施，对项目投资、质量、安全、进度和绩效负总责。</w:t>
      </w:r>
    </w:p>
    <w:p w14:paraId="64B2DA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国有企业：</w:t>
      </w:r>
      <w:r>
        <w:rPr>
          <w:rFonts w:hint="eastAsia" w:ascii="方正仿宋_GBK" w:hAnsi="方正仿宋_GBK" w:eastAsia="方正仿宋_GBK" w:cs="方正仿宋_GBK"/>
          <w:sz w:val="32"/>
          <w:szCs w:val="32"/>
        </w:rPr>
        <w:t>是国企投资项目的决策主体、执行主体和责任主体，应完善内部投资管理制度，规范履行决策程序。</w:t>
      </w:r>
    </w:p>
    <w:p w14:paraId="499DDA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16072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项目</w:t>
      </w:r>
      <w:r>
        <w:rPr>
          <w:rFonts w:hint="eastAsia" w:ascii="方正黑体_GBK" w:hAnsi="方正黑体_GBK" w:eastAsia="方正黑体_GBK" w:cs="方正黑体_GBK"/>
          <w:sz w:val="32"/>
          <w:szCs w:val="32"/>
          <w:lang w:val="en-US" w:eastAsia="zh-CN"/>
        </w:rPr>
        <w:t>评估、</w:t>
      </w:r>
      <w:r>
        <w:rPr>
          <w:rFonts w:hint="eastAsia" w:ascii="方正黑体_GBK" w:hAnsi="方正黑体_GBK" w:eastAsia="方正黑体_GBK" w:cs="方正黑体_GBK"/>
          <w:sz w:val="32"/>
          <w:szCs w:val="32"/>
        </w:rPr>
        <w:t>储备与决策（前期阶段）</w:t>
      </w:r>
    </w:p>
    <w:p w14:paraId="3CC96C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rPr>
        <w:t>第五条【项目</w:t>
      </w:r>
      <w:r>
        <w:rPr>
          <w:rFonts w:hint="eastAsia" w:ascii="方正楷体_GBK" w:hAnsi="方正楷体_GBK" w:eastAsia="方正楷体_GBK" w:cs="方正楷体_GBK"/>
          <w:b/>
          <w:bCs/>
          <w:sz w:val="32"/>
          <w:szCs w:val="32"/>
          <w:lang w:val="en-US" w:eastAsia="zh-CN"/>
        </w:rPr>
        <w:t>评估</w:t>
      </w: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 xml:space="preserve"> </w:t>
      </w:r>
      <w:r>
        <w:rPr>
          <w:rFonts w:hint="eastAsia" w:ascii="方正仿宋_GBK" w:hAnsi="方正仿宋_GBK" w:eastAsia="方正仿宋_GBK" w:cs="方正仿宋_GBK"/>
          <w:sz w:val="32"/>
          <w:szCs w:val="32"/>
        </w:rPr>
        <w:t>严格执行“先评估再决策、先决策再审批”工作要求，</w:t>
      </w:r>
      <w:r>
        <w:rPr>
          <w:rFonts w:hint="eastAsia" w:ascii="方正仿宋_GBK" w:hAnsi="方正仿宋_GBK" w:eastAsia="方正仿宋_GBK" w:cs="方正仿宋_GBK"/>
          <w:sz w:val="32"/>
          <w:szCs w:val="32"/>
          <w:lang w:val="en-US" w:eastAsia="zh-CN"/>
        </w:rPr>
        <w:t>区项目评审中心</w:t>
      </w:r>
      <w:r>
        <w:rPr>
          <w:rFonts w:hint="eastAsia" w:ascii="方正仿宋_GBK" w:hAnsi="方正仿宋_GBK" w:eastAsia="方正仿宋_GBK" w:cs="方正仿宋_GBK"/>
          <w:sz w:val="32"/>
          <w:szCs w:val="32"/>
        </w:rPr>
        <w:t>规范开展项目评估工作，加强项目价值和技术判断，确保拟立项项目急需</w:t>
      </w:r>
      <w:r>
        <w:rPr>
          <w:rFonts w:hint="eastAsia" w:ascii="方正仿宋_GBK" w:hAnsi="方正仿宋_GBK" w:eastAsia="方正仿宋_GBK" w:cs="方正仿宋_GBK"/>
          <w:sz w:val="32"/>
          <w:szCs w:val="32"/>
          <w:lang w:eastAsia="zh-CN"/>
        </w:rPr>
        <w:t>必需</w:t>
      </w:r>
      <w:r>
        <w:rPr>
          <w:rFonts w:hint="eastAsia" w:ascii="方正仿宋_GBK" w:hAnsi="方正仿宋_GBK" w:eastAsia="方正仿宋_GBK" w:cs="方正仿宋_GBK"/>
          <w:sz w:val="32"/>
          <w:szCs w:val="32"/>
        </w:rPr>
        <w:t>，必要可行</w:t>
      </w:r>
      <w:r>
        <w:rPr>
          <w:rFonts w:hint="eastAsia" w:ascii="方正仿宋_GBK" w:hAnsi="方正仿宋_GBK" w:eastAsia="方正仿宋_GBK" w:cs="方正仿宋_GBK"/>
          <w:sz w:val="32"/>
          <w:szCs w:val="32"/>
          <w:lang w:eastAsia="zh-CN"/>
        </w:rPr>
        <w:t>。</w:t>
      </w:r>
    </w:p>
    <w:p w14:paraId="289B3A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六</w:t>
      </w:r>
      <w:r>
        <w:rPr>
          <w:rFonts w:hint="eastAsia" w:ascii="方正楷体_GBK" w:hAnsi="方正楷体_GBK" w:eastAsia="方正楷体_GBK" w:cs="方正楷体_GBK"/>
          <w:b/>
          <w:bCs/>
          <w:sz w:val="32"/>
          <w:szCs w:val="32"/>
        </w:rPr>
        <w:t>条【项目储备】</w:t>
      </w:r>
      <w:r>
        <w:rPr>
          <w:rFonts w:hint="eastAsia" w:ascii="方正仿宋_GBK" w:hAnsi="方正仿宋_GBK" w:eastAsia="方正仿宋_GBK" w:cs="方正仿宋_GBK"/>
          <w:sz w:val="32"/>
          <w:szCs w:val="32"/>
        </w:rPr>
        <w:t xml:space="preserve"> 建立区级</w:t>
      </w:r>
      <w:r>
        <w:rPr>
          <w:rFonts w:hint="eastAsia" w:ascii="方正仿宋_GBK" w:hAnsi="方正仿宋_GBK" w:eastAsia="方正仿宋_GBK" w:cs="方正仿宋_GBK"/>
          <w:sz w:val="32"/>
          <w:szCs w:val="32"/>
          <w:lang w:val="en-US" w:eastAsia="zh-CN"/>
        </w:rPr>
        <w:t>政府投资</w:t>
      </w:r>
      <w:r>
        <w:rPr>
          <w:rFonts w:hint="eastAsia" w:ascii="方正仿宋_GBK" w:hAnsi="方正仿宋_GBK" w:eastAsia="方正仿宋_GBK" w:cs="方正仿宋_GBK"/>
          <w:sz w:val="32"/>
          <w:szCs w:val="32"/>
        </w:rPr>
        <w:t>项目储备库，实行动态管理。各行业主管部门、镇（街道）根据发展规划，提出项目意向，</w:t>
      </w:r>
      <w:r>
        <w:rPr>
          <w:rFonts w:hint="eastAsia" w:ascii="方正仿宋_GBK" w:hAnsi="方正仿宋_GBK" w:eastAsia="方正仿宋_GBK" w:cs="方正仿宋_GBK"/>
          <w:sz w:val="32"/>
          <w:szCs w:val="32"/>
          <w:lang w:val="en-US" w:eastAsia="zh-CN"/>
        </w:rPr>
        <w:t>经评估论证并经指挥部研究同意后，</w:t>
      </w:r>
      <w:r>
        <w:rPr>
          <w:rFonts w:hint="eastAsia" w:ascii="方正仿宋_GBK" w:hAnsi="方正仿宋_GBK" w:eastAsia="方正仿宋_GBK" w:cs="方正仿宋_GBK"/>
          <w:sz w:val="32"/>
          <w:szCs w:val="32"/>
        </w:rPr>
        <w:t>报</w:t>
      </w:r>
      <w:r>
        <w:rPr>
          <w:rFonts w:hint="eastAsia" w:ascii="方正仿宋_GBK" w:hAnsi="方正仿宋_GBK" w:eastAsia="方正仿宋_GBK" w:cs="方正仿宋_GBK"/>
          <w:sz w:val="32"/>
          <w:szCs w:val="32"/>
          <w:lang w:val="en-US" w:eastAsia="zh-CN"/>
        </w:rPr>
        <w:t>区发改委</w:t>
      </w:r>
      <w:r>
        <w:rPr>
          <w:rFonts w:hint="eastAsia" w:ascii="方正仿宋_GBK" w:hAnsi="方正仿宋_GBK" w:eastAsia="方正仿宋_GBK" w:cs="方正仿宋_GBK"/>
          <w:sz w:val="32"/>
          <w:szCs w:val="32"/>
        </w:rPr>
        <w:t>入库。未入库项目原则上不安排年度投资计划。</w:t>
      </w:r>
    </w:p>
    <w:p w14:paraId="2D91BC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七</w:t>
      </w:r>
      <w:r>
        <w:rPr>
          <w:rFonts w:hint="eastAsia" w:ascii="方正楷体_GBK" w:hAnsi="方正楷体_GBK" w:eastAsia="方正楷体_GBK" w:cs="方正楷体_GBK"/>
          <w:b/>
          <w:bCs/>
          <w:sz w:val="32"/>
          <w:szCs w:val="32"/>
        </w:rPr>
        <w:t>条【初步可研】</w:t>
      </w:r>
      <w:r>
        <w:rPr>
          <w:rFonts w:hint="eastAsia" w:ascii="方正仿宋_GBK" w:hAnsi="方正仿宋_GBK" w:eastAsia="方正仿宋_GBK" w:cs="方正仿宋_GBK"/>
          <w:sz w:val="32"/>
          <w:szCs w:val="32"/>
        </w:rPr>
        <w:t xml:space="preserve"> 对纳入储备库且条件成熟的项目，项目单位应编制项目建议书或初步可行性研究报告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发改委</w:t>
      </w:r>
      <w:r>
        <w:rPr>
          <w:rFonts w:hint="eastAsia" w:ascii="方正仿宋_GBK" w:hAnsi="方正仿宋_GBK" w:eastAsia="方正仿宋_GBK" w:cs="方正仿宋_GBK"/>
          <w:sz w:val="32"/>
          <w:szCs w:val="32"/>
        </w:rPr>
        <w:t>按权限审批</w:t>
      </w:r>
      <w:r>
        <w:rPr>
          <w:rFonts w:hint="eastAsia" w:ascii="方正仿宋_GBK" w:hAnsi="方正仿宋_GBK" w:eastAsia="方正仿宋_GBK" w:cs="方正仿宋_GBK"/>
          <w:sz w:val="32"/>
          <w:szCs w:val="32"/>
          <w:lang w:eastAsia="zh-CN"/>
        </w:rPr>
        <w:t>。</w:t>
      </w:r>
    </w:p>
    <w:p w14:paraId="35B6BF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八</w:t>
      </w:r>
      <w:r>
        <w:rPr>
          <w:rFonts w:hint="eastAsia" w:ascii="方正楷体_GBK" w:hAnsi="方正楷体_GBK" w:eastAsia="方正楷体_GBK" w:cs="方正楷体_GBK"/>
          <w:b/>
          <w:bCs/>
          <w:sz w:val="32"/>
          <w:szCs w:val="32"/>
        </w:rPr>
        <w:t>条【深化可研】</w:t>
      </w:r>
      <w:r>
        <w:rPr>
          <w:rFonts w:hint="eastAsia" w:ascii="方正仿宋_GBK" w:hAnsi="方正仿宋_GBK" w:eastAsia="方正仿宋_GBK" w:cs="方正仿宋_GBK"/>
          <w:sz w:val="32"/>
          <w:szCs w:val="32"/>
        </w:rPr>
        <w:t xml:space="preserve"> 获批项目建议书后，项目单位应深入开展可行性研究，全面论证技术方案、投资估算、资金来源、经济效益、社会效益、资源利用、生态环境影响、社会稳定风险等。政府投资项目可行性研究报告由</w:t>
      </w:r>
      <w:r>
        <w:rPr>
          <w:rFonts w:hint="eastAsia" w:ascii="方正仿宋_GBK" w:hAnsi="方正仿宋_GBK" w:eastAsia="方正仿宋_GBK" w:cs="方正仿宋_GBK"/>
          <w:sz w:val="32"/>
          <w:szCs w:val="32"/>
          <w:lang w:val="en-US" w:eastAsia="zh-CN"/>
        </w:rPr>
        <w:t>发改委</w:t>
      </w:r>
      <w:r>
        <w:rPr>
          <w:rFonts w:hint="eastAsia" w:ascii="方正仿宋_GBK" w:hAnsi="方正仿宋_GBK" w:eastAsia="方正仿宋_GBK" w:cs="方正仿宋_GBK"/>
          <w:sz w:val="32"/>
          <w:szCs w:val="32"/>
        </w:rPr>
        <w:t>审批；国企投资项目由</w:t>
      </w:r>
      <w:r>
        <w:rPr>
          <w:rFonts w:hint="eastAsia" w:ascii="方正仿宋_GBK" w:hAnsi="方正仿宋_GBK" w:eastAsia="方正仿宋_GBK" w:cs="方正仿宋_GBK"/>
          <w:sz w:val="32"/>
          <w:szCs w:val="32"/>
          <w:lang w:val="en-US" w:eastAsia="zh-CN"/>
        </w:rPr>
        <w:t>国资办扎口审批</w:t>
      </w:r>
      <w:r>
        <w:rPr>
          <w:rFonts w:hint="eastAsia" w:ascii="方正仿宋_GBK" w:hAnsi="方正仿宋_GBK" w:eastAsia="方正仿宋_GBK" w:cs="方正仿宋_GBK"/>
          <w:sz w:val="32"/>
          <w:szCs w:val="32"/>
        </w:rPr>
        <w:t>，需核准或备案的按规定</w:t>
      </w:r>
      <w:r>
        <w:rPr>
          <w:rFonts w:hint="eastAsia" w:ascii="方正仿宋_GBK" w:hAnsi="方正仿宋_GBK" w:eastAsia="方正仿宋_GBK" w:cs="方正仿宋_GBK"/>
          <w:sz w:val="32"/>
          <w:szCs w:val="32"/>
        </w:rPr>
        <w:t>办理</w:t>
      </w:r>
      <w:r>
        <w:rPr>
          <w:rFonts w:hint="eastAsia" w:ascii="方正仿宋_GBK" w:hAnsi="方正仿宋_GBK" w:eastAsia="方正仿宋_GBK" w:cs="方正仿宋_GBK"/>
          <w:sz w:val="32"/>
          <w:szCs w:val="32"/>
          <w:lang w:eastAsia="zh-CN"/>
        </w:rPr>
        <w:t>。</w:t>
      </w:r>
    </w:p>
    <w:p w14:paraId="26D23C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九</w:t>
      </w:r>
      <w:r>
        <w:rPr>
          <w:rFonts w:hint="eastAsia" w:ascii="方正楷体_GBK" w:hAnsi="方正楷体_GBK" w:eastAsia="方正楷体_GBK" w:cs="方正楷体_GBK"/>
          <w:b/>
          <w:bCs/>
          <w:sz w:val="32"/>
          <w:szCs w:val="32"/>
        </w:rPr>
        <w:t>条【方案设计与投资控制】</w:t>
      </w:r>
      <w:r>
        <w:rPr>
          <w:rFonts w:hint="eastAsia" w:ascii="方正仿宋_GBK" w:hAnsi="方正仿宋_GBK" w:eastAsia="方正仿宋_GBK" w:cs="方正仿宋_GBK"/>
          <w:sz w:val="32"/>
          <w:szCs w:val="32"/>
        </w:rPr>
        <w:t xml:space="preserve"> 可行性研究报告获批后，项目单位应委托设计</w:t>
      </w:r>
      <w:r>
        <w:rPr>
          <w:rFonts w:hint="eastAsia" w:ascii="方正仿宋_GBK" w:hAnsi="方正仿宋_GBK" w:eastAsia="方正仿宋_GBK" w:cs="方正仿宋_GBK"/>
          <w:sz w:val="32"/>
          <w:szCs w:val="32"/>
          <w:lang w:val="en-US" w:eastAsia="zh-CN"/>
        </w:rPr>
        <w:t>单位编制初步设计方案及投资概算。投资概算不得超过经批准的可行性研究报告估算的10%。区项目评审中心对政府投资项目投资估（概）算开展评审，出具评审报告，区财政局依据评审报告，出具评审意见，附带方案设计报发改委审批；国企投资项目按照《淮阴区区属企业投资监督管理办法》等国资监管规定，履行报批程序。</w:t>
      </w:r>
    </w:p>
    <w:p w14:paraId="0ABF94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十</w:t>
      </w:r>
      <w:r>
        <w:rPr>
          <w:rFonts w:hint="eastAsia" w:ascii="方正楷体_GBK" w:hAnsi="方正楷体_GBK" w:eastAsia="方正楷体_GBK" w:cs="方正楷体_GBK"/>
          <w:b/>
          <w:bCs/>
          <w:sz w:val="32"/>
          <w:szCs w:val="32"/>
        </w:rPr>
        <w:t>条【资金来源】</w:t>
      </w:r>
      <w:r>
        <w:rPr>
          <w:rFonts w:hint="eastAsia" w:ascii="方正仿宋_GBK" w:hAnsi="方正仿宋_GBK" w:eastAsia="方正仿宋_GBK" w:cs="方正仿宋_GBK"/>
          <w:sz w:val="32"/>
          <w:szCs w:val="32"/>
        </w:rPr>
        <w:t xml:space="preserve"> 所有项目必须明确并落实资金来源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不得违法违规举借债务。</w:t>
      </w:r>
      <w:r>
        <w:rPr>
          <w:rFonts w:hint="eastAsia" w:ascii="方正仿宋_GBK" w:hAnsi="方正仿宋_GBK" w:eastAsia="方正仿宋_GBK" w:cs="方正仿宋_GBK"/>
          <w:sz w:val="32"/>
          <w:szCs w:val="32"/>
        </w:rPr>
        <w:t>政府投资项目不得由施工单位垫资建设。国企投资项目应进行充分的融资可行性分析，</w:t>
      </w:r>
      <w:r>
        <w:rPr>
          <w:rFonts w:hint="eastAsia" w:ascii="方正仿宋_GBK" w:hAnsi="方正仿宋_GBK" w:eastAsia="方正仿宋_GBK" w:cs="方正仿宋_GBK"/>
          <w:sz w:val="32"/>
          <w:szCs w:val="32"/>
          <w:lang w:val="en-US" w:eastAsia="zh-CN"/>
        </w:rPr>
        <w:t>确保合理收益率</w:t>
      </w:r>
      <w:r>
        <w:rPr>
          <w:rFonts w:hint="eastAsia" w:ascii="方正仿宋_GBK" w:hAnsi="方正仿宋_GBK" w:eastAsia="方正仿宋_GBK" w:cs="方正仿宋_GBK"/>
          <w:sz w:val="32"/>
          <w:szCs w:val="32"/>
        </w:rPr>
        <w:t>，防范债务风险。</w:t>
      </w:r>
    </w:p>
    <w:p w14:paraId="68D0C4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FFA61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项目建设与实施（建设阶段）</w:t>
      </w:r>
    </w:p>
    <w:p w14:paraId="4FA72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55099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rPr>
        <w:t>条【“四制”管理】</w:t>
      </w:r>
      <w:r>
        <w:rPr>
          <w:rFonts w:hint="eastAsia" w:ascii="方正仿宋_GBK" w:hAnsi="方正仿宋_GBK" w:eastAsia="方正仿宋_GBK" w:cs="方正仿宋_GBK"/>
          <w:sz w:val="32"/>
          <w:szCs w:val="32"/>
        </w:rPr>
        <w:t xml:space="preserve"> 依法必须招标的项目，应进入公共资源交易平台公开交易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实行项目法人责任制、招标投标制、工程监理制和合同管理制。</w:t>
      </w:r>
    </w:p>
    <w:p w14:paraId="511827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val="en-US" w:eastAsia="zh-CN"/>
        </w:rPr>
        <w:t>第十二条</w:t>
      </w: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集中建设</w:t>
      </w: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lang w:val="en-US" w:eastAsia="zh-CN"/>
        </w:rPr>
        <w:t>政府投资工程</w:t>
      </w:r>
      <w:r>
        <w:rPr>
          <w:rFonts w:hint="default" w:ascii="Times New Roman" w:hAnsi="Times New Roman" w:eastAsia="方正仿宋_GBK" w:cs="Times New Roman"/>
          <w:i w:val="0"/>
          <w:iCs w:val="0"/>
          <w:caps w:val="0"/>
          <w:color w:val="000000"/>
          <w:spacing w:val="0"/>
          <w:sz w:val="32"/>
          <w:szCs w:val="32"/>
          <w:shd w:val="clear" w:fill="FFFFFF"/>
        </w:rPr>
        <w:t>（含新建、改建、扩建等非经营性工程）</w:t>
      </w:r>
      <w:r>
        <w:rPr>
          <w:rFonts w:hint="eastAsia" w:ascii="Times New Roman" w:hAnsi="Times New Roman" w:eastAsia="方正仿宋_GBK" w:cs="Times New Roman"/>
          <w:i w:val="0"/>
          <w:iCs w:val="0"/>
          <w:caps w:val="0"/>
          <w:color w:val="000000"/>
          <w:spacing w:val="0"/>
          <w:sz w:val="32"/>
          <w:szCs w:val="32"/>
          <w:shd w:val="clear" w:fill="FFFFFF"/>
          <w:lang w:val="en-US" w:eastAsia="zh-CN"/>
        </w:rPr>
        <w:t>应当实行集中建设。淮阴区集中建设实施单位主要包括：区住建局、交通局、水利局、农业农村局、国控集团、高投集团、农旅集团等。集中建设项目具体实施单位由使用单位提出方案，并报住建、财政和行业主管部门共同研究，提出初步意见，经区政府条线分管领导审核后，报区政府投资集中建设工作专班审定。其他未尽事宜按照《淮安市政府投资工程集中建设实施细则》执行。</w:t>
      </w:r>
    </w:p>
    <w:p w14:paraId="4428FB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rPr>
        <w:t>条【开工条件】</w:t>
      </w:r>
      <w:r>
        <w:rPr>
          <w:rFonts w:hint="eastAsia" w:ascii="方正仿宋_GBK" w:hAnsi="方正仿宋_GBK" w:eastAsia="方正仿宋_GBK" w:cs="方正仿宋_GBK"/>
          <w:sz w:val="32"/>
          <w:szCs w:val="32"/>
        </w:rPr>
        <w:t xml:space="preserve"> 项目在取得用地、规划、</w:t>
      </w:r>
      <w:r>
        <w:rPr>
          <w:rFonts w:hint="eastAsia" w:ascii="方正仿宋_GBK" w:hAnsi="方正仿宋_GBK" w:eastAsia="方正仿宋_GBK" w:cs="方正仿宋_GBK"/>
          <w:sz w:val="32"/>
          <w:szCs w:val="32"/>
          <w:lang w:val="en-US" w:eastAsia="zh-CN"/>
        </w:rPr>
        <w:t>文评、</w:t>
      </w:r>
      <w:r>
        <w:rPr>
          <w:rFonts w:hint="eastAsia" w:ascii="方正仿宋_GBK" w:hAnsi="方正仿宋_GBK" w:eastAsia="方正仿宋_GBK" w:cs="方正仿宋_GBK"/>
          <w:sz w:val="32"/>
          <w:szCs w:val="32"/>
        </w:rPr>
        <w:t>施工许可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环评</w:t>
      </w:r>
      <w:r>
        <w:rPr>
          <w:rFonts w:hint="eastAsia" w:ascii="方正仿宋_GBK" w:hAnsi="方正仿宋_GBK" w:eastAsia="方正仿宋_GBK" w:cs="方正仿宋_GBK"/>
          <w:sz w:val="32"/>
          <w:szCs w:val="32"/>
        </w:rPr>
        <w:t>等法定手续，资金已按规定落实，满足安全生产条件后，方可开工建设。</w:t>
      </w:r>
    </w:p>
    <w:p w14:paraId="4A12F6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rPr>
        <w:t>条【概算控制与调整】</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经</w:t>
      </w:r>
      <w:r>
        <w:rPr>
          <w:rFonts w:hint="eastAsia" w:ascii="方正仿宋_GBK" w:hAnsi="方正仿宋_GBK" w:eastAsia="方正仿宋_GBK" w:cs="方正仿宋_GBK"/>
          <w:sz w:val="32"/>
          <w:szCs w:val="32"/>
        </w:rPr>
        <w:t>批准的投资概算是项目总投资控制的最高限额。因国家政策调整、价格上涨、地质条件发生重大变化等原因确需增加概算的，政府投资项目由项目单位提出调整方案，按规定程序报原审批部门核定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lang w:val="en-US" w:eastAsia="zh-CN"/>
        </w:rPr>
        <w:t>国企投资项目由项目单位提出调整方案，按国资监管等有关规定履行报批、备案等程序后方可实施。</w:t>
      </w:r>
    </w:p>
    <w:p w14:paraId="0D8D77B1">
      <w:pPr>
        <w:pStyle w:val="2"/>
        <w:keepNext w:val="0"/>
        <w:keepLines w:val="0"/>
        <w:pageBreakBefore w:val="0"/>
        <w:widowControl/>
        <w:numPr>
          <w:ilvl w:val="0"/>
          <w:numId w:val="0"/>
        </w:numPr>
        <w:kinsoku/>
        <w:wordWrap/>
        <w:overflowPunct w:val="0"/>
        <w:topLinePunct w:val="0"/>
        <w:autoSpaceDE w:val="0"/>
        <w:autoSpaceDN w:val="0"/>
        <w:bidi w:val="0"/>
        <w:adjustRightInd w:val="0"/>
        <w:snapToGrid w:val="0"/>
        <w:spacing w:line="560" w:lineRule="exact"/>
        <w:ind w:right="0" w:rightChars="0" w:firstLine="643" w:firstLineChars="200"/>
        <w:jc w:val="both"/>
        <w:textAlignment w:val="baseline"/>
        <w:rPr>
          <w:rFonts w:hint="default"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第十五条【工程调整变更</w:t>
      </w: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 xml:space="preserve"> </w:t>
      </w:r>
      <w:r>
        <w:rPr>
          <w:rFonts w:hint="eastAsia" w:cs="方正仿宋_GBK"/>
          <w:kern w:val="2"/>
          <w:sz w:val="32"/>
          <w:szCs w:val="32"/>
          <w:lang w:val="en-US" w:eastAsia="zh-CN" w:bidi="ar-SA"/>
        </w:rPr>
        <w:t>政府投资</w:t>
      </w:r>
      <w:r>
        <w:rPr>
          <w:rFonts w:hint="default" w:ascii="方正仿宋_GBK" w:hAnsi="方正仿宋_GBK" w:eastAsia="方正仿宋_GBK" w:cs="方正仿宋_GBK"/>
          <w:kern w:val="2"/>
          <w:sz w:val="32"/>
          <w:szCs w:val="32"/>
          <w:lang w:val="en-US" w:eastAsia="zh-CN" w:bidi="ar-SA"/>
        </w:rPr>
        <w:t>工程变更按照“先审批、后实施”、变更方案分级审批的原则实施。</w:t>
      </w:r>
    </w:p>
    <w:p w14:paraId="4397FC68">
      <w:pPr>
        <w:pStyle w:val="2"/>
        <w:keepNext w:val="0"/>
        <w:keepLines w:val="0"/>
        <w:pageBreakBefore w:val="0"/>
        <w:widowControl/>
        <w:numPr>
          <w:ilvl w:val="0"/>
          <w:numId w:val="0"/>
        </w:numPr>
        <w:kinsoku/>
        <w:wordWrap/>
        <w:overflowPunct w:val="0"/>
        <w:topLinePunct w:val="0"/>
        <w:autoSpaceDE w:val="0"/>
        <w:autoSpaceDN w:val="0"/>
        <w:bidi w:val="0"/>
        <w:adjustRightInd w:val="0"/>
        <w:snapToGrid w:val="0"/>
        <w:spacing w:line="560" w:lineRule="exact"/>
        <w:ind w:right="0" w:rightChars="0" w:firstLine="640" w:firstLineChars="200"/>
        <w:jc w:val="both"/>
        <w:textAlignment w:val="baseline"/>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工程变更主要包括：</w:t>
      </w:r>
      <w:r>
        <w:rPr>
          <w:rFonts w:hint="eastAsia" w:cs="方正仿宋_GBK"/>
          <w:kern w:val="2"/>
          <w:sz w:val="32"/>
          <w:szCs w:val="32"/>
          <w:lang w:val="en-US" w:eastAsia="zh-CN" w:bidi="ar-SA"/>
        </w:rPr>
        <w:t>1.</w:t>
      </w:r>
      <w:r>
        <w:rPr>
          <w:rFonts w:hint="default" w:ascii="方正仿宋_GBK" w:hAnsi="方正仿宋_GBK" w:eastAsia="方正仿宋_GBK" w:cs="方正仿宋_GBK"/>
          <w:kern w:val="2"/>
          <w:sz w:val="32"/>
          <w:szCs w:val="32"/>
          <w:lang w:val="en-US" w:eastAsia="zh-CN" w:bidi="ar-SA"/>
        </w:rPr>
        <w:t>因政策性、质量标准、技术规范或使用功能调整等原因导致的变更；</w:t>
      </w:r>
      <w:r>
        <w:rPr>
          <w:rFonts w:hint="eastAsia" w:cs="方正仿宋_GBK"/>
          <w:kern w:val="2"/>
          <w:sz w:val="32"/>
          <w:szCs w:val="32"/>
          <w:lang w:val="en-US" w:eastAsia="zh-CN" w:bidi="ar-SA"/>
        </w:rPr>
        <w:t>2.</w:t>
      </w:r>
      <w:r>
        <w:rPr>
          <w:rFonts w:hint="default" w:ascii="方正仿宋_GBK" w:hAnsi="方正仿宋_GBK" w:eastAsia="方正仿宋_GBK" w:cs="方正仿宋_GBK"/>
          <w:kern w:val="2"/>
          <w:sz w:val="32"/>
          <w:szCs w:val="32"/>
          <w:lang w:val="en-US" w:eastAsia="zh-CN" w:bidi="ar-SA"/>
        </w:rPr>
        <w:t>因设计深度不够或者需要二次深化设计，需对原设计方案进行调整引起的变更；</w:t>
      </w:r>
      <w:r>
        <w:rPr>
          <w:rFonts w:hint="eastAsia" w:cs="方正仿宋_GBK"/>
          <w:kern w:val="2"/>
          <w:sz w:val="32"/>
          <w:szCs w:val="32"/>
          <w:lang w:val="en-US" w:eastAsia="zh-CN" w:bidi="ar-SA"/>
        </w:rPr>
        <w:t>3.</w:t>
      </w:r>
      <w:r>
        <w:rPr>
          <w:rFonts w:hint="default" w:ascii="方正仿宋_GBK" w:hAnsi="方正仿宋_GBK" w:eastAsia="方正仿宋_GBK" w:cs="方正仿宋_GBK"/>
          <w:kern w:val="2"/>
          <w:sz w:val="32"/>
          <w:szCs w:val="32"/>
          <w:lang w:val="en-US" w:eastAsia="zh-CN" w:bidi="ar-SA"/>
        </w:rPr>
        <w:t>项目现场与勘察成果不一致，致使工程量增加或者施工方案变化引起的变更；</w:t>
      </w:r>
      <w:r>
        <w:rPr>
          <w:rFonts w:hint="eastAsia" w:cs="方正仿宋_GBK"/>
          <w:kern w:val="2"/>
          <w:sz w:val="32"/>
          <w:szCs w:val="32"/>
          <w:lang w:val="en-US" w:eastAsia="zh-CN" w:bidi="ar-SA"/>
        </w:rPr>
        <w:t>4.</w:t>
      </w:r>
      <w:r>
        <w:rPr>
          <w:rFonts w:hint="default" w:ascii="方正仿宋_GBK" w:hAnsi="方正仿宋_GBK" w:eastAsia="方正仿宋_GBK" w:cs="方正仿宋_GBK"/>
          <w:kern w:val="2"/>
          <w:sz w:val="32"/>
          <w:szCs w:val="32"/>
          <w:lang w:val="en-US" w:eastAsia="zh-CN" w:bidi="ar-SA"/>
        </w:rPr>
        <w:t>非施工单位原因导致合同外工程量及其费用的增减；</w:t>
      </w:r>
      <w:r>
        <w:rPr>
          <w:rFonts w:hint="eastAsia" w:cs="方正仿宋_GBK"/>
          <w:kern w:val="2"/>
          <w:sz w:val="32"/>
          <w:szCs w:val="32"/>
          <w:lang w:val="en-US" w:eastAsia="zh-CN" w:bidi="ar-SA"/>
        </w:rPr>
        <w:t>5.</w:t>
      </w:r>
      <w:r>
        <w:rPr>
          <w:rFonts w:hint="default" w:ascii="方正仿宋_GBK" w:hAnsi="方正仿宋_GBK" w:eastAsia="方正仿宋_GBK" w:cs="方正仿宋_GBK"/>
          <w:kern w:val="2"/>
          <w:sz w:val="32"/>
          <w:szCs w:val="32"/>
          <w:lang w:val="en-US" w:eastAsia="zh-CN" w:bidi="ar-SA"/>
        </w:rPr>
        <w:t>材料与设备的换用；</w:t>
      </w:r>
      <w:r>
        <w:rPr>
          <w:rFonts w:hint="eastAsia" w:cs="方正仿宋_GBK"/>
          <w:kern w:val="2"/>
          <w:sz w:val="32"/>
          <w:szCs w:val="32"/>
          <w:lang w:val="en-US" w:eastAsia="zh-CN" w:bidi="ar-SA"/>
        </w:rPr>
        <w:t>6.</w:t>
      </w:r>
      <w:r>
        <w:rPr>
          <w:rFonts w:hint="default" w:ascii="方正仿宋_GBK" w:hAnsi="方正仿宋_GBK" w:eastAsia="方正仿宋_GBK" w:cs="方正仿宋_GBK"/>
          <w:kern w:val="2"/>
          <w:sz w:val="32"/>
          <w:szCs w:val="32"/>
          <w:lang w:val="en-US" w:eastAsia="zh-CN" w:bidi="ar-SA"/>
        </w:rPr>
        <w:t>暂定材料、新型材料价格的签证；</w:t>
      </w:r>
      <w:r>
        <w:rPr>
          <w:rFonts w:hint="eastAsia" w:cs="方正仿宋_GBK"/>
          <w:kern w:val="2"/>
          <w:sz w:val="32"/>
          <w:szCs w:val="32"/>
          <w:lang w:val="en-US" w:eastAsia="zh-CN" w:bidi="ar-SA"/>
        </w:rPr>
        <w:t>7.其他涉及</w:t>
      </w:r>
      <w:r>
        <w:rPr>
          <w:rFonts w:hint="default" w:ascii="方正仿宋_GBK" w:hAnsi="方正仿宋_GBK" w:eastAsia="方正仿宋_GBK" w:cs="方正仿宋_GBK"/>
          <w:kern w:val="2"/>
          <w:sz w:val="32"/>
          <w:szCs w:val="32"/>
          <w:lang w:val="en-US" w:eastAsia="zh-CN" w:bidi="ar-SA"/>
        </w:rPr>
        <w:t>造价的变更。</w:t>
      </w:r>
      <w:r>
        <w:rPr>
          <w:rFonts w:hint="default" w:ascii="Times New Roman" w:hAnsi="Times New Roman" w:cs="Times New Roman"/>
          <w:spacing w:val="3"/>
          <w:sz w:val="32"/>
          <w:szCs w:val="32"/>
        </w:rPr>
        <w:t>采用社会资本合作模式的项目，在合同范围内</w:t>
      </w:r>
      <w:r>
        <w:rPr>
          <w:rFonts w:hint="default" w:ascii="Times New Roman" w:hAnsi="Times New Roman" w:cs="Times New Roman"/>
          <w:spacing w:val="4"/>
          <w:sz w:val="32"/>
          <w:szCs w:val="32"/>
        </w:rPr>
        <w:t>的变更，在不突破概算的前提下按照一般变更程序办理；政府</w:t>
      </w:r>
      <w:r>
        <w:rPr>
          <w:rFonts w:hint="default" w:ascii="Times New Roman" w:hAnsi="Times New Roman" w:cs="Times New Roman"/>
          <w:spacing w:val="3"/>
          <w:sz w:val="32"/>
          <w:szCs w:val="32"/>
        </w:rPr>
        <w:t>投资工程总承包项目，原则上不得变更。如遇不可抗力或政府</w:t>
      </w:r>
      <w:r>
        <w:rPr>
          <w:rFonts w:hint="default" w:ascii="Times New Roman" w:hAnsi="Times New Roman" w:cs="Times New Roman"/>
          <w:spacing w:val="8"/>
          <w:sz w:val="32"/>
          <w:szCs w:val="32"/>
        </w:rPr>
        <w:t>需要产生的变更按照重大变更程序办理。</w:t>
      </w:r>
    </w:p>
    <w:p w14:paraId="29376ED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5"/>
        <w:jc w:val="both"/>
        <w:textAlignment w:val="baseline"/>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工程变更按变更金额分为一般变更、较大变更和重大变更</w:t>
      </w:r>
      <w:r>
        <w:rPr>
          <w:rFonts w:hint="eastAsia"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详见下表：</w:t>
      </w:r>
    </w:p>
    <w:tbl>
      <w:tblPr>
        <w:tblStyle w:val="8"/>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2549"/>
        <w:gridCol w:w="2529"/>
        <w:gridCol w:w="2501"/>
      </w:tblGrid>
      <w:tr w14:paraId="2249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361" w:type="dxa"/>
            <w:vAlign w:val="center"/>
          </w:tcPr>
          <w:p w14:paraId="6BCD91F0">
            <w:pPr>
              <w:keepNext w:val="0"/>
              <w:keepLines w:val="0"/>
              <w:pageBreakBefore w:val="0"/>
              <w:widowControl/>
              <w:kinsoku/>
              <w:wordWrap/>
              <w:overflowPunct w:val="0"/>
              <w:topLinePunct w:val="0"/>
              <w:autoSpaceDE w:val="0"/>
              <w:autoSpaceDN w:val="0"/>
              <w:bidi w:val="0"/>
              <w:adjustRightInd w:val="0"/>
              <w:snapToGrid w:val="0"/>
              <w:spacing w:line="340" w:lineRule="exact"/>
              <w:ind w:left="399"/>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b/>
                <w:bCs/>
                <w:spacing w:val="-6"/>
                <w:sz w:val="24"/>
                <w:szCs w:val="24"/>
              </w:rPr>
              <w:t>合同</w:t>
            </w:r>
          </w:p>
          <w:p w14:paraId="0D4A33E1">
            <w:pPr>
              <w:keepNext w:val="0"/>
              <w:keepLines w:val="0"/>
              <w:pageBreakBefore w:val="0"/>
              <w:widowControl/>
              <w:kinsoku/>
              <w:wordWrap/>
              <w:overflowPunct w:val="0"/>
              <w:topLinePunct w:val="0"/>
              <w:autoSpaceDE w:val="0"/>
              <w:autoSpaceDN w:val="0"/>
              <w:bidi w:val="0"/>
              <w:adjustRightInd w:val="0"/>
              <w:snapToGrid w:val="0"/>
              <w:spacing w:line="340" w:lineRule="exact"/>
              <w:ind w:left="403"/>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b/>
                <w:bCs/>
                <w:spacing w:val="-8"/>
                <w:sz w:val="24"/>
                <w:szCs w:val="24"/>
              </w:rPr>
              <w:t>价款</w:t>
            </w:r>
          </w:p>
        </w:tc>
        <w:tc>
          <w:tcPr>
            <w:tcW w:w="2549" w:type="dxa"/>
            <w:vAlign w:val="center"/>
          </w:tcPr>
          <w:p w14:paraId="46EDE22A">
            <w:pPr>
              <w:keepNext w:val="0"/>
              <w:keepLines w:val="0"/>
              <w:pageBreakBefore w:val="0"/>
              <w:widowControl/>
              <w:kinsoku/>
              <w:wordWrap/>
              <w:overflowPunct w:val="0"/>
              <w:topLinePunct w:val="0"/>
              <w:autoSpaceDE w:val="0"/>
              <w:autoSpaceDN w:val="0"/>
              <w:bidi w:val="0"/>
              <w:adjustRightInd w:val="0"/>
              <w:snapToGrid w:val="0"/>
              <w:spacing w:line="340" w:lineRule="exact"/>
              <w:ind w:left="717"/>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b/>
                <w:bCs/>
                <w:spacing w:val="-6"/>
                <w:sz w:val="24"/>
                <w:szCs w:val="24"/>
              </w:rPr>
              <w:t>一般变更</w:t>
            </w:r>
          </w:p>
        </w:tc>
        <w:tc>
          <w:tcPr>
            <w:tcW w:w="2529" w:type="dxa"/>
            <w:vAlign w:val="center"/>
          </w:tcPr>
          <w:p w14:paraId="016BAAFE">
            <w:pPr>
              <w:keepNext w:val="0"/>
              <w:keepLines w:val="0"/>
              <w:pageBreakBefore w:val="0"/>
              <w:widowControl/>
              <w:kinsoku/>
              <w:wordWrap/>
              <w:overflowPunct w:val="0"/>
              <w:topLinePunct w:val="0"/>
              <w:autoSpaceDE w:val="0"/>
              <w:autoSpaceDN w:val="0"/>
              <w:bidi w:val="0"/>
              <w:adjustRightInd w:val="0"/>
              <w:snapToGrid w:val="0"/>
              <w:spacing w:line="340" w:lineRule="exact"/>
              <w:ind w:left="704"/>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b/>
                <w:bCs/>
                <w:spacing w:val="-4"/>
                <w:sz w:val="24"/>
                <w:szCs w:val="24"/>
              </w:rPr>
              <w:t>较大变更</w:t>
            </w:r>
          </w:p>
        </w:tc>
        <w:tc>
          <w:tcPr>
            <w:tcW w:w="2501" w:type="dxa"/>
            <w:vAlign w:val="center"/>
          </w:tcPr>
          <w:p w14:paraId="764A33C8">
            <w:pPr>
              <w:keepNext w:val="0"/>
              <w:keepLines w:val="0"/>
              <w:pageBreakBefore w:val="0"/>
              <w:widowControl/>
              <w:kinsoku/>
              <w:wordWrap/>
              <w:overflowPunct w:val="0"/>
              <w:topLinePunct w:val="0"/>
              <w:autoSpaceDE w:val="0"/>
              <w:autoSpaceDN w:val="0"/>
              <w:bidi w:val="0"/>
              <w:adjustRightInd w:val="0"/>
              <w:snapToGrid w:val="0"/>
              <w:spacing w:line="340" w:lineRule="exact"/>
              <w:ind w:left="699"/>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b/>
                <w:bCs/>
                <w:spacing w:val="-7"/>
                <w:sz w:val="24"/>
                <w:szCs w:val="24"/>
              </w:rPr>
              <w:t>重大变更</w:t>
            </w:r>
          </w:p>
        </w:tc>
      </w:tr>
      <w:tr w14:paraId="69009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trPr>
        <w:tc>
          <w:tcPr>
            <w:tcW w:w="1361" w:type="dxa"/>
            <w:vAlign w:val="center"/>
          </w:tcPr>
          <w:p w14:paraId="42E0A1D7">
            <w:pPr>
              <w:keepNext w:val="0"/>
              <w:keepLines w:val="0"/>
              <w:pageBreakBefore w:val="0"/>
              <w:widowControl/>
              <w:kinsoku/>
              <w:wordWrap/>
              <w:overflowPunct w:val="0"/>
              <w:topLinePunct w:val="0"/>
              <w:autoSpaceDE w:val="0"/>
              <w:autoSpaceDN w:val="0"/>
              <w:bidi w:val="0"/>
              <w:adjustRightInd w:val="0"/>
              <w:snapToGrid w:val="0"/>
              <w:spacing w:line="340" w:lineRule="exact"/>
              <w:ind w:left="142" w:right="106" w:hanging="37"/>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400</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4"/>
                <w:sz w:val="24"/>
                <w:szCs w:val="24"/>
              </w:rPr>
              <w:t>万元及</w:t>
            </w:r>
            <w:r>
              <w:rPr>
                <w:rFonts w:hint="default" w:ascii="Times New Roman" w:hAnsi="Times New Roman" w:eastAsia="方正仿宋_GBK" w:cs="Times New Roman"/>
                <w:spacing w:val="-21"/>
                <w:sz w:val="24"/>
                <w:szCs w:val="24"/>
              </w:rPr>
              <w:t>以下</w:t>
            </w:r>
          </w:p>
        </w:tc>
        <w:tc>
          <w:tcPr>
            <w:tcW w:w="2549" w:type="dxa"/>
            <w:vAlign w:val="center"/>
          </w:tcPr>
          <w:p w14:paraId="719E318B">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3" w:right="99"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单项变更不超过</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1"/>
                <w:sz w:val="24"/>
                <w:szCs w:val="24"/>
              </w:rPr>
              <w:t>20</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万</w:t>
            </w:r>
            <w:r>
              <w:rPr>
                <w:rFonts w:hint="default" w:ascii="Times New Roman" w:hAnsi="Times New Roman" w:eastAsia="方正仿宋_GBK" w:cs="Times New Roman"/>
                <w:spacing w:val="-8"/>
                <w:sz w:val="24"/>
                <w:szCs w:val="24"/>
              </w:rPr>
              <w:t>元（含）且累计增加不</w:t>
            </w:r>
            <w:r>
              <w:rPr>
                <w:rFonts w:hint="default" w:ascii="Times New Roman" w:hAnsi="Times New Roman" w:eastAsia="方正仿宋_GBK" w:cs="Times New Roman"/>
                <w:sz w:val="24"/>
                <w:szCs w:val="24"/>
              </w:rPr>
              <w:t>超过</w:t>
            </w:r>
            <w:r>
              <w:rPr>
                <w:rFonts w:hint="default" w:ascii="Times New Roman" w:hAnsi="Times New Roman" w:eastAsia="方正仿宋_GBK" w:cs="Times New Roman"/>
                <w:spacing w:val="-43"/>
                <w:sz w:val="24"/>
                <w:szCs w:val="24"/>
              </w:rPr>
              <w:t xml:space="preserve"> </w:t>
            </w:r>
            <w:r>
              <w:rPr>
                <w:rFonts w:hint="default" w:ascii="Times New Roman" w:hAnsi="Times New Roman" w:eastAsia="方正仿宋_GBK" w:cs="Times New Roman"/>
                <w:sz w:val="24"/>
                <w:szCs w:val="24"/>
              </w:rPr>
              <w:t>40</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z w:val="24"/>
                <w:szCs w:val="24"/>
              </w:rPr>
              <w:t>万元（含）且</w:t>
            </w:r>
            <w:r>
              <w:rPr>
                <w:rFonts w:hint="default" w:ascii="Times New Roman" w:hAnsi="Times New Roman" w:eastAsia="方正仿宋_GBK" w:cs="Times New Roman"/>
                <w:spacing w:val="18"/>
                <w:sz w:val="24"/>
                <w:szCs w:val="24"/>
              </w:rPr>
              <w:t>累计变更比例不超过</w:t>
            </w:r>
            <w:r>
              <w:rPr>
                <w:rFonts w:hint="default" w:ascii="Times New Roman" w:hAnsi="Times New Roman" w:eastAsia="方正仿宋_GBK" w:cs="Times New Roman"/>
                <w:spacing w:val="-5"/>
                <w:sz w:val="24"/>
                <w:szCs w:val="24"/>
              </w:rPr>
              <w:t>合同价</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5"/>
                <w:sz w:val="24"/>
                <w:szCs w:val="24"/>
              </w:rPr>
              <w:t>10%（含）</w:t>
            </w:r>
          </w:p>
        </w:tc>
        <w:tc>
          <w:tcPr>
            <w:tcW w:w="2529" w:type="dxa"/>
            <w:vAlign w:val="center"/>
          </w:tcPr>
          <w:p w14:paraId="310B0900">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6" w:right="98"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单项变更不超过</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3"/>
                <w:sz w:val="24"/>
                <w:szCs w:val="24"/>
              </w:rPr>
              <w:t>30</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3"/>
                <w:sz w:val="24"/>
                <w:szCs w:val="24"/>
              </w:rPr>
              <w:t>万</w:t>
            </w:r>
            <w:r>
              <w:rPr>
                <w:rFonts w:hint="default" w:ascii="Times New Roman" w:hAnsi="Times New Roman" w:eastAsia="方正仿宋_GBK" w:cs="Times New Roman"/>
                <w:spacing w:val="-10"/>
                <w:sz w:val="24"/>
                <w:szCs w:val="24"/>
              </w:rPr>
              <w:t>元（含）且累计增加不</w:t>
            </w:r>
            <w:r>
              <w:rPr>
                <w:rFonts w:hint="default" w:ascii="Times New Roman" w:hAnsi="Times New Roman" w:eastAsia="方正仿宋_GBK" w:cs="Times New Roman"/>
                <w:spacing w:val="-2"/>
                <w:sz w:val="24"/>
                <w:szCs w:val="24"/>
              </w:rPr>
              <w:t>超过</w:t>
            </w:r>
            <w:r>
              <w:rPr>
                <w:rFonts w:hint="default" w:ascii="Times New Roman" w:hAnsi="Times New Roman" w:eastAsia="方正仿宋_GBK" w:cs="Times New Roman"/>
                <w:spacing w:val="-40"/>
                <w:sz w:val="24"/>
                <w:szCs w:val="24"/>
              </w:rPr>
              <w:t xml:space="preserve"> </w:t>
            </w:r>
            <w:r>
              <w:rPr>
                <w:rFonts w:hint="default" w:ascii="Times New Roman" w:hAnsi="Times New Roman" w:eastAsia="方正仿宋_GBK" w:cs="Times New Roman"/>
                <w:spacing w:val="-2"/>
                <w:sz w:val="24"/>
                <w:szCs w:val="24"/>
              </w:rPr>
              <w:t>60</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2"/>
                <w:sz w:val="24"/>
                <w:szCs w:val="24"/>
              </w:rPr>
              <w:t>万元（含）且</w:t>
            </w:r>
            <w:r>
              <w:rPr>
                <w:rFonts w:hint="default" w:ascii="Times New Roman" w:hAnsi="Times New Roman" w:eastAsia="方正仿宋_GBK" w:cs="Times New Roman"/>
                <w:spacing w:val="15"/>
                <w:sz w:val="24"/>
                <w:szCs w:val="24"/>
              </w:rPr>
              <w:t>累计变更比例不超过</w:t>
            </w:r>
            <w:r>
              <w:rPr>
                <w:rFonts w:hint="default" w:ascii="Times New Roman" w:hAnsi="Times New Roman" w:eastAsia="方正仿宋_GBK" w:cs="Times New Roman"/>
                <w:spacing w:val="-4"/>
                <w:sz w:val="24"/>
                <w:szCs w:val="24"/>
              </w:rPr>
              <w:t>合同价</w:t>
            </w:r>
            <w:r>
              <w:rPr>
                <w:rFonts w:hint="default" w:ascii="Times New Roman" w:hAnsi="Times New Roman" w:eastAsia="方正仿宋_GBK" w:cs="Times New Roman"/>
                <w:spacing w:val="-42"/>
                <w:sz w:val="24"/>
                <w:szCs w:val="24"/>
              </w:rPr>
              <w:t xml:space="preserve"> </w:t>
            </w:r>
            <w:r>
              <w:rPr>
                <w:rFonts w:hint="default" w:ascii="Times New Roman" w:hAnsi="Times New Roman" w:eastAsia="方正仿宋_GBK" w:cs="Times New Roman"/>
                <w:spacing w:val="-4"/>
                <w:sz w:val="24"/>
                <w:szCs w:val="24"/>
              </w:rPr>
              <w:t>20%（含）</w:t>
            </w:r>
          </w:p>
        </w:tc>
        <w:tc>
          <w:tcPr>
            <w:tcW w:w="2501" w:type="dxa"/>
            <w:vAlign w:val="center"/>
          </w:tcPr>
          <w:p w14:paraId="2CE5E0AD">
            <w:pPr>
              <w:pStyle w:val="9"/>
              <w:keepNext w:val="0"/>
              <w:keepLines w:val="0"/>
              <w:pageBreakBefore w:val="0"/>
              <w:widowControl/>
              <w:kinsoku/>
              <w:wordWrap/>
              <w:overflowPunct w:val="0"/>
              <w:topLinePunct w:val="0"/>
              <w:autoSpaceDE w:val="0"/>
              <w:autoSpaceDN w:val="0"/>
              <w:bidi w:val="0"/>
              <w:adjustRightInd w:val="0"/>
              <w:snapToGrid w:val="0"/>
              <w:spacing w:line="340" w:lineRule="exact"/>
              <w:ind w:right="101"/>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单项变更超过30</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2"/>
                <w:sz w:val="24"/>
                <w:szCs w:val="24"/>
              </w:rPr>
              <w:t>万元或累计增加超过60</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2"/>
                <w:sz w:val="24"/>
                <w:szCs w:val="24"/>
              </w:rPr>
              <w:t>万</w:t>
            </w:r>
            <w:r>
              <w:rPr>
                <w:rFonts w:hint="default" w:ascii="Times New Roman" w:hAnsi="Times New Roman" w:eastAsia="方正仿宋_GBK" w:cs="Times New Roman"/>
                <w:spacing w:val="12"/>
                <w:sz w:val="24"/>
                <w:szCs w:val="24"/>
              </w:rPr>
              <w:t>元或累计变更比例超</w:t>
            </w:r>
            <w:r>
              <w:rPr>
                <w:rFonts w:hint="default" w:ascii="Times New Roman" w:hAnsi="Times New Roman" w:eastAsia="方正仿宋_GBK" w:cs="Times New Roman"/>
                <w:spacing w:val="-5"/>
                <w:sz w:val="24"/>
                <w:szCs w:val="24"/>
              </w:rPr>
              <w:t>过合同价</w:t>
            </w:r>
            <w:r>
              <w:rPr>
                <w:rFonts w:hint="default" w:ascii="Times New Roman" w:hAnsi="Times New Roman" w:eastAsia="方正仿宋_GBK" w:cs="Times New Roman"/>
                <w:spacing w:val="-45"/>
                <w:sz w:val="24"/>
                <w:szCs w:val="24"/>
              </w:rPr>
              <w:t xml:space="preserve"> </w:t>
            </w:r>
            <w:r>
              <w:rPr>
                <w:rFonts w:hint="default" w:ascii="Times New Roman" w:hAnsi="Times New Roman" w:eastAsia="方正仿宋_GBK" w:cs="Times New Roman"/>
                <w:spacing w:val="-5"/>
                <w:sz w:val="24"/>
                <w:szCs w:val="24"/>
              </w:rPr>
              <w:t>20%</w:t>
            </w:r>
          </w:p>
        </w:tc>
      </w:tr>
      <w:tr w14:paraId="02B77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1361" w:type="dxa"/>
            <w:vAlign w:val="center"/>
          </w:tcPr>
          <w:p w14:paraId="5F4D3B1C">
            <w:pPr>
              <w:keepNext w:val="0"/>
              <w:keepLines w:val="0"/>
              <w:pageBreakBefore w:val="0"/>
              <w:widowControl/>
              <w:kinsoku/>
              <w:wordWrap/>
              <w:overflowPunct w:val="0"/>
              <w:topLinePunct w:val="0"/>
              <w:autoSpaceDE w:val="0"/>
              <w:autoSpaceDN w:val="0"/>
              <w:bidi w:val="0"/>
              <w:adjustRightInd w:val="0"/>
              <w:snapToGrid w:val="0"/>
              <w:spacing w:line="340" w:lineRule="exact"/>
              <w:ind w:left="105"/>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400万元</w:t>
            </w:r>
          </w:p>
          <w:p w14:paraId="3F6A4044">
            <w:pPr>
              <w:keepNext w:val="0"/>
              <w:keepLines w:val="0"/>
              <w:pageBreakBefore w:val="0"/>
              <w:widowControl/>
              <w:kinsoku/>
              <w:wordWrap/>
              <w:overflowPunct w:val="0"/>
              <w:topLinePunct w:val="0"/>
              <w:autoSpaceDE w:val="0"/>
              <w:autoSpaceDN w:val="0"/>
              <w:bidi w:val="0"/>
              <w:adjustRightInd w:val="0"/>
              <w:snapToGrid w:val="0"/>
              <w:spacing w:line="340" w:lineRule="exact"/>
              <w:ind w:left="131" w:right="103" w:hanging="25"/>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-3000</w:t>
            </w:r>
            <w:r>
              <w:rPr>
                <w:rFonts w:hint="eastAsia" w:ascii="Times New Roman" w:hAnsi="Times New Roman" w:eastAsia="方正仿宋_GBK" w:cs="Times New Roman"/>
                <w:spacing w:val="-4"/>
                <w:sz w:val="24"/>
                <w:szCs w:val="24"/>
                <w:lang w:eastAsia="zh-CN"/>
              </w:rPr>
              <w:t>万元</w:t>
            </w:r>
            <w:r>
              <w:rPr>
                <w:rFonts w:hint="default" w:ascii="Times New Roman" w:hAnsi="Times New Roman" w:eastAsia="方正仿宋_GBK" w:cs="Times New Roman"/>
                <w:spacing w:val="-11"/>
                <w:sz w:val="24"/>
                <w:szCs w:val="24"/>
              </w:rPr>
              <w:t>（含）</w:t>
            </w:r>
          </w:p>
        </w:tc>
        <w:tc>
          <w:tcPr>
            <w:tcW w:w="2549" w:type="dxa"/>
            <w:vAlign w:val="center"/>
          </w:tcPr>
          <w:p w14:paraId="266AADD9">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3" w:right="2"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单项变更不超过</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1"/>
                <w:sz w:val="24"/>
                <w:szCs w:val="24"/>
              </w:rPr>
              <w:t>30</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万</w:t>
            </w:r>
            <w:r>
              <w:rPr>
                <w:rFonts w:hint="default" w:ascii="Times New Roman" w:hAnsi="Times New Roman" w:eastAsia="方正仿宋_GBK" w:cs="Times New Roman"/>
                <w:spacing w:val="-8"/>
                <w:sz w:val="24"/>
                <w:szCs w:val="24"/>
              </w:rPr>
              <w:t>元（含）且累计增加不</w:t>
            </w:r>
            <w:r>
              <w:rPr>
                <w:rFonts w:hint="default" w:ascii="Times New Roman" w:hAnsi="Times New Roman" w:eastAsia="方正仿宋_GBK" w:cs="Times New Roman"/>
                <w:spacing w:val="-11"/>
                <w:sz w:val="24"/>
                <w:szCs w:val="24"/>
              </w:rPr>
              <w:t>超过</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11"/>
                <w:sz w:val="24"/>
                <w:szCs w:val="24"/>
              </w:rPr>
              <w:t>150</w:t>
            </w:r>
            <w:r>
              <w:rPr>
                <w:rFonts w:hint="default" w:ascii="Times New Roman" w:hAnsi="Times New Roman" w:eastAsia="方正仿宋_GBK" w:cs="Times New Roman"/>
                <w:spacing w:val="-43"/>
                <w:sz w:val="24"/>
                <w:szCs w:val="24"/>
              </w:rPr>
              <w:t xml:space="preserve"> </w:t>
            </w:r>
            <w:r>
              <w:rPr>
                <w:rFonts w:hint="default" w:ascii="Times New Roman" w:hAnsi="Times New Roman" w:eastAsia="方正仿宋_GBK" w:cs="Times New Roman"/>
                <w:spacing w:val="-11"/>
                <w:sz w:val="24"/>
                <w:szCs w:val="24"/>
              </w:rPr>
              <w:t>万元（含）且</w:t>
            </w:r>
            <w:r>
              <w:rPr>
                <w:rFonts w:hint="default" w:ascii="Times New Roman" w:hAnsi="Times New Roman" w:eastAsia="方正仿宋_GBK" w:cs="Times New Roman"/>
                <w:spacing w:val="-16"/>
                <w:sz w:val="24"/>
                <w:szCs w:val="24"/>
              </w:rPr>
              <w:t>不超过合同价</w:t>
            </w:r>
            <w:r>
              <w:rPr>
                <w:rFonts w:hint="default" w:ascii="Times New Roman" w:hAnsi="Times New Roman" w:eastAsia="方正仿宋_GBK" w:cs="Times New Roman"/>
                <w:spacing w:val="-27"/>
                <w:sz w:val="24"/>
                <w:szCs w:val="24"/>
              </w:rPr>
              <w:t xml:space="preserve"> </w:t>
            </w:r>
            <w:r>
              <w:rPr>
                <w:rFonts w:hint="default" w:ascii="Times New Roman" w:hAnsi="Times New Roman" w:eastAsia="方正仿宋_GBK" w:cs="Times New Roman"/>
                <w:spacing w:val="-16"/>
                <w:sz w:val="24"/>
                <w:szCs w:val="24"/>
              </w:rPr>
              <w:t>10%（含）</w:t>
            </w:r>
          </w:p>
        </w:tc>
        <w:tc>
          <w:tcPr>
            <w:tcW w:w="2529" w:type="dxa"/>
            <w:vAlign w:val="center"/>
          </w:tcPr>
          <w:p w14:paraId="3F334AE3">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6" w:right="98"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单项变更不超过</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3"/>
                <w:sz w:val="24"/>
                <w:szCs w:val="24"/>
              </w:rPr>
              <w:t>50</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3"/>
                <w:sz w:val="24"/>
                <w:szCs w:val="24"/>
              </w:rPr>
              <w:t>万</w:t>
            </w:r>
            <w:r>
              <w:rPr>
                <w:rFonts w:hint="default" w:ascii="Times New Roman" w:hAnsi="Times New Roman" w:eastAsia="方正仿宋_GBK" w:cs="Times New Roman"/>
                <w:spacing w:val="-10"/>
                <w:sz w:val="24"/>
                <w:szCs w:val="24"/>
              </w:rPr>
              <w:t>元（含）且累计增加不</w:t>
            </w:r>
            <w:r>
              <w:rPr>
                <w:rFonts w:hint="default" w:ascii="Times New Roman" w:hAnsi="Times New Roman" w:eastAsia="方正仿宋_GBK" w:cs="Times New Roman"/>
                <w:spacing w:val="-12"/>
                <w:sz w:val="24"/>
                <w:szCs w:val="24"/>
              </w:rPr>
              <w:t>超过</w:t>
            </w:r>
            <w:r>
              <w:rPr>
                <w:rFonts w:hint="default" w:ascii="Times New Roman" w:hAnsi="Times New Roman" w:eastAsia="方正仿宋_GBK" w:cs="Times New Roman"/>
                <w:spacing w:val="-43"/>
                <w:sz w:val="24"/>
                <w:szCs w:val="24"/>
              </w:rPr>
              <w:t xml:space="preserve"> </w:t>
            </w:r>
            <w:r>
              <w:rPr>
                <w:rFonts w:hint="default" w:ascii="Times New Roman" w:hAnsi="Times New Roman" w:eastAsia="方正仿宋_GBK" w:cs="Times New Roman"/>
                <w:spacing w:val="-12"/>
                <w:sz w:val="24"/>
                <w:szCs w:val="24"/>
              </w:rPr>
              <w:t>200</w:t>
            </w:r>
            <w:r>
              <w:rPr>
                <w:rFonts w:hint="default" w:ascii="Times New Roman" w:hAnsi="Times New Roman" w:eastAsia="方正仿宋_GBK" w:cs="Times New Roman"/>
                <w:spacing w:val="-42"/>
                <w:sz w:val="24"/>
                <w:szCs w:val="24"/>
              </w:rPr>
              <w:t xml:space="preserve"> </w:t>
            </w:r>
            <w:r>
              <w:rPr>
                <w:rFonts w:hint="default" w:ascii="Times New Roman" w:hAnsi="Times New Roman" w:eastAsia="方正仿宋_GBK" w:cs="Times New Roman"/>
                <w:spacing w:val="-12"/>
                <w:sz w:val="24"/>
                <w:szCs w:val="24"/>
              </w:rPr>
              <w:t>万元（含）且</w:t>
            </w:r>
            <w:r>
              <w:rPr>
                <w:rFonts w:hint="default" w:ascii="Times New Roman" w:hAnsi="Times New Roman" w:eastAsia="方正仿宋_GBK" w:cs="Times New Roman"/>
                <w:spacing w:val="-5"/>
                <w:sz w:val="24"/>
                <w:szCs w:val="24"/>
              </w:rPr>
              <w:t>不超过合同价的</w:t>
            </w:r>
            <w:r>
              <w:rPr>
                <w:rFonts w:hint="default" w:ascii="Times New Roman" w:hAnsi="Times New Roman" w:eastAsia="方正仿宋_GBK" w:cs="Times New Roman"/>
                <w:spacing w:val="-28"/>
                <w:sz w:val="24"/>
                <w:szCs w:val="24"/>
              </w:rPr>
              <w:t xml:space="preserve"> </w:t>
            </w:r>
            <w:r>
              <w:rPr>
                <w:rFonts w:hint="default" w:ascii="Times New Roman" w:hAnsi="Times New Roman" w:eastAsia="方正仿宋_GBK" w:cs="Times New Roman"/>
                <w:spacing w:val="-5"/>
                <w:sz w:val="24"/>
                <w:szCs w:val="24"/>
              </w:rPr>
              <w:t>15%</w:t>
            </w:r>
          </w:p>
        </w:tc>
        <w:tc>
          <w:tcPr>
            <w:tcW w:w="2501" w:type="dxa"/>
            <w:vAlign w:val="center"/>
          </w:tcPr>
          <w:p w14:paraId="78673B83">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9" w:right="101"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单项变更超过50</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2"/>
                <w:sz w:val="24"/>
                <w:szCs w:val="24"/>
              </w:rPr>
              <w:t>万元</w:t>
            </w:r>
            <w:r>
              <w:rPr>
                <w:rFonts w:hint="default" w:ascii="Times New Roman" w:hAnsi="Times New Roman" w:eastAsia="方正仿宋_GBK" w:cs="Times New Roman"/>
                <w:spacing w:val="13"/>
                <w:sz w:val="24"/>
                <w:szCs w:val="24"/>
              </w:rPr>
              <w:t>或累计增加超过</w:t>
            </w:r>
            <w:r>
              <w:rPr>
                <w:rFonts w:hint="default" w:ascii="Times New Roman" w:hAnsi="Times New Roman" w:eastAsia="方正仿宋_GBK" w:cs="Times New Roman"/>
                <w:spacing w:val="-23"/>
                <w:sz w:val="24"/>
                <w:szCs w:val="24"/>
              </w:rPr>
              <w:t xml:space="preserve"> </w:t>
            </w:r>
            <w:r>
              <w:rPr>
                <w:rFonts w:hint="default" w:ascii="Times New Roman" w:hAnsi="Times New Roman" w:eastAsia="方正仿宋_GBK" w:cs="Times New Roman"/>
                <w:spacing w:val="13"/>
                <w:sz w:val="24"/>
                <w:szCs w:val="24"/>
              </w:rPr>
              <w:t>200</w:t>
            </w:r>
            <w:r>
              <w:rPr>
                <w:rFonts w:hint="default" w:ascii="Times New Roman" w:hAnsi="Times New Roman" w:eastAsia="方正仿宋_GBK" w:cs="Times New Roman"/>
                <w:spacing w:val="12"/>
                <w:sz w:val="24"/>
                <w:szCs w:val="24"/>
              </w:rPr>
              <w:t>万元或累计变更比例</w:t>
            </w:r>
            <w:r>
              <w:rPr>
                <w:rFonts w:hint="eastAsia" w:ascii="Times New Roman" w:hAnsi="Times New Roman" w:eastAsia="方正仿宋_GBK" w:cs="Times New Roman"/>
                <w:spacing w:val="12"/>
                <w:sz w:val="24"/>
                <w:szCs w:val="24"/>
                <w:lang w:eastAsia="zh-CN"/>
              </w:rPr>
              <w:t>超过</w:t>
            </w:r>
            <w:r>
              <w:rPr>
                <w:rFonts w:hint="default" w:ascii="Times New Roman" w:hAnsi="Times New Roman" w:eastAsia="方正仿宋_GBK" w:cs="Times New Roman"/>
                <w:spacing w:val="-6"/>
                <w:sz w:val="24"/>
                <w:szCs w:val="24"/>
              </w:rPr>
              <w:t>合同价的</w:t>
            </w:r>
            <w:r>
              <w:rPr>
                <w:rFonts w:hint="default" w:ascii="Times New Roman" w:hAnsi="Times New Roman" w:eastAsia="方正仿宋_GBK" w:cs="Times New Roman"/>
                <w:spacing w:val="-30"/>
                <w:sz w:val="24"/>
                <w:szCs w:val="24"/>
              </w:rPr>
              <w:t xml:space="preserve"> </w:t>
            </w:r>
            <w:r>
              <w:rPr>
                <w:rFonts w:hint="default" w:ascii="Times New Roman" w:hAnsi="Times New Roman" w:eastAsia="方正仿宋_GBK" w:cs="Times New Roman"/>
                <w:spacing w:val="-6"/>
                <w:sz w:val="24"/>
                <w:szCs w:val="24"/>
              </w:rPr>
              <w:t>15%</w:t>
            </w:r>
          </w:p>
        </w:tc>
      </w:tr>
      <w:tr w14:paraId="01F7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1361" w:type="dxa"/>
            <w:vAlign w:val="center"/>
          </w:tcPr>
          <w:p w14:paraId="6E01F216">
            <w:pPr>
              <w:keepNext w:val="0"/>
              <w:keepLines w:val="0"/>
              <w:pageBreakBefore w:val="0"/>
              <w:widowControl/>
              <w:kinsoku/>
              <w:wordWrap/>
              <w:overflowPunct w:val="0"/>
              <w:topLinePunct w:val="0"/>
              <w:autoSpaceDE w:val="0"/>
              <w:autoSpaceDN w:val="0"/>
              <w:bidi w:val="0"/>
              <w:adjustRightInd w:val="0"/>
              <w:snapToGrid w:val="0"/>
              <w:spacing w:line="340" w:lineRule="exact"/>
              <w:ind w:left="141" w:right="104" w:hanging="3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3000万元</w:t>
            </w:r>
            <w:r>
              <w:rPr>
                <w:rFonts w:hint="default" w:ascii="Times New Roman" w:hAnsi="Times New Roman" w:eastAsia="方正仿宋_GBK" w:cs="Times New Roman"/>
                <w:spacing w:val="-21"/>
                <w:sz w:val="24"/>
                <w:szCs w:val="24"/>
              </w:rPr>
              <w:t>以上</w:t>
            </w:r>
          </w:p>
        </w:tc>
        <w:tc>
          <w:tcPr>
            <w:tcW w:w="2549" w:type="dxa"/>
            <w:vAlign w:val="center"/>
          </w:tcPr>
          <w:p w14:paraId="5BE47E71">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3" w:right="101"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单项变更不超过</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1"/>
                <w:sz w:val="24"/>
                <w:szCs w:val="24"/>
              </w:rPr>
              <w:t>50</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万</w:t>
            </w:r>
            <w:r>
              <w:rPr>
                <w:rFonts w:hint="default" w:ascii="Times New Roman" w:hAnsi="Times New Roman" w:eastAsia="方正仿宋_GBK" w:cs="Times New Roman"/>
                <w:spacing w:val="-8"/>
                <w:sz w:val="24"/>
                <w:szCs w:val="24"/>
              </w:rPr>
              <w:t>元（含）且累计增加不</w:t>
            </w:r>
            <w:r>
              <w:rPr>
                <w:rFonts w:hint="default" w:ascii="Times New Roman" w:hAnsi="Times New Roman" w:eastAsia="方正仿宋_GBK" w:cs="Times New Roman"/>
                <w:spacing w:val="-6"/>
                <w:sz w:val="24"/>
                <w:szCs w:val="24"/>
              </w:rPr>
              <w:t>超过</w:t>
            </w:r>
            <w:r>
              <w:rPr>
                <w:rFonts w:hint="default" w:ascii="Times New Roman" w:hAnsi="Times New Roman" w:eastAsia="方正仿宋_GBK" w:cs="Times New Roman"/>
                <w:spacing w:val="-42"/>
                <w:sz w:val="24"/>
                <w:szCs w:val="24"/>
              </w:rPr>
              <w:t xml:space="preserve"> </w:t>
            </w:r>
            <w:r>
              <w:rPr>
                <w:rFonts w:hint="default" w:ascii="Times New Roman" w:hAnsi="Times New Roman" w:eastAsia="方正仿宋_GBK" w:cs="Times New Roman"/>
                <w:spacing w:val="-6"/>
                <w:sz w:val="24"/>
                <w:szCs w:val="24"/>
              </w:rPr>
              <w:t>300</w:t>
            </w:r>
            <w:r>
              <w:rPr>
                <w:rFonts w:hint="default" w:ascii="Times New Roman" w:hAnsi="Times New Roman" w:eastAsia="方正仿宋_GBK" w:cs="Times New Roman"/>
                <w:spacing w:val="-42"/>
                <w:sz w:val="24"/>
                <w:szCs w:val="24"/>
              </w:rPr>
              <w:t xml:space="preserve"> </w:t>
            </w:r>
            <w:r>
              <w:rPr>
                <w:rFonts w:hint="eastAsia" w:ascii="Times New Roman" w:hAnsi="Times New Roman" w:eastAsia="方正仿宋_GBK" w:cs="Times New Roman"/>
                <w:spacing w:val="-42"/>
                <w:sz w:val="24"/>
                <w:szCs w:val="24"/>
                <w:lang w:eastAsia="zh-CN"/>
              </w:rPr>
              <w:t>万元</w:t>
            </w:r>
            <w:r>
              <w:rPr>
                <w:rFonts w:hint="default" w:ascii="Times New Roman" w:hAnsi="Times New Roman" w:eastAsia="方正仿宋_GBK" w:cs="Times New Roman"/>
                <w:spacing w:val="-6"/>
                <w:sz w:val="24"/>
                <w:szCs w:val="24"/>
              </w:rPr>
              <w:t>（含）</w:t>
            </w:r>
          </w:p>
        </w:tc>
        <w:tc>
          <w:tcPr>
            <w:tcW w:w="2529" w:type="dxa"/>
            <w:vAlign w:val="center"/>
          </w:tcPr>
          <w:p w14:paraId="0F5A933E">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16" w:right="98" w:firstLine="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单项变更不</w:t>
            </w:r>
            <w:r>
              <w:rPr>
                <w:rFonts w:hint="eastAsia" w:ascii="Times New Roman" w:hAnsi="Times New Roman" w:eastAsia="方正仿宋_GBK" w:cs="Times New Roman"/>
                <w:spacing w:val="3"/>
                <w:sz w:val="24"/>
                <w:szCs w:val="24"/>
                <w:lang w:eastAsia="zh-CN"/>
              </w:rPr>
              <w:t>超过</w:t>
            </w:r>
            <w:r>
              <w:rPr>
                <w:rFonts w:hint="default" w:ascii="Times New Roman" w:hAnsi="Times New Roman" w:eastAsia="方正仿宋_GBK" w:cs="Times New Roman"/>
                <w:spacing w:val="3"/>
                <w:sz w:val="24"/>
                <w:szCs w:val="24"/>
              </w:rPr>
              <w:t xml:space="preserve"> 100</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3"/>
                <w:sz w:val="24"/>
                <w:szCs w:val="24"/>
              </w:rPr>
              <w:t>万</w:t>
            </w:r>
            <w:r>
              <w:rPr>
                <w:rFonts w:hint="default" w:ascii="Times New Roman" w:hAnsi="Times New Roman" w:eastAsia="方正仿宋_GBK" w:cs="Times New Roman"/>
                <w:spacing w:val="-10"/>
                <w:sz w:val="24"/>
                <w:szCs w:val="24"/>
              </w:rPr>
              <w:t>元（含）且累计增加不</w:t>
            </w:r>
            <w:r>
              <w:rPr>
                <w:rFonts w:hint="default" w:ascii="Times New Roman" w:hAnsi="Times New Roman" w:eastAsia="方正仿宋_GBK" w:cs="Times New Roman"/>
                <w:spacing w:val="-5"/>
                <w:sz w:val="24"/>
                <w:szCs w:val="24"/>
              </w:rPr>
              <w:t>超过</w:t>
            </w:r>
            <w:r>
              <w:rPr>
                <w:rFonts w:hint="default" w:ascii="Times New Roman" w:hAnsi="Times New Roman" w:eastAsia="方正仿宋_GBK" w:cs="Times New Roman"/>
                <w:spacing w:val="-46"/>
                <w:sz w:val="24"/>
                <w:szCs w:val="24"/>
              </w:rPr>
              <w:t xml:space="preserve"> </w:t>
            </w:r>
            <w:r>
              <w:rPr>
                <w:rFonts w:hint="default" w:ascii="Times New Roman" w:hAnsi="Times New Roman" w:eastAsia="方正仿宋_GBK" w:cs="Times New Roman"/>
                <w:spacing w:val="-5"/>
                <w:sz w:val="24"/>
                <w:szCs w:val="24"/>
              </w:rPr>
              <w:t>400</w:t>
            </w:r>
            <w:r>
              <w:rPr>
                <w:rFonts w:hint="default" w:ascii="Times New Roman" w:hAnsi="Times New Roman" w:eastAsia="方正仿宋_GBK" w:cs="Times New Roman"/>
                <w:spacing w:val="-42"/>
                <w:sz w:val="24"/>
                <w:szCs w:val="24"/>
              </w:rPr>
              <w:t xml:space="preserve"> </w:t>
            </w:r>
            <w:r>
              <w:rPr>
                <w:rFonts w:hint="default" w:ascii="Times New Roman" w:hAnsi="Times New Roman" w:eastAsia="方正仿宋_GBK" w:cs="Times New Roman"/>
                <w:spacing w:val="-5"/>
                <w:sz w:val="24"/>
                <w:szCs w:val="24"/>
              </w:rPr>
              <w:t>万元（含）</w:t>
            </w:r>
          </w:p>
        </w:tc>
        <w:tc>
          <w:tcPr>
            <w:tcW w:w="2501" w:type="dxa"/>
            <w:vAlign w:val="center"/>
          </w:tcPr>
          <w:p w14:paraId="2204CECF">
            <w:pPr>
              <w:pStyle w:val="9"/>
              <w:keepNext w:val="0"/>
              <w:keepLines w:val="0"/>
              <w:pageBreakBefore w:val="0"/>
              <w:widowControl/>
              <w:kinsoku/>
              <w:wordWrap/>
              <w:overflowPunct w:val="0"/>
              <w:topLinePunct w:val="0"/>
              <w:autoSpaceDE w:val="0"/>
              <w:autoSpaceDN w:val="0"/>
              <w:bidi w:val="0"/>
              <w:adjustRightInd w:val="0"/>
              <w:snapToGrid w:val="0"/>
              <w:spacing w:line="340" w:lineRule="exact"/>
              <w:ind w:left="109" w:right="101" w:firstLine="13"/>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单项变更超过 100</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z w:val="24"/>
                <w:szCs w:val="24"/>
              </w:rPr>
              <w:t>万</w:t>
            </w:r>
            <w:r>
              <w:rPr>
                <w:rFonts w:hint="default" w:ascii="Times New Roman" w:hAnsi="Times New Roman" w:eastAsia="方正仿宋_GBK" w:cs="Times New Roman"/>
                <w:spacing w:val="-9"/>
                <w:sz w:val="24"/>
                <w:szCs w:val="24"/>
              </w:rPr>
              <w:t>元</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9"/>
                <w:sz w:val="24"/>
                <w:szCs w:val="24"/>
              </w:rPr>
              <w:t>或</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9"/>
                <w:sz w:val="24"/>
                <w:szCs w:val="24"/>
              </w:rPr>
              <w:t>累</w:t>
            </w:r>
            <w:r>
              <w:rPr>
                <w:rFonts w:hint="default" w:ascii="Times New Roman" w:hAnsi="Times New Roman" w:eastAsia="方正仿宋_GBK" w:cs="Times New Roman"/>
                <w:spacing w:val="-51"/>
                <w:sz w:val="24"/>
                <w:szCs w:val="24"/>
              </w:rPr>
              <w:t xml:space="preserve"> </w:t>
            </w:r>
            <w:r>
              <w:rPr>
                <w:rFonts w:hint="default" w:ascii="Times New Roman" w:hAnsi="Times New Roman" w:eastAsia="方正仿宋_GBK" w:cs="Times New Roman"/>
                <w:spacing w:val="-9"/>
                <w:sz w:val="24"/>
                <w:szCs w:val="24"/>
              </w:rPr>
              <w:t>计</w:t>
            </w:r>
            <w:r>
              <w:rPr>
                <w:rFonts w:hint="default" w:ascii="Times New Roman" w:hAnsi="Times New Roman" w:eastAsia="方正仿宋_GBK" w:cs="Times New Roman"/>
                <w:spacing w:val="-54"/>
                <w:sz w:val="24"/>
                <w:szCs w:val="24"/>
              </w:rPr>
              <w:t xml:space="preserve"> </w:t>
            </w:r>
            <w:r>
              <w:rPr>
                <w:rFonts w:hint="default" w:ascii="Times New Roman" w:hAnsi="Times New Roman" w:eastAsia="方正仿宋_GBK" w:cs="Times New Roman"/>
                <w:spacing w:val="-9"/>
                <w:sz w:val="24"/>
                <w:szCs w:val="24"/>
              </w:rPr>
              <w:t>增加</w:t>
            </w:r>
            <w:r>
              <w:rPr>
                <w:rFonts w:hint="default" w:ascii="Times New Roman" w:hAnsi="Times New Roman" w:eastAsia="方正仿宋_GBK" w:cs="Times New Roman"/>
                <w:spacing w:val="-50"/>
                <w:sz w:val="24"/>
                <w:szCs w:val="24"/>
              </w:rPr>
              <w:t xml:space="preserve"> </w:t>
            </w:r>
            <w:r>
              <w:rPr>
                <w:rFonts w:hint="default" w:ascii="Times New Roman" w:hAnsi="Times New Roman" w:eastAsia="方正仿宋_GBK" w:cs="Times New Roman"/>
                <w:spacing w:val="-9"/>
                <w:sz w:val="24"/>
                <w:szCs w:val="24"/>
              </w:rPr>
              <w:t>超</w:t>
            </w:r>
            <w:r>
              <w:rPr>
                <w:rFonts w:hint="default" w:ascii="Times New Roman" w:hAnsi="Times New Roman" w:eastAsia="方正仿宋_GBK" w:cs="Times New Roman"/>
                <w:spacing w:val="-49"/>
                <w:sz w:val="24"/>
                <w:szCs w:val="24"/>
              </w:rPr>
              <w:t xml:space="preserve"> </w:t>
            </w:r>
            <w:r>
              <w:rPr>
                <w:rFonts w:hint="default" w:ascii="Times New Roman" w:hAnsi="Times New Roman" w:eastAsia="方正仿宋_GBK" w:cs="Times New Roman"/>
                <w:spacing w:val="-9"/>
                <w:sz w:val="24"/>
                <w:szCs w:val="24"/>
              </w:rPr>
              <w:t>过</w:t>
            </w:r>
            <w:r>
              <w:rPr>
                <w:rFonts w:hint="default" w:ascii="Times New Roman" w:hAnsi="Times New Roman" w:eastAsia="方正仿宋_GBK" w:cs="Times New Roman"/>
                <w:spacing w:val="13"/>
                <w:sz w:val="24"/>
                <w:szCs w:val="24"/>
              </w:rPr>
              <w:t>400</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pacing w:val="13"/>
                <w:sz w:val="24"/>
                <w:szCs w:val="24"/>
              </w:rPr>
              <w:t>万元或者累计变更比例超过合同价的</w:t>
            </w:r>
            <w:r>
              <w:rPr>
                <w:rFonts w:hint="default" w:ascii="Times New Roman" w:hAnsi="Times New Roman" w:eastAsia="方正仿宋_GBK" w:cs="Times New Roman"/>
                <w:spacing w:val="-3"/>
                <w:sz w:val="24"/>
                <w:szCs w:val="24"/>
              </w:rPr>
              <w:t>10%</w:t>
            </w:r>
          </w:p>
        </w:tc>
      </w:tr>
    </w:tbl>
    <w:p w14:paraId="48EE24D2">
      <w:pPr>
        <w:keepNext w:val="0"/>
        <w:keepLines w:val="0"/>
        <w:pageBreakBefore w:val="0"/>
        <w:widowControl/>
        <w:kinsoku/>
        <w:wordWrap/>
        <w:overflowPunct w:val="0"/>
        <w:topLinePunct w:val="0"/>
        <w:autoSpaceDE w:val="0"/>
        <w:autoSpaceDN w:val="0"/>
        <w:bidi w:val="0"/>
        <w:adjustRightInd w:val="0"/>
        <w:snapToGrid w:val="0"/>
        <w:spacing w:before="206" w:line="560" w:lineRule="exact"/>
        <w:ind w:left="142"/>
        <w:jc w:val="both"/>
        <w:textAlignment w:val="baseline"/>
        <w:rPr>
          <w:rFonts w:hint="default" w:ascii="Times New Roman" w:hAnsi="Times New Roman" w:eastAsia="黑体" w:cs="Times New Roman"/>
          <w:sz w:val="24"/>
          <w:szCs w:val="24"/>
        </w:rPr>
      </w:pPr>
      <w:r>
        <w:rPr>
          <w:rFonts w:hint="default" w:ascii="Times New Roman" w:hAnsi="Times New Roman" w:eastAsia="黑体" w:cs="Times New Roman"/>
          <w:color w:val="191919"/>
          <w:spacing w:val="1"/>
          <w:sz w:val="24"/>
          <w:szCs w:val="24"/>
        </w:rPr>
        <w:t>（注：10</w:t>
      </w:r>
      <w:r>
        <w:rPr>
          <w:rFonts w:hint="default" w:ascii="Times New Roman" w:hAnsi="Times New Roman" w:eastAsia="黑体" w:cs="Times New Roman"/>
          <w:color w:val="191919"/>
          <w:spacing w:val="-54"/>
          <w:sz w:val="24"/>
          <w:szCs w:val="24"/>
        </w:rPr>
        <w:t xml:space="preserve"> </w:t>
      </w:r>
      <w:r>
        <w:rPr>
          <w:rFonts w:hint="default" w:ascii="Times New Roman" w:hAnsi="Times New Roman" w:eastAsia="黑体" w:cs="Times New Roman"/>
          <w:color w:val="191919"/>
          <w:spacing w:val="1"/>
          <w:sz w:val="24"/>
          <w:szCs w:val="24"/>
        </w:rPr>
        <w:t>万元以下项目，累计增加不超过30</w:t>
      </w:r>
      <w:r>
        <w:rPr>
          <w:rFonts w:hint="default" w:ascii="Times New Roman" w:hAnsi="Times New Roman" w:eastAsia="黑体" w:cs="Times New Roman"/>
          <w:color w:val="191919"/>
          <w:sz w:val="24"/>
          <w:szCs w:val="24"/>
        </w:rPr>
        <w:t>%，均视为一般变更。）</w:t>
      </w:r>
    </w:p>
    <w:p w14:paraId="4B2F3B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一般变更</w:t>
      </w:r>
      <w:r>
        <w:rPr>
          <w:rFonts w:hint="eastAsia" w:ascii="方正仿宋_GBK" w:hAnsi="方正仿宋_GBK" w:eastAsia="方正仿宋_GBK" w:cs="方正仿宋_GBK"/>
          <w:sz w:val="32"/>
          <w:szCs w:val="32"/>
          <w:lang w:val="en-US" w:eastAsia="zh-CN"/>
        </w:rPr>
        <w:t>由项目单位按照内控制度自行审批，应会同施工、监理、设计、造价咨询等单位进行研究讨论，形成具体方案，填写《淮阴区投资项目工程一般变更审批表》（附表1），合同价在3000万元及以下工程报建设单位主管部门批准后实施，合同价在3000万元以上工程报区政府条线分管领导、常务副区长批准后实施。</w:t>
      </w:r>
    </w:p>
    <w:p w14:paraId="60BA0A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较大变更</w:t>
      </w:r>
      <w:r>
        <w:rPr>
          <w:rFonts w:hint="eastAsia" w:ascii="方正仿宋_GBK" w:hAnsi="方正仿宋_GBK" w:eastAsia="方正仿宋_GBK" w:cs="方正仿宋_GBK"/>
          <w:sz w:val="32"/>
          <w:szCs w:val="32"/>
          <w:lang w:val="en-US" w:eastAsia="zh-CN"/>
        </w:rPr>
        <w:t>由项目单位会同施工、监理、设计、造价咨询服务单位提出变更意见，填写《淮阴区投资项目工程较大变更审批表》（附表2），经建设单位主管部门集体研究审核同意后，合同价在3000万元及以下工程报区政府条线分管领导、常务副区长批准后实施，合同价在3000万元以上工程还需报区政府常务会议或区长办公会议批准。</w:t>
      </w:r>
    </w:p>
    <w:p w14:paraId="730EA4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重大变更</w:t>
      </w:r>
      <w:r>
        <w:rPr>
          <w:rFonts w:hint="eastAsia" w:ascii="方正仿宋_GBK" w:hAnsi="方正仿宋_GBK" w:eastAsia="方正仿宋_GBK" w:cs="方正仿宋_GBK"/>
          <w:sz w:val="32"/>
          <w:szCs w:val="32"/>
          <w:lang w:val="en-US" w:eastAsia="zh-CN"/>
        </w:rPr>
        <w:t>由项目单位提出，并组织专家组成变更论证小组，对工程变更的理由进行确认，形成书面报告，填写《淮阴区项目工程重大变更审批表》（附表3），报主管部门初审，经区政府条线分管领导、常务副区长审核同意后，报区政府常务会议或区长办公会议批准。</w:t>
      </w:r>
    </w:p>
    <w:p w14:paraId="78E978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b/>
          <w:bCs/>
          <w:sz w:val="32"/>
          <w:szCs w:val="32"/>
          <w:lang w:val="en-US" w:eastAsia="zh-CN"/>
        </w:rPr>
        <w:t>变更的审核审批完成时限：</w:t>
      </w:r>
      <w:r>
        <w:rPr>
          <w:rFonts w:hint="default" w:ascii="方正仿宋_GBK" w:hAnsi="方正仿宋_GBK" w:eastAsia="方正仿宋_GBK" w:cs="方正仿宋_GBK"/>
          <w:sz w:val="32"/>
          <w:szCs w:val="32"/>
          <w:lang w:val="en-US" w:eastAsia="zh-CN"/>
        </w:rPr>
        <w:t>自变更事项发生起，一般变更在7个工作日内，较大、重大变更在15个工作日内，对于变更事项复杂、技术难度大、增加金额巨大的变更，经区政府条线分管领导批准，办理时限可适当延长，最长不应超过30个工作日。</w:t>
      </w:r>
    </w:p>
    <w:p w14:paraId="440AF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国企投资项目单项变更超过30万元的，需报区政府审批。</w:t>
      </w:r>
    </w:p>
    <w:p w14:paraId="516DC4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六</w:t>
      </w:r>
      <w:r>
        <w:rPr>
          <w:rFonts w:hint="eastAsia" w:ascii="方正楷体_GBK" w:hAnsi="方正楷体_GBK" w:eastAsia="方正楷体_GBK" w:cs="方正楷体_GBK"/>
          <w:b/>
          <w:bCs/>
          <w:sz w:val="32"/>
          <w:szCs w:val="32"/>
        </w:rPr>
        <w:t>条【建设过程监管】</w:t>
      </w:r>
      <w:r>
        <w:rPr>
          <w:rFonts w:hint="eastAsia" w:ascii="方正仿宋_GBK" w:hAnsi="方正仿宋_GBK" w:eastAsia="方正仿宋_GBK" w:cs="方正仿宋_GBK"/>
          <w:sz w:val="32"/>
          <w:szCs w:val="32"/>
        </w:rPr>
        <w:t xml:space="preserve"> 项目单位应加强现场管理，确保工程质量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进度</w:t>
      </w:r>
      <w:r>
        <w:rPr>
          <w:rFonts w:hint="eastAsia" w:ascii="方正仿宋_GBK" w:hAnsi="方正仿宋_GBK" w:eastAsia="方正仿宋_GBK" w:cs="方正仿宋_GBK"/>
          <w:sz w:val="32"/>
          <w:szCs w:val="32"/>
        </w:rPr>
        <w:t>和安全生产。行业主管部门应加强监督检查。财政部门应加强资金使用监管，按</w:t>
      </w:r>
      <w:r>
        <w:rPr>
          <w:rFonts w:hint="eastAsia" w:ascii="方正仿宋_GBK" w:hAnsi="方正仿宋_GBK" w:eastAsia="方正仿宋_GBK" w:cs="方正仿宋_GBK"/>
          <w:sz w:val="32"/>
          <w:szCs w:val="32"/>
          <w:lang w:val="en-US" w:eastAsia="zh-CN"/>
        </w:rPr>
        <w:t>合同约定与项目</w:t>
      </w:r>
      <w:r>
        <w:rPr>
          <w:rFonts w:hint="eastAsia" w:ascii="方正仿宋_GBK" w:hAnsi="方正仿宋_GBK" w:eastAsia="方正仿宋_GBK" w:cs="方正仿宋_GBK"/>
          <w:sz w:val="32"/>
          <w:szCs w:val="32"/>
        </w:rPr>
        <w:t>进度拨付资金。</w:t>
      </w:r>
    </w:p>
    <w:p w14:paraId="37317E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七</w:t>
      </w:r>
      <w:r>
        <w:rPr>
          <w:rFonts w:hint="eastAsia" w:ascii="方正楷体_GBK" w:hAnsi="方正楷体_GBK" w:eastAsia="方正楷体_GBK" w:cs="方正楷体_GBK"/>
          <w:b/>
          <w:bCs/>
          <w:sz w:val="32"/>
          <w:szCs w:val="32"/>
        </w:rPr>
        <w:t>条【信息报送与档案管理】</w:t>
      </w:r>
      <w:r>
        <w:rPr>
          <w:rFonts w:hint="eastAsia" w:ascii="方正仿宋_GBK" w:hAnsi="方正仿宋_GBK" w:eastAsia="方正仿宋_GBK" w:cs="方正仿宋_GBK"/>
          <w:sz w:val="32"/>
          <w:szCs w:val="32"/>
        </w:rPr>
        <w:t xml:space="preserve"> 项目单位应定期向</w:t>
      </w:r>
      <w:r>
        <w:rPr>
          <w:rFonts w:hint="eastAsia" w:ascii="方正仿宋_GBK" w:hAnsi="方正仿宋_GBK" w:eastAsia="方正仿宋_GBK" w:cs="方正仿宋_GBK"/>
          <w:sz w:val="32"/>
          <w:szCs w:val="32"/>
          <w:lang w:val="en-US" w:eastAsia="zh-CN"/>
        </w:rPr>
        <w:t>项目评审中心、发改</w:t>
      </w:r>
      <w:r>
        <w:rPr>
          <w:rFonts w:hint="eastAsia" w:ascii="方正仿宋_GBK" w:hAnsi="方正仿宋_GBK" w:eastAsia="方正仿宋_GBK" w:cs="方正仿宋_GBK"/>
          <w:sz w:val="32"/>
          <w:szCs w:val="32"/>
        </w:rPr>
        <w:t>、财政、行业主管等部门报送项目进展、投资完成情况。项目建设全过程资料应规范</w:t>
      </w:r>
      <w:r>
        <w:rPr>
          <w:rFonts w:hint="eastAsia" w:ascii="方正仿宋_GBK" w:hAnsi="方正仿宋_GBK" w:eastAsia="方正仿宋_GBK" w:cs="方正仿宋_GBK"/>
          <w:sz w:val="32"/>
          <w:szCs w:val="32"/>
          <w:lang w:val="en-US" w:eastAsia="zh-CN"/>
        </w:rPr>
        <w:t>完整</w:t>
      </w:r>
      <w:r>
        <w:rPr>
          <w:rFonts w:hint="eastAsia" w:ascii="方正仿宋_GBK" w:hAnsi="方正仿宋_GBK" w:eastAsia="方正仿宋_GBK" w:cs="方正仿宋_GBK"/>
          <w:sz w:val="32"/>
          <w:szCs w:val="32"/>
        </w:rPr>
        <w:t>归档。</w:t>
      </w:r>
    </w:p>
    <w:p w14:paraId="39C066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77E1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项目竣工与运营（后期阶段）</w:t>
      </w:r>
    </w:p>
    <w:p w14:paraId="10832C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125B6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八</w:t>
      </w:r>
      <w:r>
        <w:rPr>
          <w:rFonts w:hint="eastAsia" w:ascii="方正楷体_GBK" w:hAnsi="方正楷体_GBK" w:eastAsia="方正楷体_GBK" w:cs="方正楷体_GBK"/>
          <w:b/>
          <w:bCs/>
          <w:sz w:val="32"/>
          <w:szCs w:val="32"/>
        </w:rPr>
        <w:t>条【竣工验收】</w:t>
      </w:r>
      <w:r>
        <w:rPr>
          <w:rFonts w:hint="eastAsia" w:ascii="方正仿宋_GBK" w:hAnsi="方正仿宋_GBK" w:eastAsia="方正仿宋_GBK" w:cs="方正仿宋_GBK"/>
          <w:sz w:val="32"/>
          <w:szCs w:val="32"/>
        </w:rPr>
        <w:t xml:space="preserve"> 项目完工后，项目单位应及时组织设计、施工、监理等单位进行竣工验收。政府投资项目竣工验收后，</w:t>
      </w:r>
      <w:r>
        <w:rPr>
          <w:rFonts w:hint="eastAsia" w:ascii="方正仿宋_GBK" w:hAnsi="方正仿宋_GBK" w:eastAsia="方正仿宋_GBK" w:cs="方正仿宋_GBK"/>
          <w:sz w:val="32"/>
          <w:szCs w:val="32"/>
          <w:lang w:val="en-US" w:eastAsia="zh-CN"/>
        </w:rPr>
        <w:t>发改委</w:t>
      </w:r>
      <w:r>
        <w:rPr>
          <w:rFonts w:hint="eastAsia" w:ascii="方正仿宋_GBK" w:hAnsi="方正仿宋_GBK" w:eastAsia="方正仿宋_GBK" w:cs="方正仿宋_GBK"/>
          <w:sz w:val="32"/>
          <w:szCs w:val="32"/>
        </w:rPr>
        <w:t>或行业主管部门可视情况组织综合验收。</w:t>
      </w:r>
    </w:p>
    <w:p w14:paraId="287E64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第十</w:t>
      </w:r>
      <w:r>
        <w:rPr>
          <w:rFonts w:hint="eastAsia" w:ascii="方正楷体_GBK" w:hAnsi="方正楷体_GBK" w:eastAsia="方正楷体_GBK" w:cs="方正楷体_GBK"/>
          <w:b/>
          <w:bCs/>
          <w:sz w:val="32"/>
          <w:szCs w:val="32"/>
          <w:lang w:val="en-US" w:eastAsia="zh-CN"/>
        </w:rPr>
        <w:t>九</w:t>
      </w:r>
      <w:r>
        <w:rPr>
          <w:rFonts w:hint="eastAsia" w:ascii="方正楷体_GBK" w:hAnsi="方正楷体_GBK" w:eastAsia="方正楷体_GBK" w:cs="方正楷体_GBK"/>
          <w:b/>
          <w:bCs/>
          <w:sz w:val="32"/>
          <w:szCs w:val="32"/>
        </w:rPr>
        <w:t>条【竣工决算与审计】</w:t>
      </w:r>
      <w:r>
        <w:rPr>
          <w:rFonts w:hint="eastAsia" w:ascii="方正仿宋_GBK" w:hAnsi="方正仿宋_GBK" w:eastAsia="方正仿宋_GBK" w:cs="方正仿宋_GBK"/>
          <w:sz w:val="32"/>
          <w:szCs w:val="32"/>
        </w:rPr>
        <w:t xml:space="preserve"> 项目单位应在项目竣工验收合格后规定时限内编制竣工财务决算报告。政府投资项目</w:t>
      </w:r>
      <w:r>
        <w:rPr>
          <w:rFonts w:hint="eastAsia" w:ascii="方正仿宋_GBK" w:hAnsi="方正仿宋_GBK" w:eastAsia="方正仿宋_GBK" w:cs="方正仿宋_GBK"/>
          <w:sz w:val="32"/>
          <w:szCs w:val="32"/>
          <w:lang w:val="en-US" w:eastAsia="zh-CN"/>
        </w:rPr>
        <w:t>竣工财务决算报财政部门审批，</w:t>
      </w:r>
      <w:r>
        <w:rPr>
          <w:rFonts w:hint="eastAsia" w:ascii="方正仿宋_GBK" w:hAnsi="方正仿宋_GBK" w:eastAsia="方正仿宋_GBK" w:cs="方正仿宋_GBK"/>
          <w:sz w:val="32"/>
          <w:szCs w:val="32"/>
        </w:rPr>
        <w:t>并依法接受审计监督。国企投资项目决算报告应经内部审计或委托第三方审计。</w:t>
      </w:r>
    </w:p>
    <w:p w14:paraId="579B39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二十</w:t>
      </w:r>
      <w:r>
        <w:rPr>
          <w:rFonts w:hint="eastAsia" w:ascii="方正楷体_GBK" w:hAnsi="方正楷体_GBK" w:eastAsia="方正楷体_GBK" w:cs="方正楷体_GBK"/>
          <w:b/>
          <w:bCs/>
          <w:sz w:val="32"/>
          <w:szCs w:val="32"/>
        </w:rPr>
        <w:t>条【资产移交与登记】</w:t>
      </w:r>
      <w:r>
        <w:rPr>
          <w:rFonts w:hint="eastAsia" w:ascii="方正仿宋_GBK" w:hAnsi="方正仿宋_GBK" w:eastAsia="方正仿宋_GBK" w:cs="方正仿宋_GBK"/>
          <w:sz w:val="32"/>
          <w:szCs w:val="32"/>
        </w:rPr>
        <w:t xml:space="preserve"> 竣工验收合格后，项目单位应及时办理固定资产移交和产权登记手续，确保国有资产安全完整。</w:t>
      </w:r>
    </w:p>
    <w:p w14:paraId="045B94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二十一</w:t>
      </w:r>
      <w:r>
        <w:rPr>
          <w:rFonts w:hint="eastAsia" w:ascii="方正楷体_GBK" w:hAnsi="方正楷体_GBK" w:eastAsia="方正楷体_GBK" w:cs="方正楷体_GBK"/>
          <w:b/>
          <w:bCs/>
          <w:sz w:val="32"/>
          <w:szCs w:val="32"/>
        </w:rPr>
        <w:t>条【项目后评价与绩效管理】</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方正仿宋_GBK"/>
          <w:b w:val="0"/>
          <w:sz w:val="32"/>
          <w:szCs w:val="32"/>
          <w:lang w:val="en-US" w:eastAsia="zh-CN"/>
        </w:rPr>
        <w:t>重大项目在投入运营或使用后1-3年内，应由发改委或国资办</w:t>
      </w:r>
      <w:r>
        <w:rPr>
          <w:rFonts w:hint="eastAsia" w:ascii="Times New Roman" w:hAnsi="Times New Roman" w:eastAsia="方正仿宋_GBK" w:cs="方正仿宋_GBK"/>
          <w:b w:val="0"/>
          <w:sz w:val="32"/>
          <w:szCs w:val="32"/>
          <w:lang w:val="en-US" w:eastAsia="zh-CN"/>
        </w:rPr>
        <w:t>督促项目单位</w:t>
      </w:r>
      <w:r>
        <w:rPr>
          <w:rFonts w:hint="default" w:ascii="Times New Roman" w:hAnsi="Times New Roman" w:eastAsia="方正仿宋_GBK" w:cs="方正仿宋_GBK"/>
          <w:b w:val="0"/>
          <w:sz w:val="32"/>
          <w:szCs w:val="32"/>
          <w:lang w:val="en-US" w:eastAsia="zh-CN"/>
        </w:rPr>
        <w:t>组织开展项目后评价，全面评估项目的决策、过程、效益和影响</w:t>
      </w:r>
      <w:r>
        <w:rPr>
          <w:rFonts w:hint="eastAsia" w:ascii="Times New Roman" w:hAnsi="Times New Roman" w:eastAsia="方正仿宋_GBK" w:cs="方正仿宋_GBK"/>
          <w:b w:val="0"/>
          <w:sz w:val="32"/>
          <w:szCs w:val="32"/>
          <w:lang w:val="en-US" w:eastAsia="zh-CN"/>
        </w:rPr>
        <w:t>。</w:t>
      </w:r>
      <w:r>
        <w:rPr>
          <w:rFonts w:hint="eastAsia" w:ascii="方正仿宋_GBK" w:hAnsi="方正仿宋_GBK" w:eastAsia="方正仿宋_GBK" w:cs="方正仿宋_GBK"/>
          <w:sz w:val="32"/>
          <w:szCs w:val="32"/>
        </w:rPr>
        <w:t>评价结果作为规划制定、项目决策、投资管理和考核问责的重要依据。全面实施项目绩效运行监控和绩效自评。</w:t>
      </w:r>
    </w:p>
    <w:p w14:paraId="1983D1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二十二</w:t>
      </w:r>
      <w:r>
        <w:rPr>
          <w:rFonts w:hint="eastAsia" w:ascii="方正楷体_GBK" w:hAnsi="方正楷体_GBK" w:eastAsia="方正楷体_GBK" w:cs="方正楷体_GBK"/>
          <w:b/>
          <w:bCs/>
          <w:sz w:val="32"/>
          <w:szCs w:val="32"/>
        </w:rPr>
        <w:t>条【项目退出与处置】</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方正仿宋_GBK"/>
          <w:b w:val="0"/>
          <w:sz w:val="32"/>
          <w:szCs w:val="32"/>
          <w:lang w:val="en-US" w:eastAsia="zh-CN"/>
        </w:rPr>
        <w:t>对长期闲置、低效无效运营的国有资产投资项目，由</w:t>
      </w:r>
      <w:r>
        <w:rPr>
          <w:rFonts w:hint="eastAsia" w:ascii="Times New Roman" w:hAnsi="Times New Roman" w:eastAsia="方正仿宋_GBK" w:cs="方正仿宋_GBK"/>
          <w:b w:val="0"/>
          <w:sz w:val="32"/>
          <w:szCs w:val="32"/>
          <w:lang w:val="en-US" w:eastAsia="zh-CN"/>
        </w:rPr>
        <w:t>投资主体</w:t>
      </w:r>
      <w:r>
        <w:rPr>
          <w:rFonts w:hint="default" w:ascii="Times New Roman" w:hAnsi="Times New Roman" w:eastAsia="方正仿宋_GBK" w:cs="方正仿宋_GBK"/>
          <w:b w:val="0"/>
          <w:sz w:val="32"/>
          <w:szCs w:val="32"/>
          <w:lang w:val="en-US" w:eastAsia="zh-CN"/>
        </w:rPr>
        <w:t>提出处置方案，依法依规通过转让、重组、盘活或报废等方式进行处置，提高国有</w:t>
      </w:r>
      <w:r>
        <w:rPr>
          <w:rFonts w:hint="eastAsia" w:ascii="Times New Roman" w:hAnsi="Times New Roman" w:eastAsia="方正仿宋_GBK" w:cs="方正仿宋_GBK"/>
          <w:b w:val="0"/>
          <w:sz w:val="32"/>
          <w:szCs w:val="32"/>
          <w:lang w:val="en-US" w:eastAsia="zh-CN"/>
        </w:rPr>
        <w:t>资产使用质效</w:t>
      </w:r>
      <w:r>
        <w:rPr>
          <w:rFonts w:hint="default" w:ascii="Times New Roman" w:hAnsi="Times New Roman" w:eastAsia="方正仿宋_GBK" w:cs="方正仿宋_GBK"/>
          <w:b w:val="0"/>
          <w:sz w:val="32"/>
          <w:szCs w:val="32"/>
          <w:lang w:val="en-US" w:eastAsia="zh-CN"/>
        </w:rPr>
        <w:t>。</w:t>
      </w:r>
    </w:p>
    <w:p w14:paraId="3B2222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DE493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监督检查与责任追究</w:t>
      </w:r>
    </w:p>
    <w:p w14:paraId="3976E8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488D1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第二十</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rPr>
        <w:t>条【协同监督】</w:t>
      </w:r>
      <w:r>
        <w:rPr>
          <w:rFonts w:hint="eastAsia" w:ascii="方正仿宋_GBK" w:hAnsi="方正仿宋_GBK" w:eastAsia="方正仿宋_GBK" w:cs="方正仿宋_GBK"/>
          <w:sz w:val="32"/>
          <w:szCs w:val="32"/>
        </w:rPr>
        <w:t xml:space="preserve"> 建立发改、财政、审计、国资监管、行业主管、纪检监察等部门联动的监督机制，运用在线审批监管平台、大数据等手段，实现信息共享和协同监管。</w:t>
      </w:r>
    </w:p>
    <w:p w14:paraId="2217E1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第二十</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rPr>
        <w:t>条【责任追究】</w:t>
      </w:r>
      <w:r>
        <w:rPr>
          <w:rFonts w:hint="eastAsia" w:ascii="方正仿宋_GBK" w:hAnsi="方正仿宋_GBK" w:eastAsia="方正仿宋_GBK" w:cs="方正仿宋_GBK"/>
          <w:sz w:val="32"/>
          <w:szCs w:val="32"/>
        </w:rPr>
        <w:t xml:space="preserve"> 对违反本细则规定，在项目</w:t>
      </w:r>
      <w:r>
        <w:rPr>
          <w:rFonts w:hint="eastAsia" w:ascii="方正仿宋_GBK" w:hAnsi="方正仿宋_GBK" w:eastAsia="方正仿宋_GBK" w:cs="方正仿宋_GBK"/>
          <w:sz w:val="32"/>
          <w:szCs w:val="32"/>
          <w:lang w:val="en-US" w:eastAsia="zh-CN"/>
        </w:rPr>
        <w:t>评估、</w:t>
      </w:r>
      <w:r>
        <w:rPr>
          <w:rFonts w:hint="eastAsia" w:ascii="方正仿宋_GBK" w:hAnsi="方正仿宋_GBK" w:eastAsia="方正仿宋_GBK" w:cs="方正仿宋_GBK"/>
          <w:sz w:val="32"/>
          <w:szCs w:val="32"/>
        </w:rPr>
        <w:t>决策、审批、建设过程中失职渎职、弄虚作假、违规举债、擅自超概算</w:t>
      </w:r>
      <w:r>
        <w:rPr>
          <w:rFonts w:hint="eastAsia" w:ascii="方正仿宋_GBK" w:hAnsi="方正仿宋_GBK" w:eastAsia="方正仿宋_GBK" w:cs="方正仿宋_GBK"/>
          <w:sz w:val="32"/>
          <w:szCs w:val="32"/>
          <w:lang w:val="en-US" w:eastAsia="zh-CN"/>
        </w:rPr>
        <w:t>与工程调整变更、</w:t>
      </w:r>
      <w:r>
        <w:rPr>
          <w:rFonts w:hint="eastAsia" w:ascii="方正仿宋_GBK" w:hAnsi="方正仿宋_GBK" w:eastAsia="方正仿宋_GBK" w:cs="方正仿宋_GBK"/>
          <w:sz w:val="32"/>
          <w:szCs w:val="32"/>
        </w:rPr>
        <w:t>造成重大损失或风险等行为的单位和个人，依法依规追究责任。对行政机关及其工作人员，由纪检监察机关或任免机关给予处理。对项目单位、国有企业及相关责任人，依规给予处理，并纳入企业负责人经营业绩考核；涉嫌犯罪的，移送司法机关处理。</w:t>
      </w:r>
    </w:p>
    <w:p w14:paraId="030761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F49B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附则</w:t>
      </w:r>
    </w:p>
    <w:p w14:paraId="3B3F0A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C27C7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rPr>
        <w:t>第二十</w:t>
      </w: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sz w:val="32"/>
          <w:szCs w:val="32"/>
        </w:rPr>
        <w:t>条【解释权】</w:t>
      </w:r>
      <w:r>
        <w:rPr>
          <w:rFonts w:hint="eastAsia" w:ascii="方正仿宋_GBK" w:hAnsi="方正仿宋_GBK" w:eastAsia="方正仿宋_GBK" w:cs="方正仿宋_GBK"/>
          <w:sz w:val="32"/>
          <w:szCs w:val="32"/>
        </w:rPr>
        <w:t xml:space="preserve"> 本细则由区</w:t>
      </w:r>
      <w:r>
        <w:rPr>
          <w:rFonts w:hint="eastAsia" w:ascii="方正仿宋_GBK" w:hAnsi="方正仿宋_GBK" w:eastAsia="方正仿宋_GBK" w:cs="方正仿宋_GBK"/>
          <w:sz w:val="32"/>
          <w:szCs w:val="32"/>
          <w:lang w:val="en-US" w:eastAsia="zh-CN"/>
        </w:rPr>
        <w:t>政府办会同</w:t>
      </w:r>
      <w:r>
        <w:rPr>
          <w:rFonts w:hint="eastAsia" w:ascii="方正仿宋_GBK" w:hAnsi="方正仿宋_GBK" w:eastAsia="方正仿宋_GBK" w:cs="方正仿宋_GBK"/>
          <w:sz w:val="32"/>
          <w:szCs w:val="32"/>
        </w:rPr>
        <w:t>发改</w:t>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国资办</w:t>
      </w:r>
      <w:r>
        <w:rPr>
          <w:rFonts w:hint="eastAsia" w:ascii="方正仿宋_GBK" w:hAnsi="方正仿宋_GBK" w:eastAsia="方正仿宋_GBK" w:cs="方正仿宋_GBK"/>
          <w:sz w:val="32"/>
          <w:szCs w:val="32"/>
        </w:rPr>
        <w:t>负责解释</w:t>
      </w:r>
      <w:r>
        <w:rPr>
          <w:rFonts w:hint="eastAsia" w:ascii="方正仿宋_GBK" w:hAnsi="方正仿宋_GBK" w:eastAsia="方正仿宋_GBK" w:cs="方正仿宋_GBK"/>
          <w:sz w:val="32"/>
          <w:szCs w:val="32"/>
          <w:lang w:eastAsia="zh-CN"/>
        </w:rPr>
        <w:t>。</w:t>
      </w:r>
    </w:p>
    <w:p w14:paraId="38C7BF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第二十</w:t>
      </w:r>
      <w:r>
        <w:rPr>
          <w:rFonts w:hint="eastAsia" w:ascii="方正楷体_GBK" w:hAnsi="方正楷体_GBK" w:eastAsia="方正楷体_GBK" w:cs="方正楷体_GBK"/>
          <w:b/>
          <w:bCs/>
          <w:sz w:val="32"/>
          <w:szCs w:val="32"/>
          <w:lang w:val="en-US" w:eastAsia="zh-CN"/>
        </w:rPr>
        <w:t>六</w:t>
      </w:r>
      <w:r>
        <w:rPr>
          <w:rFonts w:hint="eastAsia" w:ascii="方正楷体_GBK" w:hAnsi="方正楷体_GBK" w:eastAsia="方正楷体_GBK" w:cs="方正楷体_GBK"/>
          <w:b/>
          <w:bCs/>
          <w:sz w:val="32"/>
          <w:szCs w:val="32"/>
        </w:rPr>
        <w:t>条【施行日期】</w:t>
      </w:r>
      <w:r>
        <w:rPr>
          <w:rFonts w:hint="eastAsia" w:ascii="方正仿宋_GBK" w:hAnsi="方正仿宋_GBK" w:eastAsia="方正仿宋_GBK" w:cs="方正仿宋_GBK"/>
          <w:sz w:val="32"/>
          <w:szCs w:val="32"/>
        </w:rPr>
        <w:t xml:space="preserve"> 本细则自发布之日起施行。本区以往有关规定与本细则不一致的，以本细则为准。</w:t>
      </w:r>
    </w:p>
    <w:p w14:paraId="6333DC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C3E44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184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D77C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4522E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5D72C2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val="en-US" w:eastAsia="zh-CN"/>
        </w:rPr>
        <w:t>淮阴</w:t>
      </w:r>
      <w:r>
        <w:rPr>
          <w:rFonts w:hint="default" w:ascii="方正仿宋_GBK" w:hAnsi="方正仿宋_GBK" w:eastAsia="方正仿宋_GBK" w:cs="方正仿宋_GBK"/>
          <w:sz w:val="32"/>
          <w:szCs w:val="32"/>
        </w:rPr>
        <w:t>区投资项目工程一般变更审批表</w:t>
      </w:r>
    </w:p>
    <w:p w14:paraId="48715447">
      <w:pPr>
        <w:pStyle w:val="2"/>
        <w:keepNext w:val="0"/>
        <w:keepLines w:val="0"/>
        <w:pageBreakBefore w:val="0"/>
        <w:widowControl/>
        <w:kinsoku/>
        <w:wordWrap/>
        <w:overflowPunct w:val="0"/>
        <w:topLinePunct w:val="0"/>
        <w:autoSpaceDE w:val="0"/>
        <w:autoSpaceDN w:val="0"/>
        <w:bidi w:val="0"/>
        <w:adjustRightInd w:val="0"/>
        <w:snapToGrid w:val="0"/>
        <w:spacing w:before="98"/>
        <w:jc w:val="both"/>
        <w:textAlignment w:val="baseline"/>
        <w:rPr>
          <w:rFonts w:hint="default" w:ascii="Times New Roman" w:hAnsi="Times New Roman" w:cs="Times New Roman"/>
        </w:rPr>
      </w:pPr>
      <w:r>
        <w:rPr>
          <w:rFonts w:hint="eastAsia" w:ascii="Times New Roman" w:hAnsi="Times New Roman" w:cs="Times New Roman"/>
          <w:spacing w:val="3"/>
          <w:lang w:val="en-US" w:eastAsia="zh-CN"/>
        </w:rPr>
        <w:t>2</w:t>
      </w:r>
      <w:r>
        <w:rPr>
          <w:rFonts w:hint="default" w:ascii="Times New Roman" w:hAnsi="Times New Roman" w:cs="Times New Roman"/>
          <w:spacing w:val="3"/>
        </w:rPr>
        <w:t>.</w:t>
      </w:r>
      <w:r>
        <w:rPr>
          <w:rFonts w:hint="default" w:ascii="Times New Roman" w:hAnsi="Times New Roman" w:cs="Times New Roman"/>
          <w:spacing w:val="3"/>
          <w:lang w:val="en-US" w:eastAsia="zh-CN"/>
        </w:rPr>
        <w:t>淮阴</w:t>
      </w:r>
      <w:r>
        <w:rPr>
          <w:rFonts w:hint="default" w:ascii="Times New Roman" w:hAnsi="Times New Roman" w:cs="Times New Roman"/>
          <w:spacing w:val="3"/>
        </w:rPr>
        <w:t>区投资项目工程较大变更审批表</w:t>
      </w:r>
    </w:p>
    <w:p w14:paraId="2153081D">
      <w:pPr>
        <w:pStyle w:val="2"/>
        <w:keepNext w:val="0"/>
        <w:keepLines w:val="0"/>
        <w:pageBreakBefore w:val="0"/>
        <w:widowControl/>
        <w:kinsoku/>
        <w:wordWrap/>
        <w:overflowPunct w:val="0"/>
        <w:topLinePunct w:val="0"/>
        <w:autoSpaceDE w:val="0"/>
        <w:autoSpaceDN w:val="0"/>
        <w:bidi w:val="0"/>
        <w:adjustRightInd w:val="0"/>
        <w:snapToGrid w:val="0"/>
        <w:spacing w:before="96"/>
        <w:jc w:val="both"/>
        <w:textAlignment w:val="baseline"/>
        <w:rPr>
          <w:rFonts w:hint="default" w:ascii="Times New Roman" w:hAnsi="Times New Roman" w:cs="Times New Roman"/>
        </w:rPr>
      </w:pPr>
      <w:r>
        <w:rPr>
          <w:rFonts w:hint="eastAsia" w:ascii="Times New Roman" w:hAnsi="Times New Roman" w:cs="Times New Roman"/>
          <w:spacing w:val="5"/>
          <w:lang w:val="en-US" w:eastAsia="zh-CN"/>
        </w:rPr>
        <w:t>3</w:t>
      </w:r>
      <w:r>
        <w:rPr>
          <w:rFonts w:hint="default" w:ascii="Times New Roman" w:hAnsi="Times New Roman" w:cs="Times New Roman"/>
          <w:spacing w:val="5"/>
        </w:rPr>
        <w:t>.</w:t>
      </w:r>
      <w:r>
        <w:rPr>
          <w:rFonts w:hint="default" w:ascii="Times New Roman" w:hAnsi="Times New Roman" w:cs="Times New Roman"/>
          <w:spacing w:val="5"/>
          <w:lang w:val="en-US" w:eastAsia="zh-CN"/>
        </w:rPr>
        <w:t>淮阴</w:t>
      </w:r>
      <w:r>
        <w:rPr>
          <w:rFonts w:hint="default" w:ascii="Times New Roman" w:hAnsi="Times New Roman" w:cs="Times New Roman"/>
          <w:spacing w:val="5"/>
        </w:rPr>
        <w:t>区投资项目工程重大变更审批表</w:t>
      </w:r>
    </w:p>
    <w:p w14:paraId="68E8B3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F6F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145D5">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B145D5">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D4731"/>
    <w:rsid w:val="01E376AC"/>
    <w:rsid w:val="05F36727"/>
    <w:rsid w:val="097C3D4B"/>
    <w:rsid w:val="0F930EC1"/>
    <w:rsid w:val="1698399D"/>
    <w:rsid w:val="2D9F6AE6"/>
    <w:rsid w:val="35074108"/>
    <w:rsid w:val="3CD350D5"/>
    <w:rsid w:val="3EF50775"/>
    <w:rsid w:val="411813D2"/>
    <w:rsid w:val="420D4731"/>
    <w:rsid w:val="4931328F"/>
    <w:rsid w:val="4DFA5355"/>
    <w:rsid w:val="4E096817"/>
    <w:rsid w:val="52CD72E1"/>
    <w:rsid w:val="5A1A0A3C"/>
    <w:rsid w:val="5C6B53C4"/>
    <w:rsid w:val="642826FB"/>
    <w:rsid w:val="65261425"/>
    <w:rsid w:val="74BC608C"/>
    <w:rsid w:val="75ED1095"/>
    <w:rsid w:val="7D69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b12c715d-bd6c-45f0-b96b-df26ff93efa6</errorID>
      <errorWord>企业国有资产法</errorWord>
      <group>L1_Knowledge</group>
      <groupName>知识性问题</groupName>
      <ability>L2_Knowledge</ability>
      <abilityName>其他知识</abilityName>
      <candidateList>
        <item>中华人民共和国企业国有资产法</item>
      </candidateList>
      <explain>当前法律法规名称使用简称，请注意是否应当使用全称。</explain>
      <paraID>1A689EDA</paraID>
      <start>110</start>
      <end>117</end>
      <status>ignored</status>
      <modifiedWord/>
      <trackRevisions>false</trackRevisions>
    </reviewItem>
    <reviewItem>
      <errorID>a6d2af8d-b411-45d7-9481-b0a57d79040a</errorID>
      <errorWord>全</errorWord>
      <group>L1_Word</group>
      <groupName>字词问题</groupName>
      <ability>L2_Typo</ability>
      <abilityName>字词错误</abilityName>
      <candidateList>
        <item>全过</item>
      </candidateList>
      <explain/>
      <paraID>57DE0A92</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53e0e-78a5-481f-8869-18eb2405afa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4590</Words>
  <Characters>4680</Characters>
  <Lines>0</Lines>
  <Paragraphs>0</Paragraphs>
  <TotalTime>12</TotalTime>
  <ScaleCrop>false</ScaleCrop>
  <LinksUpToDate>false</LinksUpToDate>
  <CharactersWithSpaces>4756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2025-12-15T00:52:00Z</dcterms:created>
  <dc:creator>风^吹过的「夏天」</dc:creator>
  <cp:lastModifiedBy>风^吹过的「夏天」</cp:lastModifiedBy>
  <cp:lastPrinted>2026-01-28T01:00:42Z</cp:lastPrinted>
  <dcterms:modified xsi:type="dcterms:W3CDTF">2026-01-28T01:01:36Z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EA2F7CDAB7DD42CFA03229A4D5D054BB_13</vt:lpwstr>
  </property>
  <property fmtid="{D5CDD505-2E9C-101B-9397-08002B2CF9AE}" pid="4" name="KSOTemplateDocerSaveRecord">
    <vt:lpwstr>eyJoZGlkIjoiZWExZThmYjMyNTQ1NGZlM2I5MDFlMjMzMDYyNTU1NjEiLCJ1c2VySWQiOiI0NDc1MTkwODQifQ==</vt:lpwstr>
  </property>
</Properties>
</file>