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r>
        <w:rPr>
          <w:rStyle w:val="5"/>
        </w:rPr>
        <w:t>《淮阴区政府与国企投资项目全生命周期管理实施细则（审议稿）》政策解读</w:t>
      </w:r>
    </w:p>
    <w:bookmarkEnd w:id="0"/>
    <w:p>
      <w:pPr>
        <w:pStyle w:val="2"/>
        <w:keepNext w:val="0"/>
        <w:keepLines w:val="0"/>
        <w:widowControl/>
        <w:suppressLineNumbers w:val="0"/>
      </w:pPr>
      <w:r>
        <w:t>为规范政府与国有资本投资行为，提升投资效益、防范化解风险，我区研究制定了《淮阴区政府与国企投资项目全生命周期管理实施细则》（以下简称《细则》）。本《细则》旨在构建一个覆盖项目“评估-决策-建设-运营-退出”全过程的闭环管理体系，是指导和约束全区政府及国有企业投资活动的核心制度文件。其核心内容与要点解读如下：</w:t>
      </w:r>
    </w:p>
    <w:p>
      <w:pPr>
        <w:pStyle w:val="2"/>
        <w:keepNext w:val="0"/>
        <w:keepLines w:val="0"/>
        <w:widowControl/>
        <w:suppressLineNumbers w:val="0"/>
        <w:rPr>
          <w:rStyle w:val="5"/>
        </w:rPr>
      </w:pPr>
      <w:r>
        <w:rPr>
          <w:rStyle w:val="5"/>
        </w:rPr>
        <w:t>一、 明确管理范围与核心原则，实现监管全覆盖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</w:pPr>
      <w:r>
        <w:rPr>
          <w:rStyle w:val="5"/>
        </w:rPr>
        <w:t>管理范围</w:t>
      </w:r>
      <w:r>
        <w:t>：《细则》明确适用于两类项目：一是使用区级财政资金的</w:t>
      </w:r>
      <w:r>
        <w:rPr>
          <w:rStyle w:val="5"/>
        </w:rPr>
        <w:t>政府投资项目</w:t>
      </w:r>
      <w:r>
        <w:t>（新建、改建、扩建、技改等）；二是国有企业使用自有及融资资金进行的</w:t>
      </w:r>
      <w:r>
        <w:rPr>
          <w:rStyle w:val="5"/>
        </w:rPr>
        <w:t>国企投资项目</w:t>
      </w:r>
      <w:r>
        <w:t>。这实现了对公共资金和国有资本投资行为的全面规范。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</w:pPr>
      <w:r>
        <w:rPr>
          <w:rStyle w:val="5"/>
        </w:rPr>
        <w:t>核心原则</w:t>
      </w:r>
      <w:r>
        <w:t>：确立了五大管理原则，即“科学评估、依规决策”、“程序规范、权责清晰”、“预算约束、绩效导向”、“全程监管、防控风险”以及“公开透明、责任追究”。这些原则是贯穿整个《细则》的灵魂，强调投资决策必须经过充分论证，执行过程必须权责对等，并突出绩效管理和风险防控的极端重要性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二、 细化全生命周期管理流程，筑牢制度“防火墙”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</w:pPr>
      <w:r>
        <w:t>《细则》将项目管理分为前期、建设、后期三个阶段，并明确了每个环节的关键控制点：</w:t>
      </w:r>
      <w:r>
        <w:rPr>
          <w:rStyle w:val="5"/>
        </w:rPr>
        <w:t>前期阶段（评估、储备与决策）</w:t>
      </w:r>
      <w:r>
        <w:t>：严格实行“</w:t>
      </w:r>
      <w:r>
        <w:rPr>
          <w:rStyle w:val="5"/>
        </w:rPr>
        <w:t>先评估、后决策、再审批</w:t>
      </w:r>
      <w:r>
        <w:t>”。所有项目需经区项目评审中心评估后，方能进入区级储备库，这是安排投资计划的前提。项目可行性研究报告、初步设计及投资概算的审批权限在发改委（政府投资）或国资办（国企投资），并设置了投资概算不得超过可研估算10%的硬性约束。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</w:pPr>
      <w:r>
        <w:rPr>
          <w:rStyle w:val="5"/>
        </w:rPr>
        <w:t>所有项目必须落实资金来源，严禁违规举债和施工单位垫资</w:t>
      </w:r>
      <w:r>
        <w:t>。</w:t>
      </w:r>
      <w:r>
        <w:rPr>
          <w:rStyle w:val="5"/>
        </w:rPr>
        <w:t>建设阶段（实施与监管）</w:t>
      </w:r>
      <w:r>
        <w:t>：全面推行项目法人责任制、招标投标制等“四制”管理。</w:t>
      </w:r>
      <w:r>
        <w:rPr>
          <w:rStyle w:val="5"/>
        </w:rPr>
        <w:t>政府投资项目原则上实行“集中建设”</w:t>
      </w:r>
      <w:r>
        <w:t>，由指定的实施单位负责。本阶段最核心的管控点是</w:t>
      </w:r>
      <w:r>
        <w:rPr>
          <w:rStyle w:val="5"/>
        </w:rPr>
        <w:t>投资概算控制与工程变更管理</w:t>
      </w:r>
      <w:r>
        <w:t>：</w:t>
      </w:r>
      <w:r>
        <w:rPr>
          <w:rStyle w:val="5"/>
        </w:rPr>
        <w:t>概算为“天花板”</w:t>
      </w:r>
      <w:r>
        <w:t>：经批准的投资概算是总投资控制的最高限额，如需调整必须履行严格的报批程序。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</w:pPr>
      <w:r>
        <w:rPr>
          <w:rStyle w:val="5"/>
        </w:rPr>
        <w:t>变更分级审批</w:t>
      </w:r>
      <w:r>
        <w:t>：《细则》用大量篇幅和量化表格，详细规定了工程变更的分类（一般、较大、重大）及对应的审批权限和流程。变更金额越大、影响越广，审批层级越高，直至报区政府常务会议批准。这为遏制随意变更、超标建设提供了明确的操作规范和纪律红线。</w:t>
      </w:r>
    </w:p>
    <w:p>
      <w:pPr>
        <w:pStyle w:val="2"/>
        <w:keepNext w:val="0"/>
        <w:keepLines w:val="0"/>
        <w:widowControl/>
        <w:suppressLineNumbers w:val="0"/>
        <w:ind w:firstLine="482" w:firstLineChars="200"/>
      </w:pPr>
      <w:r>
        <w:rPr>
          <w:rStyle w:val="5"/>
        </w:rPr>
        <w:t>后期阶段（竣工、运营与退出）</w:t>
      </w:r>
      <w:r>
        <w:t>：项目完工后需及时组织竣工验收、竣工决算和资产移交。</w:t>
      </w:r>
      <w:r>
        <w:rPr>
          <w:rStyle w:val="5"/>
        </w:rPr>
        <w:t>创新性地要求对重大项目在运营后1-3年内开展“后评价”</w:t>
      </w:r>
      <w:r>
        <w:t>，评估项目实际效益，结果将用于改进未来投资决策。同时，对长期闲置、低效无效的资产，明确了通过转让、盘活等方式进行处置的退出机制，旨在提升国有资产整体效能。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</w:rPr>
        <w:t>三、 厘清部门权责边界，构建协同监管格局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</w:pPr>
      <w:r>
        <w:t>《细则》明确了各相关部门在项目管理链条中的职责，形成监管合力：</w:t>
      </w:r>
      <w:r>
        <w:rPr>
          <w:rStyle w:val="5"/>
        </w:rPr>
        <w:t>区发改委</w:t>
      </w:r>
      <w:r>
        <w:t>：政府投资项目的综合管理部门。</w:t>
      </w:r>
      <w:r>
        <w:rPr>
          <w:rStyle w:val="5"/>
        </w:rPr>
        <w:t>区财政局</w:t>
      </w:r>
      <w:r>
        <w:t>：负责资金审核、拨付与决算审批。</w:t>
      </w:r>
      <w:r>
        <w:rPr>
          <w:rStyle w:val="5"/>
        </w:rPr>
        <w:t>区国资办</w:t>
      </w:r>
      <w:r>
        <w:t>：履行出资人职责，监管国企投资。</w:t>
      </w:r>
      <w:r>
        <w:rPr>
          <w:rStyle w:val="5"/>
        </w:rPr>
        <w:t>区项目评审中心</w:t>
      </w:r>
      <w:r>
        <w:t>：承担项目评估、评审等专业技术服务。</w:t>
      </w:r>
      <w:r>
        <w:rPr>
          <w:rStyle w:val="5"/>
        </w:rPr>
        <w:t>行业主管部门（如住建、交通等）</w:t>
      </w:r>
      <w:r>
        <w:t>：负责技术审查、质量安全监督等专业管理。</w:t>
      </w:r>
      <w:r>
        <w:rPr>
          <w:rStyle w:val="5"/>
        </w:rPr>
        <w:t>区审计局</w:t>
      </w:r>
      <w:r>
        <w:t>：依法进行审计监督。</w:t>
      </w:r>
      <w:r>
        <w:rPr>
          <w:rStyle w:val="5"/>
        </w:rPr>
        <w:t>项目单位/国有企业</w:t>
      </w:r>
      <w:r>
        <w:t>：承担项目实施和管理的</w:t>
      </w:r>
      <w:r>
        <w:rPr>
          <w:rStyle w:val="5"/>
        </w:rPr>
        <w:t>主体责任</w:t>
      </w:r>
      <w:r>
        <w:t>。</w:t>
      </w:r>
    </w:p>
    <w:p>
      <w:pPr>
        <w:pStyle w:val="2"/>
        <w:keepNext w:val="0"/>
        <w:keepLines w:val="0"/>
        <w:widowControl/>
        <w:suppressLineNumbers w:val="0"/>
        <w:rPr>
          <w:rStyle w:val="5"/>
        </w:rPr>
      </w:pPr>
      <w:r>
        <w:rPr>
          <w:rStyle w:val="5"/>
        </w:rPr>
        <w:t>四、 强化监督问责，确保制度刚性执行</w:t>
      </w:r>
    </w:p>
    <w:p>
      <w:pPr>
        <w:pStyle w:val="2"/>
        <w:keepNext w:val="0"/>
        <w:keepLines w:val="0"/>
        <w:widowControl/>
        <w:suppressLineNumbers w:val="0"/>
        <w:ind w:firstLine="480" w:firstLineChars="200"/>
      </w:pPr>
      <w:r>
        <w:t>《细则》建立了多部门联动的协同监督机制，并明确了严厉的</w:t>
      </w:r>
      <w:r>
        <w:rPr>
          <w:rStyle w:val="5"/>
        </w:rPr>
        <w:t>责任追究条款</w:t>
      </w:r>
      <w:r>
        <w:t>。对在项目全过程中出现的失职渎职、弄虚作假、违规举债、擅自超概算等行为，将依法依规追究相关单位及个人的责任，涉及行政机关人员的给予政务处分，涉及企业人员的纳入业绩考核，构成犯罪的将移送司法机关。这为《细则》的有效执行提供了坚实的纪律保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6A51"/>
    <w:rsid w:val="11D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2026-04-06T23:50:00Z</dcterms:created>
  <dc:creator>大饼果果子</dc:creator>
  <cp:lastModifiedBy>大饼果果子</cp:lastModifiedBy>
  <dcterms:modified xsi:type="dcterms:W3CDTF">2026-04-06T23:52:23Z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92420BC9B1294D9D849DE3C7E1235E1B</vt:lpwstr>
  </property>
</Properties>
</file>